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ind w:left="760" w:hanging="420"/>
        <w:spacing w:after="0"/>
        <w:tabs>
          <w:tab w:leader="none" w:pos="7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 w:lineRule="exact"/>
        <w:rPr>
          <w:sz w:val="24"/>
          <w:szCs w:val="24"/>
          <w:color w:val="auto"/>
        </w:rPr>
      </w:pPr>
    </w:p>
    <w:p>
      <w:pPr>
        <w:jc w:val="center"/>
        <w:ind w:left="5240" w:right="320" w:hanging="4908"/>
        <w:spacing w:after="0" w:line="267" w:lineRule="auto"/>
        <w:tabs>
          <w:tab w:leader="none" w:pos="766"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6"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1-13199 (SL Green Realty Corp.)</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33-167793-02 (SL Green Operating Partnership, L.P.)</w:t>
      </w:r>
    </w:p>
    <w:p>
      <w:pPr>
        <w:spacing w:after="0" w:line="15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SL GREEN REALTY CORP.</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SL GREEN OPERATING PARTNERSHIP, L.P.</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134"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SL Green Realty Corp.</w:t>
            </w:r>
          </w:p>
        </w:tc>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820" w:type="dxa"/>
            <w:vAlign w:val="bottom"/>
          </w:tcPr>
          <w:p>
            <w:pPr>
              <w:jc w:val="center"/>
              <w:ind w:left="784"/>
              <w:spacing w:after="0"/>
              <w:rPr>
                <w:sz w:val="20"/>
                <w:szCs w:val="20"/>
                <w:color w:val="auto"/>
              </w:rPr>
            </w:pPr>
            <w:r>
              <w:rPr>
                <w:rFonts w:ascii="Times New Roman" w:cs="Times New Roman" w:eastAsia="Times New Roman" w:hAnsi="Times New Roman"/>
                <w:sz w:val="18"/>
                <w:szCs w:val="18"/>
                <w:b w:val="1"/>
                <w:bCs w:val="1"/>
                <w:color w:val="auto"/>
              </w:rPr>
              <w:t>13-3956775</w:t>
            </w:r>
          </w:p>
        </w:tc>
      </w:tr>
      <w:tr>
        <w:trPr>
          <w:trHeight w:val="247"/>
        </w:trPr>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SL Green Operating Partnership, L.P.</w:t>
            </w:r>
          </w:p>
        </w:tc>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20" w:type="dxa"/>
            <w:vAlign w:val="bottom"/>
          </w:tcPr>
          <w:p>
            <w:pPr>
              <w:jc w:val="center"/>
              <w:ind w:left="784"/>
              <w:spacing w:after="0"/>
              <w:rPr>
                <w:sz w:val="20"/>
                <w:szCs w:val="20"/>
                <w:color w:val="auto"/>
              </w:rPr>
            </w:pPr>
            <w:r>
              <w:rPr>
                <w:rFonts w:ascii="Times New Roman" w:cs="Times New Roman" w:eastAsia="Times New Roman" w:hAnsi="Times New Roman"/>
                <w:sz w:val="18"/>
                <w:szCs w:val="18"/>
                <w:b w:val="1"/>
                <w:bCs w:val="1"/>
                <w:color w:val="auto"/>
              </w:rPr>
              <w:t>13-3960938</w:t>
            </w:r>
          </w:p>
        </w:tc>
      </w:tr>
      <w:tr>
        <w:trPr>
          <w:trHeight w:val="158"/>
        </w:trPr>
        <w:tc>
          <w:tcPr>
            <w:tcW w:w="3320" w:type="dxa"/>
            <w:vAlign w:val="bottom"/>
          </w:tcPr>
          <w:p>
            <w:pPr>
              <w:spacing w:after="0"/>
              <w:rPr>
                <w:sz w:val="13"/>
                <w:szCs w:val="13"/>
                <w:color w:val="auto"/>
              </w:rPr>
            </w:pPr>
          </w:p>
        </w:tc>
        <w:tc>
          <w:tcPr>
            <w:tcW w:w="2980" w:type="dxa"/>
            <w:vAlign w:val="bottom"/>
          </w:tcPr>
          <w:p>
            <w:pPr>
              <w:jc w:val="center"/>
              <w:ind w:right="439"/>
              <w:spacing w:after="0" w:line="158"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820" w:type="dxa"/>
            <w:vAlign w:val="bottom"/>
          </w:tcPr>
          <w:p>
            <w:pPr>
              <w:jc w:val="center"/>
              <w:ind w:left="804"/>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88"/>
        </w:trPr>
        <w:tc>
          <w:tcPr>
            <w:tcW w:w="3320" w:type="dxa"/>
            <w:vAlign w:val="bottom"/>
          </w:tcPr>
          <w:p>
            <w:pPr>
              <w:spacing w:after="0"/>
              <w:rPr>
                <w:sz w:val="16"/>
                <w:szCs w:val="16"/>
                <w:color w:val="auto"/>
              </w:rPr>
            </w:pPr>
          </w:p>
        </w:tc>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820" w:type="dxa"/>
            <w:vAlign w:val="bottom"/>
          </w:tcPr>
          <w:p>
            <w:pPr>
              <w:jc w:val="center"/>
              <w:ind w:left="804"/>
              <w:spacing w:after="0"/>
              <w:rPr>
                <w:sz w:val="20"/>
                <w:szCs w:val="20"/>
                <w:color w:val="auto"/>
              </w:rPr>
            </w:pPr>
            <w:r>
              <w:rPr>
                <w:rFonts w:ascii="Times New Roman" w:cs="Times New Roman" w:eastAsia="Times New Roman" w:hAnsi="Times New Roman"/>
                <w:sz w:val="13"/>
                <w:szCs w:val="13"/>
                <w:color w:val="auto"/>
                <w:w w:val="97"/>
              </w:rPr>
              <w:t>Identification No.)</w:t>
            </w:r>
          </w:p>
        </w:tc>
      </w:tr>
    </w:tbl>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Vanderbilt Avenue, New York, NY 10017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(Address of principal executive offices—Zip Code)</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594-2700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200" w:lineRule="exact"/>
        <w:rPr>
          <w:sz w:val="24"/>
          <w:szCs w:val="24"/>
          <w:color w:val="auto"/>
        </w:rPr>
      </w:pPr>
    </w:p>
    <w:p>
      <w:pPr>
        <w:spacing w:after="0" w:line="265"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spacing w:after="0"/>
        <w:tabs>
          <w:tab w:leader="none" w:pos="1820" w:val="left"/>
          <w:tab w:leader="none" w:pos="2500" w:val="left"/>
          <w:tab w:leader="none" w:pos="3520" w:val="left"/>
          <w:tab w:leader="none" w:pos="6380" w:val="left"/>
          <w:tab w:leader="none" w:pos="706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spacing w:after="0"/>
        <w:tabs>
          <w:tab w:leader="none" w:pos="1860" w:val="left"/>
          <w:tab w:leader="none" w:pos="2540" w:val="left"/>
          <w:tab w:leader="none" w:pos="3560" w:val="left"/>
          <w:tab w:leader="none" w:pos="6440" w:val="left"/>
          <w:tab w:leader="none" w:pos="712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pacing w:after="0" w:line="2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SL Green Realty Corp.</w:t>
            </w: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560"/>
              <w:spacing w:after="0"/>
              <w:rPr>
                <w:sz w:val="20"/>
                <w:szCs w:val="20"/>
                <w:color w:val="auto"/>
              </w:rPr>
            </w:pPr>
            <w:r>
              <w:rPr>
                <w:rFonts w:ascii="Wingdings" w:cs="Wingdings" w:eastAsia="Wingdings" w:hAnsi="Wingdings"/>
                <w:sz w:val="18"/>
                <w:szCs w:val="18"/>
                <w:b w:val="1"/>
                <w:bCs w:val="1"/>
                <w:color w:val="auto"/>
              </w:rPr>
              <w:t>x</w:t>
            </w:r>
          </w:p>
        </w:tc>
        <w:tc>
          <w:tcPr>
            <w:tcW w:w="53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spacing w:after="0"/>
              <w:rPr>
                <w:sz w:val="19"/>
                <w:szCs w:val="19"/>
                <w:color w:val="auto"/>
              </w:rPr>
            </w:pPr>
          </w:p>
        </w:tc>
        <w:tc>
          <w:tcPr>
            <w:tcW w:w="24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0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3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0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10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SL Green Operating Partnership, L.P.</w:t>
            </w:r>
          </w:p>
        </w:tc>
        <w:tc>
          <w:tcPr>
            <w:tcW w:w="23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9"/>
        </w:trPr>
        <w:tc>
          <w:tcPr>
            <w:tcW w:w="32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540"/>
              <w:spacing w:after="0" w:line="189" w:lineRule="exact"/>
              <w:rPr>
                <w:sz w:val="20"/>
                <w:szCs w:val="20"/>
                <w:color w:val="auto"/>
              </w:rPr>
            </w:pPr>
            <w:r>
              <w:rPr>
                <w:rFonts w:ascii="Wingdings" w:cs="Wingdings" w:eastAsia="Wingdings" w:hAnsi="Wingdings"/>
                <w:sz w:val="18"/>
                <w:szCs w:val="18"/>
                <w:b w:val="1"/>
                <w:bCs w:val="1"/>
                <w:color w:val="auto"/>
              </w:rPr>
              <w:t>x</w:t>
            </w:r>
          </w:p>
        </w:tc>
        <w:tc>
          <w:tcPr>
            <w:tcW w:w="5300" w:type="dxa"/>
            <w:vAlign w:val="bottom"/>
          </w:tcPr>
          <w:p>
            <w:pPr>
              <w:spacing w:after="0"/>
              <w:rPr>
                <w:sz w:val="16"/>
                <w:szCs w:val="16"/>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3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10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2"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0"/>
          <w:szCs w:val="20"/>
          <w:color w:val="auto"/>
        </w:rPr>
      </w:pPr>
    </w:p>
    <w:p>
      <w:pPr>
        <w:spacing w:after="0" w:line="207" w:lineRule="exact"/>
        <w:tabs>
          <w:tab w:leader="none" w:pos="1820" w:val="left"/>
          <w:tab w:leader="none" w:pos="2460" w:val="left"/>
          <w:tab w:leader="none" w:pos="3520" w:val="left"/>
          <w:tab w:leader="none" w:pos="6400" w:val="left"/>
          <w:tab w:leader="none" w:pos="704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5"/>
        </w:trPr>
        <w:tc>
          <w:tcPr>
            <w:tcW w:w="278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SL Green Realty Corp.</w:t>
            </w:r>
          </w:p>
        </w:tc>
        <w:tc>
          <w:tcPr>
            <w:tcW w:w="12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SLG</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SL Green Realty Corp.</w:t>
            </w:r>
          </w:p>
        </w:tc>
        <w:tc>
          <w:tcPr>
            <w:tcW w:w="1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SLG.PRI</w:t>
            </w:r>
          </w:p>
        </w:tc>
        <w:tc>
          <w:tcPr>
            <w:tcW w:w="402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rPr>
              <w:t>6.500% Series I Cumulative Redeemable Preferred</w:t>
            </w:r>
          </w:p>
        </w:tc>
        <w:tc>
          <w:tcPr>
            <w:tcW w:w="2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Stock, $0.01 par value</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April 29, 2026, 71,124,483 shares of SL Green Realty Corp.'s common stock, par value $0.01 per share, were outstanding. As of April 29, 2026, 301,545 common units of limited partnership interest of SL Green Operating Partnership, L.P. were held by non-affiliates. There is no established trading market for such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1130935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period ended March 31, 2026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the Company owns 92.37% of the outstanding general and limited partnership interest in the Operating Partnership and owns 9,200,000 Series I Preferred Units of the Operating Partnership. As of March 31, 2026, noncontrolling investors held, in aggregate, a 7.63% limited partnership interest in the Operating Partnership. We refer to these interests as the noncontrolling interests in the Operating Partnership.</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believe combining the quarterly reports on Form 10-Q of the Company and the Operating Partnership into this single report results in the following benefits:</w:t>
      </w:r>
    </w:p>
    <w:p>
      <w:pPr>
        <w:spacing w:after="0" w:line="54" w:lineRule="exact"/>
        <w:rPr>
          <w:sz w:val="20"/>
          <w:szCs w:val="20"/>
          <w:color w:val="auto"/>
        </w:rPr>
      </w:pPr>
    </w:p>
    <w:p>
      <w:pPr>
        <w:ind w:left="98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enhance investors' understanding of the Company and the Operating Partnership by enabling investors to view the business as a whole in the same manner as management views and operates the business;</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eliminate duplicative disclosure and provides a more streamlined and readable presentation since a substantial portion of the Company's disclosure applies to both the Company and the Operating Partnership; and</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create time and cost efficiencies through the preparation of one combined report instead of two separate reports.</w:t>
      </w:r>
    </w:p>
    <w:p>
      <w:pPr>
        <w:spacing w:after="0" w:line="9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To help investors understand the significant differences between the Company and the Operating Partnership, this report presents the following separate sections for each of the Company and the Operating Partnership:</w:t>
      </w:r>
    </w:p>
    <w:p>
      <w:pPr>
        <w:spacing w:after="0" w:line="54"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notes to the consolidated financial statements:</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11, Noncontrolling Interests on the Company's Consolidated Financial Statements;</w:t>
      </w:r>
    </w:p>
    <w:p>
      <w:pPr>
        <w:spacing w:after="0" w:line="2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Stockholders' Equity of the Company; and</w:t>
      </w:r>
    </w:p>
    <w:p>
      <w:pPr>
        <w:spacing w:after="0" w:line="9"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Partners' Capital of the Operating Partnership.</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This report also includes separate Part I, Item 4.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1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1014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515"/>
        </w:trPr>
        <w:tc>
          <w:tcPr>
            <w:tcW w:w="900" w:type="dxa"/>
            <w:vAlign w:val="bottom"/>
          </w:tcPr>
          <w:p>
            <w:pPr>
              <w:spacing w:after="0"/>
              <w:rPr>
                <w:sz w:val="24"/>
                <w:szCs w:val="24"/>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OF SL GREEN REALTY CORP. (UNAUDITED)</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00" w:type="dxa"/>
            <w:vAlign w:val="bottom"/>
          </w:tcPr>
          <w:p>
            <w:pPr>
              <w:spacing w:after="0"/>
              <w:rPr>
                <w:sz w:val="16"/>
                <w:szCs w:val="16"/>
                <w:color w:val="auto"/>
              </w:rPr>
            </w:pPr>
          </w:p>
        </w:tc>
        <w:tc>
          <w:tcPr>
            <w:tcW w:w="10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March 31, 2026 and December 31, 2025</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Comprehensive Loss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Equity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2026 and 2025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8"/>
                <w:szCs w:val="18"/>
                <w:color w:val="auto"/>
              </w:rPr>
            </w:pPr>
          </w:p>
        </w:tc>
      </w:tr>
      <w:tr>
        <w:trPr>
          <w:trHeight w:val="515"/>
        </w:trPr>
        <w:tc>
          <w:tcPr>
            <w:tcW w:w="900" w:type="dxa"/>
            <w:vAlign w:val="bottom"/>
          </w:tcPr>
          <w:p>
            <w:pPr>
              <w:spacing w:after="0"/>
              <w:rPr>
                <w:sz w:val="24"/>
                <w:szCs w:val="24"/>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OF SL GREEN OPERATING PARTNERSHIP, L.P. (UNAUDITED)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00" w:type="dxa"/>
            <w:vAlign w:val="bottom"/>
          </w:tcPr>
          <w:p>
            <w:pPr>
              <w:spacing w:after="0"/>
              <w:rPr>
                <w:sz w:val="16"/>
                <w:szCs w:val="16"/>
                <w:color w:val="auto"/>
              </w:rPr>
            </w:pPr>
          </w:p>
        </w:tc>
        <w:tc>
          <w:tcPr>
            <w:tcW w:w="10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March 31, 2026 and December 31, 2025</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2026 and 2025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Comprehensive Loss for the three months ended March 31, 2026 and 2025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Capital for the three months ended March 31, 2026 and 2025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2026 and 2025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 (SL Green Realty Corp. and SL Green Operating Partnership, L.P.)</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r>
      <w:tr>
        <w:trPr>
          <w:trHeight w:val="24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6"/>
                <w:szCs w:val="16"/>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8"/>
                <w:szCs w:val="18"/>
                <w:color w:val="auto"/>
              </w:rPr>
            </w:pPr>
          </w:p>
        </w:tc>
      </w:tr>
      <w:tr>
        <w:trPr>
          <w:trHeight w:val="1040"/>
        </w:trPr>
        <w:tc>
          <w:tcPr>
            <w:tcW w:w="90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69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6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and land interests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1,848,531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Building and improvements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4,298,249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4,012,305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1,465,411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7,612,191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7,159,632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(2,321,290)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5,290,901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4,853,255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143,867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155,747</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194,772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rents receivable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262,730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$5 and $14 and</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118,083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168,358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allowances of $300 and $454 in 2026 and 2025,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2,500,573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2,624,755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 fund investments, at fair value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293,243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152,958</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costs, net of amortization of $178,841 and $174,617, respectively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129,428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Right-of-use assets - operating leases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909,377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864,430</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 at fair value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1,027,164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1,023,877</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570,175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577,299</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11,758,750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11,082,607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74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2,491,849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813,953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637,796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Unsecured term loans,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1,142,660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1,147,591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 at fair value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1,027,164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241,392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392,756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118,912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168,980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147,419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108,515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851,142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805,192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73,638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68,276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related to assets held for sale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189,842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7,397,218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6,729,517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(See Note 19)</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units and redeemable equity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204,319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199,271</w:t>
            </w:r>
          </w:p>
        </w:tc>
        <w:tc>
          <w:tcPr>
            <w:tcW w:w="0" w:type="dxa"/>
            <w:vAlign w:val="bottom"/>
          </w:tcPr>
          <w:p>
            <w:pPr>
              <w:spacing w:after="0"/>
              <w:rPr>
                <w:sz w:val="1"/>
                <w:szCs w:val="1"/>
                <w:color w:val="auto"/>
              </w:rPr>
            </w:pPr>
          </w:p>
        </w:tc>
      </w:tr>
      <w:tr>
        <w:trPr>
          <w:trHeight w:val="272"/>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Equity</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SL Green 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Series I Preferred Stock, $0.01 par value, $25.00 liquidation preference, 9,200 issued and outstanding at both</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31, 2026 and December 31, 2025</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Common stock, $0.01 par value, 160,000 shares authorized and 71,124 and 71,159 issued and outstanding at</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4,213,856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4,212,590</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(22,198)</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(892,890)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(741,880)</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SL Green 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3,536,322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3,671,155</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361,476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241,293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3,897,798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3,912,448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11,758,750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11,082,607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20" w:right="20" w:firstLine="6"/>
        <w:spacing w:after="0" w:line="215" w:lineRule="auto"/>
        <w:tabs>
          <w:tab w:leader="none" w:pos="169"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consolidated balance sheets include assets and liabilities of consolidated variable interest entities ("VIEs"). See Note 2. The consolidated balance sheets include the following amounts related to our consolidated VIEs, excluding the Operating Partnership: $369.9 million and $185.2 million of land, $685.5 million and $207.5 million of building and improvements, $— million and $— million of building and leasehold improvements, $— million and $— million of right of use assets, $8.0 million and $6.3 million of accumulated depreciation, $293.2 million and $153.0 million of debt fund investments, $1,027.2 million and $1,023.9 million of real estate loans held by consolidated securitization vehicles, $628.7 million and $862.5 million of other assets included in other line items, $856.1 million and $328.6 million of real estate debt, net, $2.3 million and $0.9 million of accrued interest payable, $— million and $— million of lease liabilities, $1,027.2 million and $1,023.9 million of senior obligations of consolidated securitization vehicles and $230.5 million and $287.5 million of other liabilities included in other line items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186,876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163,019</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22,534</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real estate loans held by consolidated securitization vehicles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15,981</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12,275</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9,923</w:t>
            </w:r>
          </w:p>
        </w:tc>
      </w:tr>
      <w:tr>
        <w:trPr>
          <w:trHeight w:val="208"/>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253,080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239,846</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 including related party expenses of $2 in 2026 and $3 in 2025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56,062</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37,217</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45,681</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tax expense (benefit)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senior obligations of consolidated securitization vehicles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13,972</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69,751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64,498</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(25,039)</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21,724</w:t>
            </w:r>
          </w:p>
        </w:tc>
      </w:tr>
      <w:tr>
        <w:trPr>
          <w:trHeight w:val="208"/>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243,922</w:t>
            </w:r>
          </w:p>
        </w:tc>
      </w:tr>
      <w:tr>
        <w:trPr>
          <w:trHeight w:val="198"/>
        </w:trPr>
        <w:tc>
          <w:tcPr>
            <w:tcW w:w="8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(loss) income from unconsolidated joint ventures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debt fund investments,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loss on sale of interest in unconsolidated joint venture/real estate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w:t>
            </w:r>
          </w:p>
        </w:tc>
      </w:tr>
      <w:tr>
        <w:trPr>
          <w:trHeight w:val="208"/>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(77,398)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(21,545)</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1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SL Green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w:t>
            </w:r>
          </w:p>
        </w:tc>
      </w:tr>
      <w:tr>
        <w:trPr>
          <w:trHeight w:val="21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Perpetual preferred stock dividends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SL Green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(84,391)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18"/>
        </w:trPr>
        <w:tc>
          <w:tcPr>
            <w:tcW w:w="8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70,424</w:t>
            </w: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and common share equivalents outstanding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70,687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70,424</w:t>
            </w:r>
          </w:p>
        </w:tc>
      </w:tr>
    </w:tbl>
    <w:p>
      <w:pPr>
        <w:spacing w:after="0" w:line="1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8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 March</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38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(77,398)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(21,545)</w:t>
            </w:r>
          </w:p>
        </w:tc>
        <w:tc>
          <w:tcPr>
            <w:tcW w:w="0" w:type="dxa"/>
            <w:vAlign w:val="bottom"/>
          </w:tcPr>
          <w:p>
            <w:pPr>
              <w:spacing w:after="0"/>
              <w:rPr>
                <w:sz w:val="1"/>
                <w:szCs w:val="1"/>
                <w:color w:val="auto"/>
              </w:rPr>
            </w:pPr>
          </w:p>
        </w:tc>
      </w:tr>
      <w:tr>
        <w:trPr>
          <w:trHeight w:val="213"/>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Increase (decrease) in unrealized value of derivative instruments, including SL Green's share of joint venture derivative</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instruments</w:t>
            </w: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Increase in unrealized value of marketable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1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(24,657)</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(61,541)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(46,202)</w:t>
            </w:r>
          </w:p>
        </w:tc>
        <w:tc>
          <w:tcPr>
            <w:tcW w:w="0" w:type="dxa"/>
            <w:vAlign w:val="bottom"/>
          </w:tcPr>
          <w:p>
            <w:pPr>
              <w:spacing w:after="0"/>
              <w:rPr>
                <w:sz w:val="1"/>
                <w:szCs w:val="1"/>
                <w:color w:val="auto"/>
              </w:rPr>
            </w:pPr>
          </w:p>
        </w:tc>
      </w:tr>
      <w:tr>
        <w:trPr>
          <w:trHeight w:val="214"/>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 and preferred units distributions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11"/>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attributable to SL Green</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(65,742)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(40,375)</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SL Green Realty Corp. Stockholders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Series I</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Par</w:t>
            </w:r>
          </w:p>
        </w:tc>
        <w:tc>
          <w:tcPr>
            <w:tcW w:w="120" w:type="dxa"/>
            <w:vAlign w:val="bottom"/>
          </w:tcPr>
          <w:p>
            <w:pPr>
              <w:spacing w:after="0"/>
              <w:rPr>
                <w:sz w:val="8"/>
                <w:szCs w:val="8"/>
                <w:color w:val="auto"/>
              </w:rPr>
            </w:pPr>
          </w:p>
        </w:tc>
        <w:tc>
          <w:tcPr>
            <w:tcW w:w="8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8"/>
                <w:szCs w:val="8"/>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8"/>
                <w:szCs w:val="8"/>
                <w:color w:val="auto"/>
              </w:rPr>
            </w:pPr>
          </w:p>
        </w:tc>
        <w:tc>
          <w:tcPr>
            <w:tcW w:w="98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8"/>
                <w:szCs w:val="8"/>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Paid-</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In-Capital</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71,159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711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4,212,590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(741,880)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241,293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3,912,448</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(72,919)</w:t>
            </w: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14,911</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Perpetual preferred stock dividends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DRSPP proceeds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Conversion of units in the Operating Partnership for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Measurement adjustment for redeemable noncontrolling</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(22,901)</w:t>
            </w: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Deferred compensation plan and stock awards, net of</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forfeitures and tax withholdings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1,204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to consolidated joint venture interests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40,399</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 to debt fund investments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81,725</w:t>
            </w: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from debt fund investments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distributions to noncontrolling interests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(8,320)</w:t>
            </w:r>
          </w:p>
        </w:tc>
        <w:tc>
          <w:tcPr>
            <w:tcW w:w="0" w:type="dxa"/>
            <w:vAlign w:val="bottom"/>
          </w:tcPr>
          <w:p>
            <w:pPr>
              <w:spacing w:after="0"/>
              <w:rPr>
                <w:sz w:val="1"/>
                <w:szCs w:val="1"/>
                <w:color w:val="auto"/>
              </w:rPr>
            </w:pPr>
          </w:p>
        </w:tc>
      </w:tr>
      <w:tr>
        <w:trPr>
          <w:trHeight w:val="127"/>
        </w:trPr>
        <w:tc>
          <w:tcPr>
            <w:tcW w:w="31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distributions declared ($0.618 per common share,</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none of which represented a return of capital for federal</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purposes)</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(43,718)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(43,718)</w:t>
            </w:r>
          </w:p>
        </w:tc>
        <w:tc>
          <w:tcPr>
            <w:tcW w:w="0" w:type="dxa"/>
            <w:vAlign w:val="bottom"/>
          </w:tcPr>
          <w:p>
            <w:pPr>
              <w:spacing w:after="0"/>
              <w:rPr>
                <w:sz w:val="1"/>
                <w:szCs w:val="1"/>
                <w:color w:val="auto"/>
              </w:rPr>
            </w:pPr>
          </w:p>
        </w:tc>
      </w:tr>
      <w:tr>
        <w:trPr>
          <w:trHeight w:val="16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71,124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711</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4,213,856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(7,287)</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(892,890)</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361,476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3,897,798</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SL Green Realty Corp. Stockholders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Series I</w:t>
            </w: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Par</w:t>
            </w: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Paid-</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In-Capital</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711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4,159,562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(449,101)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118,651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4,069,951</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(22,234)</w:t>
            </w: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(23,038)</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Perpetual preferred stock dividends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DRSPP proceeds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Conversion of units in the Operating Partnership for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Measurement adjustment for redeemable noncontrolling</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(12,940)</w:t>
            </w:r>
          </w:p>
        </w:tc>
        <w:tc>
          <w:tcPr>
            <w:tcW w:w="0" w:type="dxa"/>
            <w:vAlign w:val="bottom"/>
          </w:tcPr>
          <w:p>
            <w:pPr>
              <w:spacing w:after="0"/>
              <w:rPr>
                <w:sz w:val="1"/>
                <w:szCs w:val="1"/>
                <w:color w:val="auto"/>
              </w:rPr>
            </w:pPr>
          </w:p>
        </w:tc>
      </w:tr>
      <w:tr>
        <w:trPr>
          <w:trHeight w:val="121"/>
        </w:trPr>
        <w:tc>
          <w:tcPr>
            <w:tcW w:w="31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Deferred compensation plan and stock awards, net of</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forfeitures and tax withholdings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 to consolidated joint venture interests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3,437</w:t>
            </w: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distributions to noncontrolling interests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distributions declared ($0.773 per common share,</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1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none of which represented a return of capital for federal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purposes)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(54,469)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(54,469)</w:t>
            </w:r>
          </w:p>
        </w:tc>
        <w:tc>
          <w:tcPr>
            <w:tcW w:w="0" w:type="dxa"/>
            <w:vAlign w:val="bottom"/>
          </w:tcPr>
          <w:p>
            <w:pPr>
              <w:spacing w:after="0"/>
              <w:rPr>
                <w:sz w:val="1"/>
                <w:szCs w:val="1"/>
                <w:color w:val="auto"/>
              </w:rPr>
            </w:pPr>
          </w:p>
        </w:tc>
      </w:tr>
      <w:tr>
        <w:trPr>
          <w:trHeight w:val="201"/>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710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4,156,242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(537,585)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116,970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3,953,427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7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(21,545)</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64,498</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(income) from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on sale of interest in unconsolidated joint venture/real estate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9,611</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loss reserves and other investment reserves, net of recoveries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(25,039)</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9,499</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8,334</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(28,978)</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w:t>
            </w:r>
          </w:p>
        </w:tc>
      </w:tr>
      <w:tr>
        <w:trPr>
          <w:trHeight w:val="214"/>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w:t>
            </w:r>
          </w:p>
        </w:tc>
      </w:tr>
      <w:tr>
        <w:trPr>
          <w:trHeight w:val="19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real estate property</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(664,131)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(112,440)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(103,614)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(74,239)</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(45,924)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(36,786)</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177,610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53,714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or redemption of marketable securities</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real estate loans held by consolidated securitization vehicles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(49,296)</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Origination or purchase of debt fund investments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(139,161)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Repayments or redemption of debt and preferred equity investments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(692,392)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(176,273)</w:t>
            </w:r>
          </w:p>
        </w:tc>
      </w:tr>
      <w:tr>
        <w:trPr>
          <w:trHeight w:val="238"/>
        </w:trPr>
        <w:tc>
          <w:tcPr>
            <w:tcW w:w="7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620,418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89,253</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(87,401)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unsecured notes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670,410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7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unsecured notes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(485,410)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(11,267)</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40,399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the Operating Partnership</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to debt fund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81,725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debt fund investments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common and preferred stock</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(60,196)</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obligations related to secured borrowing</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(75,294)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share awards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0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712,124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174,953</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336,495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331,638</w:t>
            </w:r>
          </w:p>
        </w:tc>
      </w:tr>
      <w:tr>
        <w:trPr>
          <w:trHeight w:val="20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338,639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337,028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units relating to a real estate acquisition</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5,800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 of mortgage loans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Measurement adjustment for redeemable noncontrolling interest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interest</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 of assets related to assets held for sale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211,222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Transfer of liabilities related to assets held for sale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189,842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assets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828,143</w:t>
            </w: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liabilities</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828,143</w:t>
            </w:r>
          </w:p>
        </w:tc>
      </w:tr>
    </w:tbl>
    <w:p>
      <w:pPr>
        <w:spacing w:after="0" w:line="25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143,867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180,133</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194,772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156,895</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338,639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337,028</w:t>
            </w:r>
          </w:p>
        </w:tc>
      </w:tr>
    </w:tbl>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69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and land interests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1,848,531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Building and improvements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4,298,249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4,012,305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1,465,411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7,612,191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7,159,632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(2,321,290)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5,290,901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4,853,255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143,867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155,747</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194,772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rents receivable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262,730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$5 and $14 and</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118,083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168,358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allowances of $300 and $454 in 2026 and 2025,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2,500,573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2,624,755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 fund investments, at fair value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293,243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152,958</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costs, net of amortization of $178,841 and $174,617, respectively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129,428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Right-of-use assets - operating leases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909,377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864,430</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 at fair value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1,027,164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1,023,877</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570,175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577,299</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11,758,750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11,082,607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74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2,491,849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813,953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637,796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Unsecured term loans,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1,142,660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1,147,591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 at fair value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1,027,164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241,392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392,756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118,912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168,980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147,419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108,515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851,142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805,192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73,638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68,276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related to assets held for sale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189,842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7,397,218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6,729,517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(See Note 19)</w:t>
            </w: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Limited partner interests in SLGOP (5,704 and 4,538 limited partner common units outstanding at March 31,</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259,415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241,371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 and December 31, 2025,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units and redeemable equity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204,319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199,271</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6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SLGOP partners' capital:</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Series I Preferred Units, $25.00 liquidation preference, 9,200 issued and outstanding at both March 31, 2026 and</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SL Green partners' capital (768 and 757 general partner common units and 70,356 and 70,402 limited partner</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3,321,677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3,471,421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units outstanding at March 31, 2026 and December 31, 2025,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SLGOP partners' 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3,536,322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3,671,155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361,476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241,293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capital</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3,897,798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3,912,448</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capital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11,758,750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11,082,607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20" w:right="20" w:firstLine="6"/>
        <w:spacing w:after="0"/>
        <w:tabs>
          <w:tab w:leader="none" w:pos="165"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$369.9 million and $185.2 million of land, $685.5 million and $207.5 million of building and improvements, $— million and $— million of building and leasehold improvements, $— million and $— million of right of use assets, $8.0 million and $6.3 million of accumulated depreciation, $293.2 million and $153.0 million of debt fund investments, $1,027.2 million and $1,023.9 million of real estate loans held by consolidated securitization vehicles, $628.7 million and $862.5 million of other assets included in other line items, $856.1 million and $328.6 million of real estate debt, net, $2.3 million and $0.9 million of accrued interest payable, $— million and $— million of lease liabilities, $1,027.2 million and $1,023.9 million of senior obligations of consolidated securitization vehicles and $230.5 million and $287.5 million of other liabilities included in other line items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unit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186,876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163,019</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22,534</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real estate loans held by consolidated securitization vehicles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15,981</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12,275</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9,923</w:t>
            </w:r>
          </w:p>
        </w:tc>
      </w:tr>
      <w:tr>
        <w:trPr>
          <w:trHeight w:val="208"/>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253,080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239,846</w:t>
            </w:r>
          </w:p>
        </w:tc>
      </w:tr>
      <w:tr>
        <w:trPr>
          <w:trHeight w:val="19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 including related party expenses of $2 in 2026, and $3 in 2025</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61,457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56,062</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37,217</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45,681</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tax expense (benefit)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senior obligations of consolidated securitization vehicles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13,972</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69,751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64,498</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(25,039)</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21,724</w:t>
            </w:r>
          </w:p>
        </w:tc>
      </w:tr>
      <w:tr>
        <w:trPr>
          <w:trHeight w:val="208"/>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243,922</w:t>
            </w:r>
          </w:p>
        </w:tc>
      </w:tr>
      <w:tr>
        <w:trPr>
          <w:trHeight w:val="252"/>
        </w:trPr>
        <w:tc>
          <w:tcPr>
            <w:tcW w:w="8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(loss) income from unconsolidated joint ventures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debt fund investments, net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loss on sale of interest in unconsolidated joint venture/real estate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marketable securities</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early extinguishment of debt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(77,398)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(21,545)</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r>
      <w:tr>
        <w:trPr>
          <w:trHeight w:val="208"/>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SLGOP</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(87,331)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(18,802)</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Perpetual preferred unit dividends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1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SLGOP common unitholders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(91,069)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(22,540)</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loss per unit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loss per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70"/>
        </w:trPr>
        <w:tc>
          <w:tcPr>
            <w:tcW w:w="8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75,667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74,527</w:t>
            </w:r>
          </w:p>
        </w:tc>
      </w:tr>
      <w:tr>
        <w:trPr>
          <w:trHeight w:val="212"/>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and common unit equivalents outstanding</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75,667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74,527</w:t>
            </w:r>
          </w:p>
        </w:tc>
      </w:tr>
    </w:tbl>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(77,398)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(21,545)</w:t>
            </w:r>
          </w:p>
        </w:tc>
        <w:tc>
          <w:tcPr>
            <w:tcW w:w="0" w:type="dxa"/>
            <w:vAlign w:val="bottom"/>
          </w:tcPr>
          <w:p>
            <w:pPr>
              <w:spacing w:after="0"/>
              <w:rPr>
                <w:sz w:val="1"/>
                <w:szCs w:val="1"/>
                <w:color w:val="auto"/>
              </w:rPr>
            </w:pPr>
          </w:p>
        </w:tc>
      </w:tr>
      <w:tr>
        <w:trPr>
          <w:trHeight w:val="213"/>
        </w:trPr>
        <w:tc>
          <w:tcPr>
            <w:tcW w:w="8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Increase (decrease) in unrealized value of derivative instruments, including SL Green's share of joint venture derivative</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unrealized value of marketable securities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(24,657)</w:t>
            </w:r>
          </w:p>
        </w:tc>
        <w:tc>
          <w:tcPr>
            <w:tcW w:w="0" w:type="dxa"/>
            <w:vAlign w:val="bottom"/>
          </w:tcPr>
          <w:p>
            <w:pPr>
              <w:spacing w:after="0"/>
              <w:rPr>
                <w:sz w:val="1"/>
                <w:szCs w:val="1"/>
                <w:color w:val="auto"/>
              </w:rPr>
            </w:pPr>
          </w:p>
        </w:tc>
      </w:tr>
      <w:tr>
        <w:trPr>
          <w:trHeight w:val="21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(61,541)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(46,202)</w:t>
            </w:r>
          </w:p>
        </w:tc>
        <w:tc>
          <w:tcPr>
            <w:tcW w:w="0" w:type="dxa"/>
            <w:vAlign w:val="bottom"/>
          </w:tcPr>
          <w:p>
            <w:pPr>
              <w:spacing w:after="0"/>
              <w:rPr>
                <w:sz w:val="1"/>
                <w:szCs w:val="1"/>
                <w:color w:val="auto"/>
              </w:rPr>
            </w:pPr>
          </w:p>
        </w:tc>
      </w:tr>
      <w:tr>
        <w:trPr>
          <w:trHeight w:val="212"/>
        </w:trPr>
        <w:tc>
          <w:tcPr>
            <w:tcW w:w="8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attributable to noncontrolling interests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3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SLGOP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(70,221)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(39,686)</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unit data)</w:t>
      </w:r>
    </w:p>
    <w:p>
      <w:pPr>
        <w:spacing w:after="0" w:line="37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SL Green Operating Partnership Unitholders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4"/>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Partners' Interest</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Series I</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9"/>
                <w:szCs w:val="9"/>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Unitholders</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20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71,159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3,471,421</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241,293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3,912,448</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(79,597)</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partnership units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14,911</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Perpetual preferred unit dividends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DRSPP proceeds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common units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Measurement adjustment for redeemable noncontrolling interest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(22,901)</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compensation plan and unit awards, net of forfeitures and tax withholdings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 to consolidated joint venture interests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40,399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40,399</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to debt fund investments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81,725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81,725</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from debt fund investments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distributions to noncontrolling interests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(8,320)</w:t>
            </w:r>
          </w:p>
        </w:tc>
        <w:tc>
          <w:tcPr>
            <w:tcW w:w="0" w:type="dxa"/>
            <w:vAlign w:val="bottom"/>
          </w:tcPr>
          <w:p>
            <w:pPr>
              <w:spacing w:after="0"/>
              <w:rPr>
                <w:sz w:val="1"/>
                <w:szCs w:val="1"/>
                <w:color w:val="auto"/>
              </w:rPr>
            </w:pPr>
          </w:p>
        </w:tc>
      </w:tr>
      <w:tr>
        <w:trPr>
          <w:trHeight w:val="122"/>
        </w:trPr>
        <w:tc>
          <w:tcPr>
            <w:tcW w:w="47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distributions declared ($0.618 per common unit, none of which represented a return</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of capital for federal income tax purposes)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(43,718)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(43,718)</w:t>
            </w:r>
          </w:p>
        </w:tc>
        <w:tc>
          <w:tcPr>
            <w:tcW w:w="0" w:type="dxa"/>
            <w:vAlign w:val="bottom"/>
          </w:tcPr>
          <w:p>
            <w:pPr>
              <w:spacing w:after="0"/>
              <w:rPr>
                <w:sz w:val="1"/>
                <w:szCs w:val="1"/>
                <w:color w:val="auto"/>
              </w:rPr>
            </w:pPr>
          </w:p>
        </w:tc>
      </w:tr>
      <w:tr>
        <w:trPr>
          <w:trHeight w:val="20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71,124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3,321,677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361,476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3,897,798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SL Green Operating Partnership Unitholders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Partners' Interest</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Series I</w:t>
            </w:r>
          </w:p>
        </w:tc>
        <w:tc>
          <w:tcPr>
            <w:tcW w:w="9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0" w:type="dxa"/>
            <w:vAlign w:val="bottom"/>
          </w:tcPr>
          <w:p>
            <w:pPr>
              <w:spacing w:after="0"/>
              <w:rPr>
                <w:sz w:val="11"/>
                <w:szCs w:val="11"/>
                <w:color w:val="auto"/>
              </w:rPr>
            </w:pPr>
          </w:p>
        </w:tc>
        <w:tc>
          <w:tcPr>
            <w:tcW w:w="70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Unitholders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71,097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3,711,172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118,651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4,069,951</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(23,699)</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partnership units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(23,038)</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Perpetual preferred unit dividends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DRSPP proceeds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common units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Measurement adjustment for redeemable noncontrolling interest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(12,940)</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compensation plan and unit awards, net of forfeitures and tax withholdings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(2,525)</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to consolidated joint venture interests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3,437</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distributions to noncontrolling interests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0" w:type="dxa"/>
            <w:vAlign w:val="bottom"/>
          </w:tcPr>
          <w:p>
            <w:pPr>
              <w:spacing w:after="0"/>
              <w:rPr>
                <w:sz w:val="1"/>
                <w:szCs w:val="1"/>
                <w:color w:val="auto"/>
              </w:rPr>
            </w:pPr>
          </w:p>
        </w:tc>
      </w:tr>
      <w:tr>
        <w:trPr>
          <w:trHeight w:val="127"/>
        </w:trPr>
        <w:tc>
          <w:tcPr>
            <w:tcW w:w="47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distributions declared ($0.773 per common unit, none of which represented a return</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capital for federal income tax purposes)</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(54,469)</w:t>
            </w: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71,016</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3,619,367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116,970</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3,953,427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7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(77,398)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(21,545)</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64,498</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(income) from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on sale of interest in unconsolidated joint venture/real estate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9,611</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loss reserves and other investment reserves, net of recoveries</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(25,039)</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9,499</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8,334</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(28,978)</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w:t>
            </w:r>
          </w:p>
        </w:tc>
      </w:tr>
      <w:tr>
        <w:trPr>
          <w:trHeight w:val="214"/>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w:t>
            </w:r>
          </w:p>
        </w:tc>
      </w:tr>
      <w:tr>
        <w:trPr>
          <w:trHeight w:val="19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real estate property</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(664,131)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(112,440)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(103,614)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(74,239)</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(45,924)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(36,786)</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177,610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53,714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or redemption of marketable securities</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real estate loans held by consolidated securitization vehicles</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(49,296)</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Origination or purchase of debt fund investments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(139,161)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Repayments or redemption of debt and preferred equity investments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28,500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(692,392)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(176,273)</w:t>
            </w:r>
          </w:p>
        </w:tc>
      </w:tr>
      <w:tr>
        <w:trPr>
          <w:trHeight w:val="45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620,418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89,253</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(87,401)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unsecured notes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670,410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unsecured notes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(485,410)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9"/>
        </w:trPr>
        <w:tc>
          <w:tcPr>
            <w:tcW w:w="77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(4,595)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(11,267)</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(8,320)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40,399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to debt fund investments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81,725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debt fund investments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on common and preferred stock</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(6,425)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(64,351)</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obligations related to secured borrowing</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(75,294)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share awards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(25,341)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on financing lease liabilities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712,124</w:t>
            </w:r>
          </w:p>
        </w:tc>
        <w:tc>
          <w:tcPr>
            <w:tcW w:w="1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174,953</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336,495</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331,638</w:t>
            </w:r>
          </w:p>
        </w:tc>
      </w:tr>
      <w:tr>
        <w:trPr>
          <w:trHeight w:val="20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338,639</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337,028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units relating to a real estate acquisition</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5,800</w:t>
            </w:r>
          </w:p>
        </w:tc>
        <w:tc>
          <w:tcPr>
            <w:tcW w:w="12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 of mortgage loans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Measurement adjustment for redeemable noncontrolling interest</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22,901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interest</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 of assets related to assets held for sale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211,222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Transfer of liabilities related to assets held for sale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189,842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assets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828,143</w:t>
            </w: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liabilities</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828,143</w:t>
            </w:r>
          </w:p>
        </w:tc>
      </w:tr>
    </w:tbl>
    <w:p>
      <w:pPr>
        <w:spacing w:after="0" w:line="17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143,867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180,133</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194,772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156,895</w:t>
            </w:r>
          </w:p>
        </w:tc>
      </w:tr>
      <w:tr>
        <w:trPr>
          <w:trHeight w:val="236"/>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338,639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337,028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provides services to properties that are wholly-owned by us, certain joint ventures, and third parties.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Substantially all of our assets are held by, and our operations are conducted through, the Operating Partnership. The Company is the sole managing general partner of the Operating Partnership. As of March 31, 2026, noncontrolling investors held, in the aggregate, a 7.63%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March 31, 2026, we owned the following interests in properties in the New York metropolitan area, primarily in midtown Manhattan. Our investments located outside of Manhattan are referred to as the Suburban properties: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20" w:type="dxa"/>
            <w:vAlign w:val="bottom"/>
          </w:tcPr>
          <w:p>
            <w:pPr>
              <w:spacing w:after="0"/>
              <w:rPr>
                <w:sz w:val="16"/>
                <w:szCs w:val="16"/>
                <w:color w:val="auto"/>
              </w:rPr>
            </w:pPr>
          </w:p>
        </w:tc>
        <w:tc>
          <w:tcPr>
            <w:tcW w:w="1260" w:type="dxa"/>
            <w:vAlign w:val="bottom"/>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1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20" w:type="dxa"/>
            <w:vAlign w:val="bottom"/>
          </w:tcPr>
          <w:p>
            <w:pPr>
              <w:spacing w:after="0"/>
              <w:rPr>
                <w:sz w:val="11"/>
                <w:szCs w:val="11"/>
                <w:color w:val="auto"/>
              </w:rPr>
            </w:pPr>
          </w:p>
        </w:tc>
        <w:tc>
          <w:tcPr>
            <w:tcW w:w="9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4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Leased Occupancy </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98"/>
        </w:trPr>
        <w:tc>
          <w:tcPr>
            <w:tcW w:w="980" w:type="dxa"/>
            <w:vAlign w:val="bottom"/>
            <w:vMerge w:val="continue"/>
          </w:tcPr>
          <w:p>
            <w:pPr>
              <w:spacing w:after="0"/>
              <w:rPr>
                <w:sz w:val="17"/>
                <w:szCs w:val="17"/>
                <w:color w:val="auto"/>
              </w:rPr>
            </w:pPr>
          </w:p>
        </w:tc>
        <w:tc>
          <w:tcPr>
            <w:tcW w:w="19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01"/>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10,102,852</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13,868,633</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23,971,485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1"/>
                <w:szCs w:val="11"/>
                <w:color w:val="auto"/>
                <w:w w:val="93"/>
              </w:rPr>
              <w:t>(2)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351,264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86.5 %</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1"/>
                <w:szCs w:val="11"/>
                <w:color w:val="auto"/>
                <w:w w:val="93"/>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1,249,983</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1,249,983</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11,691,380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13,881,352</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25,572,732</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94.3 %</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732,800</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732,800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79.6 %</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12,424,180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13,881,352</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26,305,532</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93.9 %</w:t>
            </w:r>
          </w:p>
        </w:tc>
        <w:tc>
          <w:tcPr>
            <w:tcW w:w="0" w:type="dxa"/>
            <w:vAlign w:val="bottom"/>
          </w:tcPr>
          <w:p>
            <w:pPr>
              <w:spacing w:after="0"/>
              <w:rPr>
                <w:sz w:val="1"/>
                <w:szCs w:val="1"/>
                <w:color w:val="auto"/>
              </w:rPr>
            </w:pPr>
          </w:p>
        </w:tc>
      </w:tr>
      <w:tr>
        <w:trPr>
          <w:trHeight w:val="17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1"/>
                <w:szCs w:val="11"/>
                <w:color w:val="auto"/>
                <w:w w:val="71"/>
                <w:vertAlign w:val="subscript"/>
              </w:rPr>
              <w:t>(3)</w:t>
            </w:r>
            <w:r>
              <w:rPr>
                <w:rFonts w:ascii="Times New Roman" w:cs="Times New Roman" w:eastAsia="Times New Roman" w:hAnsi="Times New Roman"/>
                <w:sz w:val="7"/>
                <w:szCs w:val="7"/>
                <w:color w:val="auto"/>
                <w:w w:val="71"/>
              </w:rPr>
              <w:t>(2)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363,237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585,121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99.2 %</w:t>
            </w:r>
          </w:p>
        </w:tc>
        <w:tc>
          <w:tcPr>
            <w:tcW w:w="0" w:type="dxa"/>
            <w:vAlign w:val="bottom"/>
          </w:tcPr>
          <w:p>
            <w:pPr>
              <w:spacing w:after="0"/>
              <w:rPr>
                <w:sz w:val="1"/>
                <w:szCs w:val="1"/>
                <w:color w:val="auto"/>
              </w:rPr>
            </w:pPr>
          </w:p>
        </w:tc>
      </w:tr>
      <w:tr>
        <w:trPr>
          <w:trHeight w:val="196"/>
        </w:trPr>
        <w:tc>
          <w:tcPr>
            <w:tcW w:w="2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12,787,417</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14,103,236</w:t>
            </w: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26,890,653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Alternative Strategy Portfolio</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2,509,307</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2,509,307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420" w:hanging="412"/>
        <w:spacing w:after="0" w:line="261"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feet divided by the total square footage at acquisition. The weighted average leased occupancy for residential properties represents the total leased units divided by the total available units. Properties under construction are not included in the calculation of weighted average leased occupancy.</w:t>
      </w:r>
    </w:p>
    <w:p>
      <w:pPr>
        <w:jc w:val="both"/>
        <w:ind w:left="420" w:hanging="412"/>
        <w:spacing w:after="0" w:line="256"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we consolidated a building at 315 West 33rd Street that was comprised of approximately 222,855 square feet (unaudited) of residential space and approximately 270,132 square feet (unaudited) of retail space. For the purpose of this report, we have included this building in the number of residential properties we own. We have included only the residential square footage in total residential square footage, and have included the retail square footage in total retail square footage.</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65"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we owned a building at 7 Dey Street / 185 Broadway that was comprised of approximately 140,382 square feet (unaudited) of residential space and approximately 50,206 square feet (unaudited) of office, which is under redevelopment, and retail space. For the purpose of this report, we have included this building in the number of residential properties we own. We have included only the residential square footage in total residential square footage and have included the balance of the square footage as development square footage. As of March 31, 2026, the residential and retail condominium units were classified as held for sale following the execution of an agreement to sell those units for $220.5 million. See Note 4, "Property Dispositions and Properties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320" w:firstLine="445"/>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2026, we also managed three properties owned by third parties encompassing approximately 0.8 million square feet (unaudited). </w:t>
      </w:r>
      <w:r>
        <w:rPr>
          <w:rFonts w:ascii="Times New Roman" w:cs="Times New Roman" w:eastAsia="Times New Roman" w:hAnsi="Times New Roman"/>
          <w:sz w:val="18"/>
          <w:szCs w:val="18"/>
          <w:b w:val="1"/>
          <w:bCs w:val="1"/>
          <w:color w:val="auto"/>
        </w:rPr>
        <w:t>Partnership Agreement</w:t>
      </w:r>
    </w:p>
    <w:p>
      <w:pPr>
        <w:spacing w:after="0" w:line="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Quarterly Presentation</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and the Operating Partnership at March 31, 2026 and the results of operations for the periods presented have been included. The operating results for the period presented are not necessarily indicative of the results that may be expected for the year ending December 31, 2026. These financial statements should be read in conjunction with the financial statements and accompanying notes included in the Annual Report on Form 10-K for the year ended December 31, 2025 of the Company and the Operating Partnership.</w:t>
      </w:r>
    </w:p>
    <w:p>
      <w:pPr>
        <w:spacing w:after="0" w:line="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2025 has been derived from the audited financial statements as of that date but does not include all the information and footnotes required by accounting principles generally accepted in the United States for complete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9"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Topic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certain prior period balances have been reclassified to conform to our current year presentation.</w:t>
      </w:r>
    </w:p>
    <w:p>
      <w:pPr>
        <w:spacing w:after="0" w:line="48" w:lineRule="exact"/>
        <w:rPr>
          <w:sz w:val="20"/>
          <w:szCs w:val="20"/>
          <w:color w:val="auto"/>
        </w:rPr>
      </w:pPr>
    </w:p>
    <w:p>
      <w:pPr>
        <w:ind w:right="8680" w:firstLine="8"/>
        <w:spacing w:after="0" w:line="400" w:lineRule="auto"/>
        <w:tabs>
          <w:tab w:leader="none" w:pos="1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Principles of Consolidation</w:t>
      </w: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those of our subsidiaries, which are wholly-owned or controlled by us. Entities which we have significant influence, but do not control, through our voting interest and entities which are variable interest entities, but where we are not the primary beneficiary, are accounted for under the equity method. See Note 5, "Investments in Unconsolidated Joint Ventures." and Note 7, "Debt and Preferred Equity Investments." All significant intercompany balances and transactions have been eliminated.</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consolidate a variable interest entity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Commercial Real Estate Properties</w:t>
      </w:r>
    </w:p>
    <w:p>
      <w:pPr>
        <w:spacing w:after="0" w:line="12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Origination costs are amortized as an expense over the remaining life of the lease and tenant improvements are amortized over the shorter of the remaining life of the lease or useful life of the improvement (or charged against earnings if the lease is terminated prior to its contractual expiration date). When allocating the purchase price of real estate,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w:t>
      </w:r>
    </w:p>
    <w:p>
      <w:pPr>
        <w:spacing w:after="0" w:line="8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classifies those leases under which the Company is the lessee at lease commencement as finance or operating leases. Leases qualify as finance leases if (i) the lease transfers ownership of the asset at the end of the lease term, (ii) the lease grants an option to purchase the asset that we are reasonably certain to exercise, (iii) the lease term is for a major part of the remaining economic life of the asset, (iv) the present value of the lease payments equals or exceeds substantially all of the fair value of the underlying asset, or (v) the underlying asset is of such a specialized nature that it is expected to have no alternative use to the lessor at the end of the lease term.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When applicable, the Company combines the consideration for lease and non-lease components in the calculation of the value of the lease obligation and right-of-use asset.</w:t>
      </w:r>
    </w:p>
    <w:p>
      <w:pPr>
        <w:spacing w:after="0" w:line="7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Properties are individually evaluated for impairment quarterly or whenever events or changes in circumstances indicate that the carrying amount may not be recoverable. A consolidated property's value is considered impaired if management's estimate of the aggregate future cash flows (undiscounted) and terminal value to be generated by the property is less than the carrying value of the property taking into account the appropriate capitalization rate in determining the future terminal value. To the extent impairment has occurred, the loss will be measured as the excess of the carrying amount of the property over the fair value of the property as calculated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We also evaluate our real estate consolidated properties for impairment when a property has been classified as held for sale. Real estate assets held for sale are valued at the lower of their carrying value or fair value less costs to sell and depreciation expense is no longer recorded.</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we recognized a reduction of rental revenues of ($0.5 million) and ($1.6 million), respectively, for the amortization of aggregate above-market leases in excess of below-market leases resulting from the allocation of the purchase price of the applicable properties.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summarizes our identified intangible assets (acquired above-market leases and in-place leases) and intangible liabilities (acquired below-market leases) as of March 31, 2026 and December 31, 2025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Identified intangible assets (included in other assets):</w:t>
            </w: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459,362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365,454</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(237,276)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(224,360)</w:t>
            </w:r>
          </w:p>
        </w:tc>
      </w:tr>
      <w:tr>
        <w:trPr>
          <w:trHeight w:val="21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222,086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141,094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Identified intangible liabilities (included in deferred revenue):</w:t>
            </w: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1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259,386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242,136</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(209,890)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(207,798)</w:t>
            </w:r>
          </w:p>
        </w:tc>
      </w:tr>
      <w:tr>
        <w:trPr>
          <w:trHeight w:val="21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49,496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34,338</w:t>
            </w:r>
          </w:p>
        </w:tc>
      </w:tr>
      <w:tr>
        <w:trPr>
          <w:trHeight w:val="21"/>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consider all highly liquid investments with maturity of three months or less when purchased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security deposits held on behalf of our tenants, interest reserves, as well as capital improvement and real estate tax escrows required under certain loan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16, "Fair Value Measurements."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Fund Investments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Through wholly-owned subsidiaries, we are the general partner and investment manager of SLG Opportunistic Debt Fund LP and SLG Opportunistic Debt Parallel Fund LP (collectively, the "Fund"). The Fund is accounted for under ASC Topic 946, </w:t>
      </w:r>
      <w:r>
        <w:rPr>
          <w:rFonts w:ascii="Times New Roman" w:cs="Times New Roman" w:eastAsia="Times New Roman" w:hAnsi="Times New Roman"/>
          <w:sz w:val="18"/>
          <w:szCs w:val="18"/>
          <w:i w:val="1"/>
          <w:iCs w:val="1"/>
          <w:color w:val="auto"/>
        </w:rPr>
        <w:t>Financial Services - Investment Companies</w:t>
      </w:r>
      <w:r>
        <w:rPr>
          <w:rFonts w:ascii="Times New Roman" w:cs="Times New Roman" w:eastAsia="Times New Roman" w:hAnsi="Times New Roman"/>
          <w:sz w:val="18"/>
          <w:szCs w:val="18"/>
          <w:color w:val="auto"/>
        </w:rPr>
        <w:t xml:space="preserve"> ("ASC 946") and its investments are reported on our balance sheet at fair value, with changes in value each period recognized on the income statement. We consolidate the balances of the Fund into our consolidated financial statements because the Fund is a VIE in which we are considered the primary beneficiary, retaining the fair value basis of accounting. See Note 6, "Debt Fund."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Marketable Securities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acquisition, we designate a debt security as held-to-maturity, available-for-sale, or trading. As of March 31, 2026, we did not have any debt securities designated as trading. We account for our available-for-sale securities at fair value pursuant to ASC 820,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We account for our held-to-maturity securities at amortized cost basis. Credit losses for our held-to-maturity debt securities are recognized in accordance with ASC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("ASC 326"). No allowance for loan losses were recognized for the three months ended March 31, 2026 and 2025.</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account for marketable equity securities at fair value pursuant to ASC 820, with the net unrealized gains or losses reported in net income.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and December 31, 2025, we held the following commercial mortgage-backed securities ("CMBS")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 - available-for-sale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23,666</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 - held-to-maturity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 in marketable securities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cost basis of the available-for-sale CMBS was $24.4 million and $24.4 million as of March 31, 2026 and December 31, 2025, respectively. These securities mature at various times through 2045. As of March 31, 2026, six securities were in an unrealized gain position of $1.0 million with a fair market value of $16.5 million, and two securities were in an unrealized loss position of $0.1 million with a fair market value of $8.9 million. As of December 31, 2025, five securities were in an unrealized gain position of $0.3 million with a fair market value of $12.5 million, and four securities were in an unrealized loss position of $1.0 million and fair market value of $11.2 million.</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March 31, 2026 and March 31, 2025, we did not dispose of any CMBS.</w:t>
      </w:r>
    </w:p>
    <w:p>
      <w:pPr>
        <w:spacing w:after="0" w:line="11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did not receive repayments of any CMBS. During the three months ended March 31, 2025, we received aggregate net proceeds of $5.3 million from the repayment of CMBS.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held no equity marketable securities as of March 31, 2026 and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CMBS Securitization Trusts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may be contracted as the special servicer for CMBS securitization trusts and, in certain cases, we may also acquire securities in these trusts either directly or indirectly through the Fund. In certain cases, we may acquire the controlling class of the trust and we may have the right to designate, and remove, the special servicer for these trusts. These circumstances may result in our consolidating of the securitization trusts in our financial statements. We evaluate all of our positions and special servicer appointments for consolidation, which are considered to be VIEs to the Company.</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the special servicer, we provide services on defaulted loans within the trusts as permitted by the underlying contractual agreements. We receive a fee in exchange for these services. The rights provided to us as special servicer give us the ability to direct activities that could significantly impact the trust's economic performance, which requires consolidation of the securitization trust unless a third party has the right to unilaterally remove us as special servicer without cause. In such instances where we can be removed as special servicer without cause, we do not have the power to direct activities that most significantly impact the trust's economic performance and would not consolidate the securitization trust.</w:t>
      </w:r>
    </w:p>
    <w:p>
      <w:pPr>
        <w:spacing w:after="0" w:line="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For CMBS securitization trusts in which we are determined to be the primary beneficiary, we consolidate the securitization trusts on our consolidated balance sheets. The consolidation of such securitization trusts results in a gross presentation of the underlying collateral loans as assets as well as the senior CMBS positions owned by third parties, which are presented as liabilities on our consolidated balance sheets. The assets of the consolidated securitization trust can only be used to satisfy the liabilities of that securitization and are not available to the Company for any other purpose. Additionally, the senior CMBS securitization trust obligations can only be satisfied through repayment of the underlying collateral loans as they do not have any recourse to the Company or our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not provided any guarantees with respect to the performance or repayment of the senior CMBS obligations.</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While consolidation of the securitization trust increases the gross presentation of our consolidated balance sheets, it does not impact the economic exposure or performance of the Company as it is limited to that of the actual investment in the CMBS securitization trust, and not the consolidated senior obligations.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and December 31, 2025, we consolidated the following CMBS securitization trusts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80" w:type="dxa"/>
            <w:vAlign w:val="bottom"/>
          </w:tcPr>
          <w:p>
            <w:pPr>
              <w:spacing w:after="0"/>
              <w:rPr>
                <w:sz w:val="24"/>
                <w:szCs w:val="24"/>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Principal Value</w:t>
            </w:r>
          </w:p>
        </w:tc>
        <w:tc>
          <w:tcPr>
            <w:tcW w:w="160" w:type="dxa"/>
            <w:vAlign w:val="bottom"/>
          </w:tcPr>
          <w:p>
            <w:pPr>
              <w:spacing w:after="0"/>
              <w:rPr>
                <w:sz w:val="24"/>
                <w:szCs w:val="24"/>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Principal Value</w:t>
            </w:r>
          </w:p>
        </w:tc>
        <w:tc>
          <w:tcPr>
            <w:tcW w:w="100" w:type="dxa"/>
            <w:vAlign w:val="bottom"/>
          </w:tcPr>
          <w:p>
            <w:pPr>
              <w:spacing w:after="0"/>
              <w:rPr>
                <w:sz w:val="24"/>
                <w:szCs w:val="24"/>
                <w:color w:val="auto"/>
              </w:rPr>
            </w:pPr>
          </w:p>
        </w:tc>
        <w:tc>
          <w:tcPr>
            <w:tcW w:w="1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xml:space="preserve">Maturity </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Real estate loans held by consolidated securitization vehicles </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1,027,164</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1,119,044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1,023,877</w:t>
            </w:r>
          </w:p>
        </w:tc>
        <w:tc>
          <w:tcPr>
            <w:tcW w:w="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1,119,044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2023 - 2027</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1,027,164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1,119,044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1,023,877</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1,119,044</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2023 - 2027</w:t>
            </w: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Real estate loans held by consolidated securitization vehicles in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w:t>
            </w:r>
          </w:p>
        </w:tc>
        <w:tc>
          <w:tcPr>
            <w:tcW w:w="11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excess of senior obligations of consolidated securitization vehicles</w:t>
            </w:r>
          </w:p>
        </w:tc>
        <w:tc>
          <w:tcPr>
            <w:tcW w:w="1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real estate loans held by the Fund.</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respective borrowers on the resolution of the past maturities.</w:t>
      </w:r>
    </w:p>
    <w:p>
      <w:pPr>
        <w:spacing w:after="0" w:line="11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have elected to record the associated interest income and interest expense for these investments as separate line items in our consolidated statements of operations. The amounts recorded in "Interest income from real estate loans held by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securitization vehicles" in our consolidated statements of operations include the Company's interest income as well as the interest income associated with CMBS positions owned by third parties, which is offset by the amounts recorded in "Interest expense on senior obligations of consolidated securitization vehicles" in our consolidated statements of operations. As a result, the net impact is limited to the interest income on the CMBS we own directly and not the gross consolidated interest income and interest expense. For CMBS positions held by the Fund the interest income allocated to noncontrolling interests in the Fund is a component of "Net loss (income) attributable to noncontrolling interests in other partnerships" in our consolidated statements of operations.</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Through the Fund we hold an investment in a CMBS securitization trust that qualifies as a VIE. We evaluated our involvement with the securitization trust and determined that we are not the primary beneficiary. Accordingly, the securitization trust is not consolidated in our financial statements. The maximum exposure to loss is limited to the carrying amount of the Fund's investment in the trust.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Aside from charges noted in Note 5, "Investments in Unconsolidated Joint Ventures," or Note 16, "Fair Value Measurements," we do not believe that the values of any of our equity investments were impaired at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Lease Costs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Deferred lease costs consist of incremental fees and direct costs that would not have been incurred if the lease had not been obtained and are amortized on a straight-line basis over the related lease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Classification</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Rental revenue for operating leases is recognized on a straight-line basis over the term of the lease. Rental revenue recognition commences when the leased space is available for its intended use by the lessee.</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determine whether the leased space is available for its intended use by the lessee, management evaluates whether we or the tenant are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excess of rents recognized over amounts contractually due pursuant to the underlying leases are included in deferred rents receivable on the consolidated balance sheets.</w:t>
      </w:r>
    </w:p>
    <w:p>
      <w:pPr>
        <w:spacing w:after="0" w:line="5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record a gain or loss on sale of real estate assets when we no longer have a controlling financial interest in the entity owning the real estate, a contract exists with a third party and that third party has control of the assets acquired.</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7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8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Asset management fees are recognized on a straight-line basis over the term of the asset management agreement.</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Revenues from the sale of SUMMIT tickets are recognized upon admission or ticket expirations. Deferred revenue related to unused and unexpired tickets as of March 31, 2026 and December 31, 2025 was $4.2 million and $3.1 million, respectively, and is included in "Deferred revenue"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Preferred Equity Investments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spacing w:after="0" w:line="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 As circumstances change, management may conclude not to sell an investment designated as held for sale. In such situations, the investment will be reclassified at its expected amount to be collected.</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Other financing receivables that are included in balance sheet line items other than the Debt and preferred equity investments line are also measured at the net amount expected to be collected.</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state and local corporate tax liability for these entities. During the three months ended March 31, 2026 we recorded Federal, state, and local tax benefits of $1.2 million for these entities, excluding SUMMIT. During the three months ended March 31, 2025, we recorded Federal, state, and local tax expense of $0.5 million, for these entities, excluding SUMMIT.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SUMMIT is held in a TRS and pays Federal, state and local taxes. During the three months ended March 31, 2026, we recorded Federal, state, and local tax expense for SUMMIT of $0.6 million. During the three months ended March 31, 2025 we recorded Federal, state and local tax benefits for SUMMIT of $0.1 million.</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investments and accounts receivable. We place our cash investments with high quality financial institutions.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principally in Manhattan. Our tenants operate in various industries. No tenant in our portfolio accounted for more than 5.0% of our share of annualized cash rent, including our share of joint venture annualized cash rent, for the three months ended March 31, 2026.</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following properties contributed more than 5.0% of our annualized cash rent from office properties, including our share of annualized cash rent from joint venture office properties: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38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r>
      <w:tr>
        <w:trPr>
          <w:trHeight w:val="21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6380" w:type="dxa"/>
            <w:vAlign w:val="bottom"/>
            <w:shd w:val="clear" w:color="auto" w:fill="CCEEFF"/>
          </w:tcPr>
          <w:p>
            <w:pPr>
              <w:jc w:val="center"/>
              <w:ind w:left="2679"/>
              <w:spacing w:after="0"/>
              <w:rPr>
                <w:sz w:val="20"/>
                <w:szCs w:val="20"/>
                <w:color w:val="auto"/>
              </w:rPr>
            </w:pPr>
            <w:r>
              <w:rPr>
                <w:rFonts w:ascii="Times New Roman" w:cs="Times New Roman" w:eastAsia="Times New Roman" w:hAnsi="Times New Roman"/>
                <w:sz w:val="16"/>
                <w:szCs w:val="16"/>
                <w:color w:val="auto"/>
              </w:rPr>
              <w:t>12.0%</w:t>
            </w:r>
          </w:p>
        </w:tc>
      </w:tr>
      <w:tr>
        <w:trPr>
          <w:trHeight w:val="21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6380" w:type="dxa"/>
            <w:vAlign w:val="bottom"/>
          </w:tcPr>
          <w:p>
            <w:pPr>
              <w:jc w:val="center"/>
              <w:ind w:left="2679"/>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380" w:type="dxa"/>
            <w:vAlign w:val="bottom"/>
            <w:shd w:val="clear" w:color="auto" w:fill="CCEEFF"/>
          </w:tcPr>
          <w:p>
            <w:pPr>
              <w:jc w:val="center"/>
              <w:ind w:left="2679"/>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6380" w:type="dxa"/>
            <w:vAlign w:val="bottom"/>
          </w:tcPr>
          <w:p>
            <w:pPr>
              <w:jc w:val="center"/>
              <w:ind w:left="2679"/>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6380" w:type="dxa"/>
            <w:vAlign w:val="bottom"/>
            <w:shd w:val="clear" w:color="auto" w:fill="CCEEFF"/>
          </w:tcPr>
          <w:p>
            <w:pPr>
              <w:jc w:val="center"/>
              <w:ind w:left="2679"/>
              <w:spacing w:after="0"/>
              <w:rPr>
                <w:sz w:val="20"/>
                <w:szCs w:val="20"/>
                <w:color w:val="auto"/>
              </w:rPr>
            </w:pPr>
            <w:r>
              <w:rPr>
                <w:rFonts w:ascii="Times New Roman" w:cs="Times New Roman" w:eastAsia="Times New Roman" w:hAnsi="Times New Roman"/>
                <w:sz w:val="16"/>
                <w:szCs w:val="16"/>
                <w:color w:val="auto"/>
              </w:rPr>
              <w:t>5.8%</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1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No. 2025-11,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270): Narrow-Scope Improvements </w:t>
      </w:r>
      <w:r>
        <w:rPr>
          <w:rFonts w:ascii="Times New Roman" w:cs="Times New Roman" w:eastAsia="Times New Roman" w:hAnsi="Times New Roman"/>
          <w:sz w:val="18"/>
          <w:szCs w:val="18"/>
          <w:color w:val="auto"/>
        </w:rPr>
        <w:t>("ASU 2025-11"), which clarifies the guidance in Topic 270 to improve the consistency of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We are currently evaluating the impact of ASU 2025-11 on our consolidated financial statements.</w:t>
      </w:r>
    </w:p>
    <w:p>
      <w:pPr>
        <w:spacing w:after="0" w:line="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xml:space="preserve"> ("ASU 2025-09"), which includes amendments intended to more closely align hedge accounting with the economics of a company's risk management activities. ASU 2025-09 is effective for fiscal years beginning after December 15, 2026, including interim periods within those fiscal years, with early adoption permitted. We are currently evaluating the impact of ASU 2025-09 on our consolidated financial statements.</w:t>
      </w:r>
    </w:p>
    <w:p>
      <w:pPr>
        <w:spacing w:after="0" w:line="7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2025-08, </w:t>
      </w:r>
      <w:r>
        <w:rPr>
          <w:rFonts w:ascii="Times New Roman" w:cs="Times New Roman" w:eastAsia="Times New Roman" w:hAnsi="Times New Roman"/>
          <w:sz w:val="18"/>
          <w:szCs w:val="18"/>
          <w:i w:val="1"/>
          <w:iCs w:val="1"/>
          <w:color w:val="auto"/>
        </w:rPr>
        <w:t>Financial Instruments—Credit Losses (Topic 326): Purchased Loans</w:t>
      </w:r>
      <w:r>
        <w:rPr>
          <w:rFonts w:ascii="Times New Roman" w:cs="Times New Roman" w:eastAsia="Times New Roman" w:hAnsi="Times New Roman"/>
          <w:sz w:val="18"/>
          <w:szCs w:val="18"/>
          <w:color w:val="auto"/>
        </w:rPr>
        <w:t xml:space="preserve"> ("ASU 2025-08") which amends the guidance in ASC 326 on the accounting for certain purchased loans. The amendments expand the application of the "gross-up" approach for recognizing expected credit losses at acquisition to a broader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category of purchased loans, referred to as purchased seasoned loans. Under this approach, the allowance for credit losses is added to the amortized cost basis of the acquired loans rather than recorded as an immediate provision for credit loss expense. The amendments align the accounting for purchased seasoned loans with the treatment of financial assets purchased with more-than-insignificant credit deterioration since origination. ASU 2025-08 is effective for fiscal years beginning after December 15, 2026, including interim periods within those years, with early adoption permitted. We are currently evaluating the impact of ASU 2025-08 on our consolidated financial statements.</w:t>
      </w:r>
    </w:p>
    <w:p>
      <w:pPr>
        <w:spacing w:after="0" w:line="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May 2025, the FASB issued ASU No. 2025-03, </w:t>
      </w:r>
      <w:r>
        <w:rPr>
          <w:rFonts w:ascii="Times New Roman" w:cs="Times New Roman" w:eastAsia="Times New Roman" w:hAnsi="Times New Roman"/>
          <w:sz w:val="18"/>
          <w:szCs w:val="18"/>
          <w:i w:val="1"/>
          <w:iCs w:val="1"/>
          <w:color w:val="auto"/>
        </w:rPr>
        <w:t>Business Combinations (Topic 805) and Consolidation (Topic 810): 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Acquirer in the Acquisition of a Variable Interest Entity </w:t>
      </w:r>
      <w:r>
        <w:rPr>
          <w:rFonts w:ascii="Times New Roman" w:cs="Times New Roman" w:eastAsia="Times New Roman" w:hAnsi="Times New Roman"/>
          <w:sz w:val="18"/>
          <w:szCs w:val="18"/>
          <w:color w:val="auto"/>
        </w:rPr>
        <w:t>("ASU 2025-03"). The objective of this amendment is to improve the requirements for identifying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acquirer in a transaction where the legal acquiree is a VIE and improve comparability between business combinations that involve VIEs and those that do not. The amendment replaces the prior GAAP requirement that the primary beneficiary of the legal acquiree is always the accounting acquirer with an assessment to determine the accounting acquirer in business combinations effected primarily by the exchange of equity interests. ASU 2025-03 is effective for fiscal years beginning after December 15, 2026, including interim periods within those fiscal years. Early adoption is permitted. The amendments in ASU 2025-03 must be applied prospectively to any business combination that occurs after the initial adoption date. We will apply the guidance in this update to evaluate future business combinations involving a VIE.</w:t>
      </w:r>
    </w:p>
    <w:p>
      <w:pPr>
        <w:spacing w:after="0" w:line="7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The objective of this amendment is to help investors better understand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public entity's performance, better assess the entity's prospect for future cash flows, and compare the entity's performance over time and with that of other entities. The amendment will require public business entities to include a footnote disclosure about specific expenses by requiring them to disaggregate, in a tabular presentation, each relevant expense caption on the face of the income statement that includes purchases of inventory, employee compensation, depreciation, and intangible asset amortization. For any remaining items within each relevant expense caption, a qualitative disclosure is required for the amounts that are not separately disaggregated quantitatively. Additionally, the amendment provides guidance on the definition of selling expenses along with a requirement to disclose the total amount of selling expenses. The amendment does not change the requirements for the presentation of expenses on the face of the income statement. ASU 2024-03 is effective for annual periods beginning after December 15, 2026, and interim reporting periods beginning after December 15, 2027. Early adoption is permitted. We are currently evaluating the impact of ASU 2024-03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right="7860" w:firstLine="8"/>
        <w:spacing w:after="0" w:line="378"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Acquisitions and Consolidations Property Acquisitions</w:t>
      </w: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properties acquired during the three months ended March 31, 2026:</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20" w:type="dxa"/>
            <w:vAlign w:val="bottom"/>
          </w:tcPr>
          <w:p>
            <w:pPr>
              <w:spacing w:after="0"/>
              <w:rPr>
                <w:sz w:val="16"/>
                <w:szCs w:val="16"/>
                <w:color w:val="auto"/>
              </w:rPr>
            </w:pPr>
          </w:p>
        </w:tc>
        <w:tc>
          <w:tcPr>
            <w:tcW w:w="1440" w:type="dxa"/>
            <w:vAlign w:val="bottom"/>
            <w:gridSpan w:val="2"/>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Gross Asset</w:t>
            </w:r>
          </w:p>
        </w:tc>
        <w:tc>
          <w:tcPr>
            <w:tcW w:w="0" w:type="dxa"/>
            <w:vAlign w:val="bottom"/>
          </w:tcPr>
          <w:p>
            <w:pPr>
              <w:spacing w:after="0"/>
              <w:rPr>
                <w:sz w:val="1"/>
                <w:szCs w:val="1"/>
                <w:color w:val="auto"/>
              </w:rPr>
            </w:pPr>
          </w:p>
        </w:tc>
      </w:tr>
      <w:tr>
        <w:trPr>
          <w:trHeight w:val="162"/>
        </w:trPr>
        <w:tc>
          <w:tcPr>
            <w:tcW w:w="396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Acquisition Date</w:t>
            </w: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Property Type</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Approximate</w:t>
            </w: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Valuation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6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211"/>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East 55th Street (Park Avenue Tower)</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2026</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Fee Interest</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Condominium at 610 Park Avenue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Fee Interest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gross asset valuation of the property before closing costs and adjustments.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Consolidations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March 31, 2026, we did not consolidate any unconsolidated joint venture properties.</w:t>
      </w:r>
    </w:p>
    <w:p>
      <w:pPr>
        <w:spacing w:after="0" w:line="113" w:lineRule="exact"/>
        <w:rPr>
          <w:sz w:val="20"/>
          <w:szCs w:val="20"/>
          <w:color w:val="auto"/>
        </w:rPr>
      </w:pPr>
    </w:p>
    <w:p>
      <w:pPr>
        <w:ind w:right="7160" w:firstLine="8"/>
        <w:spacing w:after="0" w:line="377"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Dispositions and Properties Held for Sale Property Dispositions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w:t>
            </w:r>
          </w:p>
        </w:tc>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following</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table</w:t>
            </w: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summarizes</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sold</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during</w:t>
            </w:r>
          </w:p>
        </w:tc>
        <w:tc>
          <w:tcPr>
            <w:tcW w:w="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three</w:t>
            </w:r>
          </w:p>
        </w:tc>
        <w:tc>
          <w:tcPr>
            <w:tcW w:w="14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months</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ended</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March</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6"/>
                <w:szCs w:val="16"/>
                <w:color w:val="auto"/>
              </w:rPr>
            </w:pPr>
          </w:p>
        </w:tc>
        <w:tc>
          <w:tcPr>
            <w:tcW w:w="15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 xml:space="preserve">Sales Price </w:t>
            </w:r>
            <w:r>
              <w:rPr>
                <w:rFonts w:ascii="Times New Roman" w:cs="Times New Roman" w:eastAsia="Times New Roman" w:hAnsi="Times New Roman"/>
                <w:sz w:val="21"/>
                <w:szCs w:val="21"/>
                <w:b w:val="1"/>
                <w:bCs w:val="1"/>
                <w:color w:val="auto"/>
                <w:w w:val="97"/>
                <w:vertAlign w:val="superscript"/>
              </w:rPr>
              <w:t>(1)</w:t>
            </w:r>
          </w:p>
        </w:tc>
        <w:tc>
          <w:tcPr>
            <w:tcW w:w="178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Gain on Sale</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Disposition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Property Type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Approximate</w:t>
            </w:r>
          </w:p>
        </w:tc>
        <w:tc>
          <w:tcPr>
            <w:tcW w:w="14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Square Feet</w:t>
            </w:r>
          </w:p>
        </w:tc>
        <w:tc>
          <w:tcPr>
            <w:tcW w:w="14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8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0" w:type="dxa"/>
            <w:vAlign w:val="bottom"/>
          </w:tcPr>
          <w:p>
            <w:pPr>
              <w:spacing w:after="0"/>
              <w:rPr>
                <w:sz w:val="1"/>
                <w:szCs w:val="1"/>
                <w:color w:val="auto"/>
              </w:rPr>
            </w:pPr>
          </w:p>
        </w:tc>
      </w:tr>
      <w:tr>
        <w:trPr>
          <w:trHeight w:val="211"/>
        </w:trPr>
        <w:tc>
          <w:tcPr>
            <w:tcW w:w="1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690 Madison Avenue</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rPr>
              <w:t>February 2026</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Fee Interest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price represents the gross sales price for a property or the gross asset valuation for interests in a property.</w:t>
      </w:r>
    </w:p>
    <w:p>
      <w:pPr>
        <w:spacing w:after="0" w:line="27" w:lineRule="exact"/>
        <w:rPr>
          <w:rFonts w:ascii="Times New Roman" w:cs="Times New Roman" w:eastAsia="Times New Roman" w:hAnsi="Times New Roman"/>
          <w:sz w:val="14"/>
          <w:szCs w:val="14"/>
          <w:color w:val="auto"/>
        </w:rPr>
      </w:pPr>
    </w:p>
    <w:p>
      <w:pPr>
        <w:ind w:left="420" w:hanging="412"/>
        <w:spacing w:after="0" w:line="283" w:lineRule="auto"/>
        <w:tabs>
          <w:tab w:leader="none" w:pos="4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on sale is net of $3.9 million of employee compensation recognized in connection with the property disposition. Amounts do not include adjustments for expenses recorded in subsequent periods.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Held for Sale</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 residential and retail condominium units at 7 Dey Street were classified as held for sale following the execution of an agreement to sell the units for $220.5 million. The transaction is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in Unconsolidated Joint Ventures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investments in several real estate joint ventures with various third-party partners. As of March 31, 2026, the book value of these investments was $2.5 billion, net of investments with negative book values totaling $223.0 million for which we have an implicit commitment to fund future capital needs.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March 31, 2026, we have one unconsolidated joint venture that is a VIE with a carrying value of $22.3 million. Our maximum loss is limited to the amount of our equity investment in this VIE. As of December 31, 2025, there were no unconsolidated joint ventures that were VIEs. See the "Principles of Consolidation" section of Note 2, "Significant Accounting Policies."</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we have the ability to exercise significant influence over, but do not control, the joint ventures listed below, we account for them under the equity method of accounting.</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general information on each of our joint ventures as of March 31, 2026:</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560" w:type="dxa"/>
            <w:vAlign w:val="bottom"/>
            <w:vMerge w:val="restart"/>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220" w:type="dxa"/>
            <w:vAlign w:val="bottom"/>
            <w:vMerge w:val="restart"/>
          </w:tcPr>
          <w:p>
            <w:pPr>
              <w:ind w:left="3280"/>
              <w:spacing w:after="0"/>
              <w:rPr>
                <w:sz w:val="20"/>
                <w:szCs w:val="20"/>
                <w:color w:val="auto"/>
              </w:rPr>
            </w:pPr>
            <w:r>
              <w:rPr>
                <w:rFonts w:ascii="Times New Roman" w:cs="Times New Roman" w:eastAsia="Times New Roman" w:hAnsi="Times New Roman"/>
                <w:sz w:val="16"/>
                <w:szCs w:val="16"/>
                <w:b w:val="1"/>
                <w:bCs w:val="1"/>
                <w:color w:val="auto"/>
              </w:rPr>
              <w:t>Partner</w:t>
            </w:r>
          </w:p>
        </w:tc>
        <w:tc>
          <w:tcPr>
            <w:tcW w:w="156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auto"/>
            </w:tcBorders>
            <w:gridSpan w:val="2"/>
            <w:vMerge w:val="continue"/>
          </w:tcPr>
          <w:p>
            <w:pPr>
              <w:spacing w:after="0"/>
              <w:rPr>
                <w:sz w:val="18"/>
                <w:szCs w:val="18"/>
                <w:color w:val="auto"/>
              </w:rPr>
            </w:pPr>
          </w:p>
        </w:tc>
        <w:tc>
          <w:tcPr>
            <w:tcW w:w="62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ind w:left="299"/>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Interest </w:t>
            </w:r>
            <w:r>
              <w:rPr>
                <w:rFonts w:ascii="Times New Roman" w:cs="Times New Roman" w:eastAsia="Times New Roman" w:hAnsi="Times New Roman"/>
                <w:sz w:val="21"/>
                <w:szCs w:val="21"/>
                <w:b w:val="1"/>
                <w:bCs w:val="1"/>
                <w:color w:val="auto"/>
                <w:w w:val="94"/>
                <w:vertAlign w:val="superscript"/>
              </w:rPr>
              <w:t>(1)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919</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New York State Teacher's Retirement System</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51.00%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1,454,000</w:t>
            </w:r>
          </w:p>
        </w:tc>
        <w:tc>
          <w:tcPr>
            <w:tcW w:w="0" w:type="dxa"/>
            <w:vAlign w:val="bottom"/>
          </w:tcPr>
          <w:p>
            <w:pPr>
              <w:spacing w:after="0"/>
              <w:rPr>
                <w:sz w:val="1"/>
                <w:szCs w:val="1"/>
                <w:color w:val="auto"/>
              </w:rPr>
            </w:pPr>
          </w:p>
        </w:tc>
      </w:tr>
      <w:tr>
        <w:trPr>
          <w:trHeight w:val="216"/>
        </w:trPr>
        <w:tc>
          <w:tcPr>
            <w:tcW w:w="2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11 West 34th Street </w:t>
            </w:r>
            <w:r>
              <w:rPr>
                <w:rFonts w:ascii="Times New Roman" w:cs="Times New Roman" w:eastAsia="Times New Roman" w:hAnsi="Times New Roman"/>
                <w:sz w:val="21"/>
                <w:szCs w:val="21"/>
                <w:color w:val="auto"/>
                <w:vertAlign w:val="superscript"/>
              </w:rPr>
              <w:t>(2)</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Private Investor / Wharton Properties</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30.00%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Vornado Realty Trust</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50.00%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1,219,158</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1552 Broadway</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Wharton Properties</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50.00%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57,718</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650</w:t>
            </w:r>
          </w:p>
        </w:tc>
        <w:tc>
          <w:tcPr>
            <w:tcW w:w="1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Fifth Avenue </w:t>
            </w:r>
            <w:r>
              <w:rPr>
                <w:rFonts w:ascii="Times New Roman" w:cs="Times New Roman" w:eastAsia="Times New Roman" w:hAnsi="Times New Roman"/>
                <w:sz w:val="21"/>
                <w:szCs w:val="21"/>
                <w:color w:val="auto"/>
                <w:vertAlign w:val="superscript"/>
              </w:rPr>
              <w:t>(2) (3)</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Wharton Properties</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50.00%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69,214</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PGIM Real Estate</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60.00%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2,314,000</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National Pension Service of Korea / Hines Interest LP / Mori Building Co., Ltd</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55.01%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1,657,198</w:t>
            </w:r>
          </w:p>
        </w:tc>
        <w:tc>
          <w:tcPr>
            <w:tcW w:w="0" w:type="dxa"/>
            <w:vAlign w:val="bottom"/>
          </w:tcPr>
          <w:p>
            <w:pPr>
              <w:spacing w:after="0"/>
              <w:rPr>
                <w:sz w:val="1"/>
                <w:szCs w:val="1"/>
                <w:color w:val="auto"/>
              </w:rPr>
            </w:pPr>
          </w:p>
        </w:tc>
      </w:tr>
      <w:tr>
        <w:trPr>
          <w:trHeight w:val="216"/>
        </w:trPr>
        <w:tc>
          <w:tcPr>
            <w:tcW w:w="2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Worldwide Plaza </w:t>
            </w:r>
            <w:r>
              <w:rPr>
                <w:rFonts w:ascii="Times New Roman" w:cs="Times New Roman" w:eastAsia="Times New Roman" w:hAnsi="Times New Roman"/>
                <w:sz w:val="21"/>
                <w:szCs w:val="21"/>
                <w:color w:val="auto"/>
                <w:vertAlign w:val="superscript"/>
              </w:rPr>
              <w:t>(2)</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RXR Realty / New York REIT</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25.05%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2,048,725</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Allianz Real Estate of America</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56.87%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0" w:type="dxa"/>
            <w:vAlign w:val="bottom"/>
          </w:tcPr>
          <w:p>
            <w:pPr>
              <w:spacing w:after="0"/>
              <w:rPr>
                <w:sz w:val="1"/>
                <w:szCs w:val="1"/>
                <w:color w:val="auto"/>
              </w:rPr>
            </w:pPr>
          </w:p>
        </w:tc>
      </w:tr>
      <w:tr>
        <w:trPr>
          <w:trHeight w:val="216"/>
        </w:trPr>
        <w:tc>
          <w:tcPr>
            <w:tcW w:w="2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2 Herald Square </w:t>
            </w:r>
            <w:r>
              <w:rPr>
                <w:rFonts w:ascii="Times New Roman" w:cs="Times New Roman" w:eastAsia="Times New Roman" w:hAnsi="Times New Roman"/>
                <w:sz w:val="21"/>
                <w:szCs w:val="21"/>
                <w:color w:val="auto"/>
                <w:vertAlign w:val="superscript"/>
              </w:rPr>
              <w:t>(2)</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Israeli Institutional Investor</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95.00%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369,000</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115 Spring Street </w:t>
            </w:r>
            <w:r>
              <w:rPr>
                <w:rFonts w:ascii="Times New Roman" w:cs="Times New Roman" w:eastAsia="Times New Roman" w:hAnsi="Times New Roman"/>
                <w:sz w:val="21"/>
                <w:szCs w:val="21"/>
                <w:color w:val="auto"/>
                <w:vertAlign w:val="superscript"/>
              </w:rPr>
              <w:t>(2)</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Private Investor</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51.00%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 Beekman</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20.00%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221,884</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One Madison Avenue </w:t>
            </w:r>
            <w:r>
              <w:rPr>
                <w:rFonts w:ascii="Times New Roman" w:cs="Times New Roman" w:eastAsia="Times New Roman" w:hAnsi="Times New Roman"/>
                <w:sz w:val="21"/>
                <w:szCs w:val="21"/>
                <w:color w:val="auto"/>
                <w:vertAlign w:val="superscript"/>
              </w:rPr>
              <w:t>(4)</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National Pension Service of Korea / Hines Interest LP / International Investor</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25.50%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220</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East 42nd Street</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51.00%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450</w:t>
            </w:r>
          </w:p>
        </w:tc>
        <w:tc>
          <w:tcPr>
            <w:tcW w:w="1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1"/>
                <w:szCs w:val="21"/>
                <w:color w:val="auto"/>
                <w:vertAlign w:val="superscript"/>
              </w:rPr>
              <w:t>(5)</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Korean Institutional Investor / Israeli Institutional Investor</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25.10%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U.S. Affiliate of Mori Trust Co., Ltd</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50.10%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625</w:t>
            </w:r>
          </w:p>
        </w:tc>
        <w:tc>
          <w:tcPr>
            <w:tcW w:w="1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Madison Avenue </w:t>
            </w:r>
            <w:r>
              <w:rPr>
                <w:rFonts w:ascii="Times New Roman" w:cs="Times New Roman" w:eastAsia="Times New Roman" w:hAnsi="Times New Roman"/>
                <w:sz w:val="21"/>
                <w:szCs w:val="21"/>
                <w:color w:val="auto"/>
                <w:vertAlign w:val="superscript"/>
              </w:rPr>
              <w:t>(6)</w:t>
            </w:r>
          </w:p>
        </w:tc>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Private Investor</w:t>
            </w:r>
          </w:p>
        </w:tc>
        <w:tc>
          <w:tcPr>
            <w:tcW w:w="15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50.00%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563,000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Rockpoint Capital</w:t>
            </w: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50.80%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834,000</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represents the Company's interests in the joint venture as of March 31, 2026. Changes in economic interests within the current year are disclosed in the notes below.</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1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at 650 Fifth Avenue.</w:t>
      </w:r>
    </w:p>
    <w:p>
      <w:pPr>
        <w:spacing w:after="0" w:line="14" w:lineRule="exact"/>
        <w:rPr>
          <w:rFonts w:ascii="Times New Roman" w:cs="Times New Roman" w:eastAsia="Times New Roman" w:hAnsi="Times New Roman"/>
          <w:sz w:val="14"/>
          <w:szCs w:val="14"/>
          <w:color w:val="auto"/>
        </w:rPr>
      </w:pPr>
    </w:p>
    <w:p>
      <w:pPr>
        <w:jc w:val="both"/>
        <w:ind w:left="420" w:hanging="412"/>
        <w:spacing w:after="0" w:line="256" w:lineRule="auto"/>
        <w:tabs>
          <w:tab w:leader="none" w:pos="4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2021, the Company admitted an additional partner with the partner's indirect ownership in the joint venture totaling 25.0%. The transaction did not meet sale accounting under ASC Topic 860, </w:t>
      </w:r>
      <w:r>
        <w:rPr>
          <w:rFonts w:ascii="Times New Roman" w:cs="Times New Roman" w:eastAsia="Times New Roman" w:hAnsi="Times New Roman"/>
          <w:sz w:val="14"/>
          <w:szCs w:val="14"/>
          <w:i w:val="1"/>
          <w:iCs w:val="1"/>
          <w:color w:val="auto"/>
        </w:rPr>
        <w:t>Transfers and Servicing</w:t>
      </w:r>
      <w:r>
        <w:rPr>
          <w:rFonts w:ascii="Times New Roman" w:cs="Times New Roman" w:eastAsia="Times New Roman" w:hAnsi="Times New Roman"/>
          <w:sz w:val="14"/>
          <w:szCs w:val="14"/>
          <w:color w:val="auto"/>
        </w:rPr>
        <w:t xml:space="preserve"> ("ASC 860") and, as a result, was treated as a secured borrowing for accounting purposes and is included in "Other liabilities" on our consolidated balance sheets at March 31, 2026 and December 31, 2025.</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60" w:lineRule="auto"/>
        <w:tabs>
          <w:tab w:leader="none" w:pos="4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25.1% economic interest is net of a 25.0% economic interest held by a third party. The third-party's economic interest is held in a joint venture that we consolidate as a 50.1% ownership interest. The third party's 25.0% economic interest is recognized in "Noncontrolling interests in other partnerships" on our consolidated balance sheet. A separate third-party owns the remaining 49.9% economic interest in the property.</w:t>
      </w:r>
    </w:p>
    <w:p>
      <w:pPr>
        <w:jc w:val="both"/>
        <w:ind w:left="420" w:hanging="412"/>
        <w:spacing w:after="0" w:line="261" w:lineRule="auto"/>
        <w:tabs>
          <w:tab w:leader="none" w:pos="4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fee ownership in the property, which closed in May 2024, the Company, together with its joint venture partner, originated a $235.4 million preferred equity investment in the property with a mandatory redemption date of December 2026. In July 2025, the Company sold 50.0% of the joint venture entity that originated the preferred equity investment for $104.9 million. In conjunction with this transaction, the Company also acquired the remaining interest in the joint venture for $23.7 million and sold 50.0% of that interest for $10.9 million. In October 2025, the Company sold its interest in the joint venture to the Fund. The sale did not meet sale accounting under ASC 860 and, as a result, the investment in the joint venture is still presented within "Investments in unconsolidated joint ventures" on our consolidated balance sheet. The investment has a balance of $127.1 million, net of unamortized discounts and loan loss reserves, with an aggregate weighted average current yield of 15.13% as of March 31, 2026.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Joint Venture Interests or Properties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dispose of any investments in unconsolidated joint ventures during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Joint Venture Interests or Properties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acquire any investments in unconsolidated joint ventures during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 Mortgages and Other Loans Payable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generally finance our joint ventures with non-recourse debt. In certain cases, we may provide guarantees or master leases, which terminate upon the satisfaction of specified circumstances or repayment of the underlying loans. The mortgage notes and other loans payable collateralized by the respective joint venture properties and assignment of leases as of March 31, 2026 and December 31, 2025, respectively, are as follows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240" w:type="dxa"/>
            <w:vAlign w:val="bottom"/>
          </w:tcPr>
          <w:p>
            <w:pPr>
              <w:spacing w:after="0"/>
              <w:rPr>
                <w:sz w:val="16"/>
                <w:szCs w:val="16"/>
                <w:color w:val="auto"/>
              </w:rPr>
            </w:pPr>
          </w:p>
        </w:tc>
        <w:tc>
          <w:tcPr>
            <w:tcW w:w="18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Current Maturity</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7"/>
                <w:szCs w:val="17"/>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7"/>
                <w:szCs w:val="17"/>
                <w:color w:val="auto"/>
              </w:rPr>
            </w:pPr>
          </w:p>
        </w:tc>
        <w:tc>
          <w:tcPr>
            <w:tcW w:w="188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1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8"/>
                <w:szCs w:val="18"/>
                <w:b w:val="1"/>
                <w:bCs w:val="1"/>
                <w:color w:val="auto"/>
                <w:vertAlign w:val="superscript"/>
              </w:rPr>
              <w:t>(1)</w:t>
            </w:r>
          </w:p>
        </w:tc>
        <w:tc>
          <w:tcPr>
            <w:tcW w:w="14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 xml:space="preserve">Date </w:t>
            </w:r>
            <w:r>
              <w:rPr>
                <w:rFonts w:ascii="Times New Roman" w:cs="Times New Roman" w:eastAsia="Times New Roman" w:hAnsi="Times New Roman"/>
                <w:sz w:val="18"/>
                <w:szCs w:val="18"/>
                <w:b w:val="1"/>
                <w:bCs w:val="1"/>
                <w:color w:val="auto"/>
                <w:w w:val="92"/>
                <w:vertAlign w:val="superscript"/>
              </w:rPr>
              <w:t>(2)</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 xml:space="preserve">Rate </w:t>
            </w:r>
            <w:r>
              <w:rPr>
                <w:rFonts w:ascii="Times New Roman" w:cs="Times New Roman" w:eastAsia="Times New Roman" w:hAnsi="Times New Roman"/>
                <w:sz w:val="18"/>
                <w:szCs w:val="18"/>
                <w:b w:val="1"/>
                <w:bCs w:val="1"/>
                <w:color w:val="auto"/>
                <w:w w:val="96"/>
                <w:vertAlign w:val="superscript"/>
              </w:rPr>
              <w:t>(3)</w:t>
            </w: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SLG Share</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SLG Share</w:t>
            </w: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Debt:</w:t>
            </w:r>
          </w:p>
        </w:tc>
        <w:tc>
          <w:tcPr>
            <w:tcW w:w="10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919</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51.00 %</w:t>
            </w:r>
          </w:p>
        </w:tc>
        <w:tc>
          <w:tcPr>
            <w:tcW w:w="1420" w:type="dxa"/>
            <w:vAlign w:val="bottom"/>
          </w:tcPr>
          <w:p>
            <w:pPr>
              <w:jc w:val="right"/>
              <w:ind w:right="48"/>
              <w:spacing w:after="0" w:line="161" w:lineRule="exact"/>
              <w:rPr>
                <w:sz w:val="20"/>
                <w:szCs w:val="20"/>
                <w:color w:val="auto"/>
              </w:rPr>
            </w:pPr>
            <w:r>
              <w:rPr>
                <w:rFonts w:ascii="Times New Roman" w:cs="Times New Roman" w:eastAsia="Times New Roman" w:hAnsi="Times New Roman"/>
                <w:sz w:val="14"/>
                <w:szCs w:val="14"/>
                <w:color w:val="auto"/>
              </w:rPr>
              <w:t xml:space="preserve">April 2026 </w:t>
            </w:r>
            <w:r>
              <w:rPr>
                <w:rFonts w:ascii="MS PGothic" w:cs="MS PGothic" w:eastAsia="MS PGothic" w:hAnsi="MS PGothic"/>
                <w:sz w:val="14"/>
                <w:szCs w:val="14"/>
                <w:color w:val="auto"/>
              </w:rPr>
              <w:t>⁽⁴⁾</w:t>
            </w:r>
          </w:p>
        </w:tc>
        <w:tc>
          <w:tcPr>
            <w:tcW w:w="1360" w:type="dxa"/>
            <w:vAlign w:val="bottom"/>
            <w:gridSpan w:val="2"/>
          </w:tcPr>
          <w:p>
            <w:pPr>
              <w:jc w:val="right"/>
              <w:ind w:right="100"/>
              <w:spacing w:after="0" w:line="161" w:lineRule="exact"/>
              <w:rPr>
                <w:sz w:val="20"/>
                <w:szCs w:val="20"/>
                <w:color w:val="auto"/>
              </w:rPr>
            </w:pPr>
            <w:r>
              <w:rPr>
                <w:rFonts w:ascii="Times New Roman" w:cs="Times New Roman" w:eastAsia="Times New Roman" w:hAnsi="Times New Roman"/>
                <w:sz w:val="14"/>
                <w:szCs w:val="14"/>
                <w:color w:val="auto"/>
              </w:rPr>
              <w:t xml:space="preserve">April 2028 </w:t>
            </w:r>
            <w:r>
              <w:rPr>
                <w:rFonts w:ascii="MS PGothic" w:cs="MS PGothic" w:eastAsia="MS PGothic" w:hAnsi="MS PGothic"/>
                <w:sz w:val="14"/>
                <w:szCs w:val="14"/>
                <w:color w:val="auto"/>
              </w:rPr>
              <w:t>⁽⁴⁾</w:t>
            </w:r>
          </w:p>
        </w:tc>
        <w:tc>
          <w:tcPr>
            <w:tcW w:w="3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255,000</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650</w:t>
            </w:r>
          </w:p>
        </w:tc>
        <w:tc>
          <w:tcPr>
            <w:tcW w:w="15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MS PGothic" w:cs="MS PGothic" w:eastAsia="MS PGothic" w:hAnsi="MS PGothic"/>
                <w:sz w:val="14"/>
                <w:szCs w:val="14"/>
                <w:color w:val="auto"/>
              </w:rPr>
              <w:t>⁽⁵⁾</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50.00 %</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July 2026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July 2026</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203"/>
        </w:trPr>
        <w:tc>
          <w:tcPr>
            <w:tcW w:w="17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115 Spring Street </w:t>
            </w:r>
            <w:r>
              <w:rPr>
                <w:rFonts w:ascii="MS PGothic" w:cs="MS PGothic" w:eastAsia="MS PGothic" w:hAnsi="MS PGothic"/>
                <w:sz w:val="14"/>
                <w:szCs w:val="14"/>
                <w:color w:val="auto"/>
              </w:rPr>
              <w:t>⁽⁵⁾</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51.00 %</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September 2026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2026</w:t>
            </w:r>
          </w:p>
        </w:tc>
        <w:tc>
          <w:tcPr>
            <w:tcW w:w="3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65,550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33,431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33,431</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280</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50.00 %</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September 2026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2028</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1,075,000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0" w:type="dxa"/>
            <w:vAlign w:val="bottom"/>
          </w:tcPr>
          <w:p>
            <w:pPr>
              <w:spacing w:after="0"/>
              <w:rPr>
                <w:sz w:val="1"/>
                <w:szCs w:val="1"/>
                <w:color w:val="auto"/>
              </w:rPr>
            </w:pPr>
          </w:p>
        </w:tc>
      </w:tr>
      <w:tr>
        <w:trPr>
          <w:trHeight w:val="19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1515 Broadway</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56.87 %</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March 2027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March 2028</w:t>
            </w:r>
          </w:p>
        </w:tc>
        <w:tc>
          <w:tcPr>
            <w:tcW w:w="3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678,215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385,694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718,949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408,859</w:t>
            </w:r>
          </w:p>
        </w:tc>
        <w:tc>
          <w:tcPr>
            <w:tcW w:w="0" w:type="dxa"/>
            <w:vAlign w:val="bottom"/>
          </w:tcPr>
          <w:p>
            <w:pPr>
              <w:spacing w:after="0"/>
              <w:rPr>
                <w:sz w:val="1"/>
                <w:szCs w:val="1"/>
                <w:color w:val="auto"/>
              </w:rPr>
            </w:pPr>
          </w:p>
        </w:tc>
      </w:tr>
      <w:tr>
        <w:trPr>
          <w:trHeight w:val="209"/>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245</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50.10 %</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June 2027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2027</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885,768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885,768</w:t>
            </w:r>
          </w:p>
        </w:tc>
        <w:tc>
          <w:tcPr>
            <w:tcW w:w="0" w:type="dxa"/>
            <w:vAlign w:val="bottom"/>
          </w:tcPr>
          <w:p>
            <w:pPr>
              <w:spacing w:after="0"/>
              <w:rPr>
                <w:sz w:val="1"/>
                <w:szCs w:val="1"/>
                <w:color w:val="auto"/>
              </w:rPr>
            </w:pPr>
          </w:p>
        </w:tc>
      </w:tr>
      <w:tr>
        <w:trPr>
          <w:trHeight w:val="203"/>
        </w:trPr>
        <w:tc>
          <w:tcPr>
            <w:tcW w:w="17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Worldwide Plaza </w:t>
            </w:r>
            <w:r>
              <w:rPr>
                <w:rFonts w:ascii="MS PGothic" w:cs="MS PGothic" w:eastAsia="MS PGothic" w:hAnsi="MS PGothic"/>
                <w:sz w:val="14"/>
                <w:szCs w:val="14"/>
                <w:color w:val="auto"/>
              </w:rPr>
              <w:t>⁽⁵⁾</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25.05 %</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November 2027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November 2027</w:t>
            </w:r>
          </w:p>
        </w:tc>
        <w:tc>
          <w:tcPr>
            <w:tcW w:w="3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300,600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300,600</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220</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42nd Street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51.00 %</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December 2027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December 2027</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496,412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253,170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253,170</w:t>
            </w:r>
          </w:p>
        </w:tc>
        <w:tc>
          <w:tcPr>
            <w:tcW w:w="0" w:type="dxa"/>
            <w:vAlign w:val="bottom"/>
          </w:tcPr>
          <w:p>
            <w:pPr>
              <w:spacing w:after="0"/>
              <w:rPr>
                <w:sz w:val="1"/>
                <w:szCs w:val="1"/>
                <w:color w:val="auto"/>
              </w:rPr>
            </w:pPr>
          </w:p>
        </w:tc>
      </w:tr>
      <w:tr>
        <w:trPr>
          <w:trHeight w:val="196"/>
        </w:trPr>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50.80 %</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January 2028</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2029</w:t>
            </w:r>
          </w:p>
        </w:tc>
        <w:tc>
          <w:tcPr>
            <w:tcW w:w="3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382,872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194,499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194,499</w:t>
            </w:r>
          </w:p>
        </w:tc>
        <w:tc>
          <w:tcPr>
            <w:tcW w:w="0" w:type="dxa"/>
            <w:vAlign w:val="bottom"/>
          </w:tcPr>
          <w:p>
            <w:pPr>
              <w:spacing w:after="0"/>
              <w:rPr>
                <w:sz w:val="1"/>
                <w:szCs w:val="1"/>
                <w:color w:val="auto"/>
              </w:rPr>
            </w:pPr>
          </w:p>
        </w:tc>
      </w:tr>
      <w:tr>
        <w:trPr>
          <w:trHeight w:val="209"/>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 Beekman</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20.00 %</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January 2028</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January 2028</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0" w:type="dxa"/>
            <w:vAlign w:val="bottom"/>
          </w:tcPr>
          <w:p>
            <w:pPr>
              <w:spacing w:after="0"/>
              <w:rPr>
                <w:sz w:val="1"/>
                <w:szCs w:val="1"/>
                <w:color w:val="auto"/>
              </w:rPr>
            </w:pPr>
          </w:p>
        </w:tc>
      </w:tr>
      <w:tr>
        <w:trPr>
          <w:trHeight w:val="19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11 Madison Avenue</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60.00 %</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October 2030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October 2030</w:t>
            </w:r>
          </w:p>
        </w:tc>
        <w:tc>
          <w:tcPr>
            <w:tcW w:w="3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840,000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0" w:type="dxa"/>
            <w:vAlign w:val="bottom"/>
          </w:tcPr>
          <w:p>
            <w:pPr>
              <w:spacing w:after="0"/>
              <w:rPr>
                <w:sz w:val="1"/>
                <w:szCs w:val="1"/>
                <w:color w:val="auto"/>
              </w:rPr>
            </w:pPr>
          </w:p>
        </w:tc>
      </w:tr>
      <w:tr>
        <w:trPr>
          <w:trHeight w:val="209"/>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Madison Avenue</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25.50 %</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April 2031</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2031</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420,750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One Vanderbilt Avenue</w:t>
            </w:r>
          </w:p>
        </w:tc>
        <w:tc>
          <w:tcPr>
            <w:tcW w:w="10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55.01 %</w:t>
            </w:r>
          </w:p>
        </w:tc>
        <w:tc>
          <w:tcPr>
            <w:tcW w:w="14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July 2031</w:t>
            </w:r>
          </w:p>
        </w:tc>
        <w:tc>
          <w:tcPr>
            <w:tcW w:w="13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July 2031</w:t>
            </w:r>
          </w:p>
        </w:tc>
        <w:tc>
          <w:tcPr>
            <w:tcW w:w="3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3,000,000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1,650,300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1,650,300</w:t>
            </w:r>
          </w:p>
        </w:tc>
        <w:tc>
          <w:tcPr>
            <w:tcW w:w="0" w:type="dxa"/>
            <w:vAlign w:val="bottom"/>
          </w:tcPr>
          <w:p>
            <w:pPr>
              <w:spacing w:after="0"/>
              <w:rPr>
                <w:sz w:val="1"/>
                <w:szCs w:val="1"/>
                <w:color w:val="auto"/>
              </w:rPr>
            </w:pPr>
          </w:p>
        </w:tc>
      </w:tr>
      <w:tr>
        <w:trPr>
          <w:trHeight w:val="202"/>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fixed rate debt</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12,398,049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5,812,612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10,791,783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5,415,627</w:t>
            </w:r>
          </w:p>
        </w:tc>
        <w:tc>
          <w:tcPr>
            <w:tcW w:w="0" w:type="dxa"/>
            <w:vAlign w:val="bottom"/>
          </w:tcPr>
          <w:p>
            <w:pPr>
              <w:spacing w:after="0"/>
              <w:rPr>
                <w:sz w:val="1"/>
                <w:szCs w:val="1"/>
                <w:color w:val="auto"/>
              </w:rPr>
            </w:pPr>
          </w:p>
        </w:tc>
      </w:tr>
      <w:tr>
        <w:trPr>
          <w:trHeight w:val="19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8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11 West 34th Street </w:t>
            </w:r>
            <w:r>
              <w:rPr>
                <w:rFonts w:ascii="MS PGothic" w:cs="MS PGothic" w:eastAsia="MS PGothic" w:hAnsi="MS PGothic"/>
                <w:sz w:val="14"/>
                <w:szCs w:val="14"/>
                <w:color w:val="auto"/>
              </w:rPr>
              <w:t>⁽⁵⁾</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30.00 %</w:t>
            </w:r>
          </w:p>
        </w:tc>
        <w:tc>
          <w:tcPr>
            <w:tcW w:w="1420" w:type="dxa"/>
            <w:vAlign w:val="bottom"/>
            <w:shd w:val="clear" w:color="auto" w:fill="CCEEFF"/>
          </w:tcPr>
          <w:p>
            <w:pPr>
              <w:jc w:val="right"/>
              <w:ind w:right="48"/>
              <w:spacing w:after="0" w:line="161" w:lineRule="exact"/>
              <w:rPr>
                <w:sz w:val="20"/>
                <w:szCs w:val="20"/>
                <w:color w:val="auto"/>
              </w:rPr>
            </w:pPr>
            <w:r>
              <w:rPr>
                <w:rFonts w:ascii="Times New Roman" w:cs="Times New Roman" w:eastAsia="Times New Roman" w:hAnsi="Times New Roman"/>
                <w:sz w:val="14"/>
                <w:szCs w:val="14"/>
                <w:color w:val="auto"/>
              </w:rPr>
              <w:t xml:space="preserve">February 2023 </w:t>
            </w:r>
            <w:r>
              <w:rPr>
                <w:rFonts w:ascii="MS PGothic" w:cs="MS PGothic" w:eastAsia="MS PGothic" w:hAnsi="MS PGothic"/>
                <w:sz w:val="14"/>
                <w:szCs w:val="14"/>
                <w:color w:val="auto"/>
              </w:rPr>
              <w:t>⁽⁶⁾</w:t>
            </w:r>
          </w:p>
        </w:tc>
        <w:tc>
          <w:tcPr>
            <w:tcW w:w="1360" w:type="dxa"/>
            <w:vAlign w:val="bottom"/>
            <w:gridSpan w:val="2"/>
            <w:shd w:val="clear" w:color="auto" w:fill="CCEEFF"/>
          </w:tcPr>
          <w:p>
            <w:pPr>
              <w:jc w:val="right"/>
              <w:ind w:right="100"/>
              <w:spacing w:after="0" w:line="161" w:lineRule="exact"/>
              <w:rPr>
                <w:sz w:val="20"/>
                <w:szCs w:val="20"/>
                <w:color w:val="auto"/>
              </w:rPr>
            </w:pPr>
            <w:r>
              <w:rPr>
                <w:rFonts w:ascii="Times New Roman" w:cs="Times New Roman" w:eastAsia="Times New Roman" w:hAnsi="Times New Roman"/>
                <w:sz w:val="14"/>
                <w:szCs w:val="14"/>
                <w:color w:val="auto"/>
              </w:rPr>
              <w:t xml:space="preserve">February 2023 </w:t>
            </w:r>
            <w:r>
              <w:rPr>
                <w:rFonts w:ascii="MS PGothic" w:cs="MS PGothic" w:eastAsia="MS PGothic" w:hAnsi="MS PGothic"/>
                <w:sz w:val="14"/>
                <w:szCs w:val="14"/>
                <w:color w:val="auto"/>
              </w:rPr>
              <w:t>⁽⁶⁾</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0" w:type="dxa"/>
            <w:vAlign w:val="bottom"/>
          </w:tcPr>
          <w:p>
            <w:pPr>
              <w:spacing w:after="0"/>
              <w:rPr>
                <w:sz w:val="1"/>
                <w:szCs w:val="1"/>
                <w:color w:val="auto"/>
              </w:rPr>
            </w:pPr>
          </w:p>
        </w:tc>
      </w:tr>
      <w:tr>
        <w:trPr>
          <w:trHeight w:val="196"/>
        </w:trPr>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25.10 %</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June 2026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June 2027</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290,435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72,899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72,899</w:t>
            </w:r>
          </w:p>
        </w:tc>
        <w:tc>
          <w:tcPr>
            <w:tcW w:w="0" w:type="dxa"/>
            <w:vAlign w:val="bottom"/>
          </w:tcPr>
          <w:p>
            <w:pPr>
              <w:spacing w:after="0"/>
              <w:rPr>
                <w:sz w:val="1"/>
                <w:szCs w:val="1"/>
                <w:color w:val="auto"/>
              </w:rPr>
            </w:pPr>
          </w:p>
        </w:tc>
      </w:tr>
      <w:tr>
        <w:trPr>
          <w:trHeight w:val="209"/>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650</w:t>
            </w:r>
          </w:p>
        </w:tc>
        <w:tc>
          <w:tcPr>
            <w:tcW w:w="15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MS PGothic" w:cs="MS PGothic" w:eastAsia="MS PGothic" w:hAnsi="MS PGothic"/>
                <w:sz w:val="14"/>
                <w:szCs w:val="14"/>
                <w:color w:val="auto"/>
              </w:rPr>
              <w:t>⁽⁵⁾</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50.00 %</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July 2026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July 2026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0" w:type="dxa"/>
            <w:vAlign w:val="bottom"/>
          </w:tcPr>
          <w:p>
            <w:pPr>
              <w:spacing w:after="0"/>
              <w:rPr>
                <w:sz w:val="1"/>
                <w:szCs w:val="1"/>
                <w:color w:val="auto"/>
              </w:rPr>
            </w:pPr>
          </w:p>
        </w:tc>
      </w:tr>
      <w:tr>
        <w:trPr>
          <w:trHeight w:val="19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One Madison Avenue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1,163,814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296,772</w:t>
            </w:r>
          </w:p>
        </w:tc>
        <w:tc>
          <w:tcPr>
            <w:tcW w:w="0" w:type="dxa"/>
            <w:vAlign w:val="bottom"/>
          </w:tcPr>
          <w:p>
            <w:pPr>
              <w:spacing w:after="0"/>
              <w:rPr>
                <w:sz w:val="1"/>
                <w:szCs w:val="1"/>
                <w:color w:val="auto"/>
              </w:rPr>
            </w:pPr>
          </w:p>
        </w:tc>
      </w:tr>
      <w:tr>
        <w:trPr>
          <w:trHeight w:val="202"/>
        </w:trPr>
        <w:tc>
          <w:tcPr>
            <w:tcW w:w="17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floating rate debt</w:t>
            </w:r>
          </w:p>
        </w:tc>
        <w:tc>
          <w:tcPr>
            <w:tcW w:w="10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523,435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184,799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1,687,249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481,571</w:t>
            </w:r>
          </w:p>
        </w:tc>
        <w:tc>
          <w:tcPr>
            <w:tcW w:w="0" w:type="dxa"/>
            <w:vAlign w:val="bottom"/>
          </w:tcPr>
          <w:p>
            <w:pPr>
              <w:spacing w:after="0"/>
              <w:rPr>
                <w:sz w:val="1"/>
                <w:szCs w:val="1"/>
                <w:color w:val="auto"/>
              </w:rPr>
            </w:pPr>
          </w:p>
        </w:tc>
      </w:tr>
      <w:tr>
        <w:trPr>
          <w:trHeight w:val="196"/>
        </w:trPr>
        <w:tc>
          <w:tcPr>
            <w:tcW w:w="42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joint venture mortgages and other loans payable</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12,921,484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5,997,411</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12,479,032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5,897,198</w:t>
            </w:r>
          </w:p>
        </w:tc>
        <w:tc>
          <w:tcPr>
            <w:tcW w:w="0" w:type="dxa"/>
            <w:vAlign w:val="bottom"/>
          </w:tcPr>
          <w:p>
            <w:pPr>
              <w:spacing w:after="0"/>
              <w:rPr>
                <w:sz w:val="1"/>
                <w:szCs w:val="1"/>
                <w:color w:val="auto"/>
              </w:rPr>
            </w:pPr>
          </w:p>
        </w:tc>
      </w:tr>
      <w:tr>
        <w:trPr>
          <w:trHeight w:val="209"/>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financing costs, net</w:t>
            </w: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(110,972)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(53,333)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(100,882)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(50,476)</w:t>
            </w:r>
          </w:p>
        </w:tc>
        <w:tc>
          <w:tcPr>
            <w:tcW w:w="0" w:type="dxa"/>
            <w:vAlign w:val="bottom"/>
          </w:tcPr>
          <w:p>
            <w:pPr>
              <w:spacing w:after="0"/>
              <w:rPr>
                <w:sz w:val="1"/>
                <w:szCs w:val="1"/>
                <w:color w:val="auto"/>
              </w:rPr>
            </w:pPr>
          </w:p>
        </w:tc>
      </w:tr>
      <w:tr>
        <w:trPr>
          <w:trHeight w:val="190"/>
        </w:trPr>
        <w:tc>
          <w:tcPr>
            <w:tcW w:w="42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joint venture mortgages and other loans payable, net</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12,810,512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5,944,078</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12,378,150</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5,846,722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hanging="412"/>
        <w:spacing w:after="0" w:line="261" w:lineRule="auto"/>
        <w:tabs>
          <w:tab w:leader="none" w:pos="4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represents the Company's interests in the joint venture as of March 31, 2026. Changes in ownership or economic interests, if any, within the current year are disclosed in the notes to the investment in unconsolidated joint ventures table above.</w:t>
      </w:r>
    </w:p>
    <w:p>
      <w:pPr>
        <w:ind w:left="400" w:hanging="392"/>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 The ability to exercise extension options may be subject to certain conditions, including the operating performance of the property.</w:t>
      </w:r>
    </w:p>
    <w:p>
      <w:pPr>
        <w:spacing w:after="0" w:line="14" w:lineRule="exact"/>
        <w:rPr>
          <w:rFonts w:ascii="Times New Roman" w:cs="Times New Roman" w:eastAsia="Times New Roman" w:hAnsi="Times New Roman"/>
          <w:sz w:val="14"/>
          <w:szCs w:val="14"/>
          <w:color w:val="auto"/>
        </w:rPr>
      </w:pPr>
    </w:p>
    <w:p>
      <w:pPr>
        <w:ind w:left="420" w:hanging="412"/>
        <w:spacing w:after="0" w:line="261" w:lineRule="auto"/>
        <w:tabs>
          <w:tab w:leader="none" w:pos="4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as of March 31, 2026, taking into account interest rate hedges at the joint venture. Corporate interest rate hedges are not taken into consideration. Floating rate debt is presented with the stated spread over Term or Alternative SOFR ("S").</w:t>
      </w:r>
    </w:p>
    <w:p>
      <w:pPr>
        <w:ind w:left="400" w:hanging="392"/>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2026, the maturity date of the loan was extended to April 2027.</w:t>
      </w:r>
    </w:p>
    <w:p>
      <w:pPr>
        <w:spacing w:after="0" w:line="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1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2026, the lender foreclosed on the property. As a result, the joint venture no longer owns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receive fees for providing management, leasing, construction supervision and asset management services to certain of our joint ventures. We recognized $4.3 million and $2.6 million from these services, net of our ownership share of the joint ventures, for the three months ended March 31, 2026, and 2025, respectively. In addition, we have the ability to earn incentive fees based on the ultimate financial performance of certain of the joint venture properties.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combined balance sheets for the unconsolidated joint ventures, at March 31, 2026 and December 31, 2025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7440" w:type="dxa"/>
            <w:vAlign w:val="bottom"/>
            <w:tcBorders>
              <w:top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6"/>
                <w:szCs w:val="16"/>
                <w:b w:val="1"/>
                <w:bCs w:val="1"/>
                <w:i w:val="1"/>
                <w:iCs w:val="1"/>
                <w:color w:val="auto"/>
              </w:rPr>
              <w:t xml:space="preserve">Assets </w:t>
            </w:r>
            <w:r>
              <w:rPr>
                <w:rFonts w:ascii="Times New Roman" w:cs="Times New Roman" w:eastAsia="Times New Roman" w:hAnsi="Times New Roman"/>
                <w:sz w:val="21"/>
                <w:szCs w:val="21"/>
                <w:b w:val="1"/>
                <w:bCs w:val="1"/>
                <w:i w:val="1"/>
                <w:iCs w:val="1"/>
                <w:color w:val="auto"/>
                <w:vertAlign w:val="superscript"/>
              </w:rPr>
              <w:t>(1)</w:t>
            </w:r>
          </w:p>
        </w:tc>
        <w:tc>
          <w:tcPr>
            <w:tcW w:w="2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property, net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15,428,309</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15,434,243</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restricted cash</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777,366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647,413</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related party receivables, and deferred rents receivable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813,157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771,123</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270,986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262,506</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820,104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824,088</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1,636,392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1,685,360</w:t>
            </w:r>
          </w:p>
        </w:tc>
      </w:tr>
      <w:tr>
        <w:trPr>
          <w:trHeight w:val="211"/>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19,746,314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19,624,733</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 xml:space="preserve">Liabilities and equity </w:t>
            </w:r>
            <w:r>
              <w:rPr>
                <w:rFonts w:ascii="Times New Roman" w:cs="Times New Roman" w:eastAsia="Times New Roman" w:hAnsi="Times New Roman"/>
                <w:sz w:val="21"/>
                <w:szCs w:val="21"/>
                <w:b w:val="1"/>
                <w:bCs w:val="1"/>
                <w:i w:val="1"/>
                <w:iCs w:val="1"/>
                <w:color w:val="auto"/>
                <w:vertAlign w:val="superscript"/>
              </w:rPr>
              <w:t>(1)</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12,810,512</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12,378,150</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841,807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852,035</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907,808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908,988</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471,370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484,801</w:t>
            </w:r>
          </w:p>
        </w:tc>
      </w:tr>
      <w:tr>
        <w:trPr>
          <w:trHeight w:val="214"/>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4,714,817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5,000,759</w:t>
            </w:r>
          </w:p>
        </w:tc>
      </w:tr>
      <w:tr>
        <w:trPr>
          <w:trHeight w:val="236"/>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19,746,314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19,624,733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Company's investments in unconsolidated joint ventures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2,500,573</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2,624,755</w:t>
            </w: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hanging="412"/>
        <w:spacing w:after="0" w:line="282" w:lineRule="auto"/>
        <w:tabs>
          <w:tab w:leader="none" w:pos="4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2026, $443.4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combined statements of operations for the unconsolidated joint ventures, from acquisition date through the three months ended March 31,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5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are</w:t>
            </w:r>
          </w:p>
        </w:tc>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w:t>
            </w:r>
          </w:p>
        </w:tc>
        <w:tc>
          <w:tcPr>
            <w:tcW w:w="252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color w:val="auto"/>
              </w:rPr>
              <w:t>follows</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thousands):</w:t>
            </w:r>
          </w:p>
        </w:tc>
      </w:tr>
      <w:tr>
        <w:trPr>
          <w:trHeight w:val="222"/>
        </w:trPr>
        <w:tc>
          <w:tcPr>
            <w:tcW w:w="1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0" w:type="dxa"/>
            <w:vAlign w:val="bottom"/>
            <w:tcBorders>
              <w:bottom w:val="single" w:sz="8" w:color="auto"/>
            </w:tcBorders>
            <w:gridSpan w:val="5"/>
          </w:tcPr>
          <w:p>
            <w:pPr>
              <w:jc w:val="right"/>
              <w:ind w:right="71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15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410,378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371,925</w:t>
            </w:r>
          </w:p>
        </w:tc>
      </w:tr>
      <w:tr>
        <w:trPr>
          <w:trHeight w:val="208"/>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75,836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68,015</w:t>
            </w:r>
          </w:p>
        </w:tc>
      </w:tr>
      <w:tr>
        <w:trPr>
          <w:trHeight w:val="218"/>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76,755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71,504</w:t>
            </w:r>
          </w:p>
        </w:tc>
      </w:tr>
      <w:tr>
        <w:trPr>
          <w:trHeight w:val="214"/>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6,581</w:t>
            </w:r>
          </w:p>
        </w:tc>
      </w:tr>
      <w:tr>
        <w:trPr>
          <w:trHeight w:val="218"/>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139,898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128,896</w:t>
            </w:r>
          </w:p>
        </w:tc>
      </w:tr>
      <w:tr>
        <w:trPr>
          <w:trHeight w:val="21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w:t>
            </w:r>
          </w:p>
        </w:tc>
      </w:tr>
      <w:tr>
        <w:trPr>
          <w:trHeight w:val="218"/>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132,612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121,305</w:t>
            </w:r>
          </w:p>
        </w:tc>
      </w:tr>
      <w:tr>
        <w:trPr>
          <w:trHeight w:val="208"/>
        </w:trPr>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436,587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402,320</w:t>
            </w:r>
          </w:p>
        </w:tc>
      </w:tr>
      <w:tr>
        <w:trPr>
          <w:trHeight w:val="218"/>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(35,706)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(30,395)</w:t>
            </w:r>
          </w:p>
        </w:tc>
      </w:tr>
      <w:tr>
        <w:trPr>
          <w:trHeight w:val="20"/>
        </w:trPr>
        <w:tc>
          <w:tcPr>
            <w:tcW w:w="15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5"/>
        </w:trPr>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Company's equity in net (loss) income from unconsolidated joint ventures</w:t>
            </w:r>
          </w:p>
        </w:tc>
        <w:tc>
          <w:tcPr>
            <w:tcW w:w="10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Fund</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total capital committed to the Fund by all investors was $1.3 billion, of which $303.6 million had been funded. As of March 31, 2026, the Company's share of the total capital committed to the Fund was $118.6 million, of which $26.6 million had been funded.</w:t>
      </w:r>
    </w:p>
    <w:p>
      <w:pPr>
        <w:spacing w:after="0" w:line="5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Fund made additional investments with an aggregate fair value of $139.8 million. During the three months ended March 31, 2026, no investments were repaid.</w:t>
      </w:r>
    </w:p>
    <w:p>
      <w:pPr>
        <w:spacing w:after="0" w:line="54"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The Fund has a term of 7 years from its initial closing in November 2024. The term may be extended for up to three consecutive one-year periods. The Fund has an investment period of 3.5 years from its initial closing in November 2024, which may be extended for one year. During the investment period, the Fund is our primary investment vehicle for investments that fit within the Fund's investment parameters, as set forth in the Fund's operating agreements.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and Preferred Equity Investments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Below is a summary of the activity in our consolidated debt and preferred equity investments for the three months ended March 31, 2026 and the twelve months ended December 31, 2025 (in thousands):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38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Balance at beginning of year </w:t>
            </w:r>
            <w:r>
              <w:rPr>
                <w:rFonts w:ascii="Times New Roman" w:cs="Times New Roman" w:eastAsia="Times New Roman" w:hAnsi="Times New Roman"/>
                <w:sz w:val="21"/>
                <w:szCs w:val="21"/>
                <w:color w:val="auto"/>
                <w:vertAlign w:val="superscript"/>
              </w:rPr>
              <w:t>(1)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168,358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303,726</w:t>
            </w:r>
          </w:p>
        </w:tc>
      </w:tr>
      <w:tr>
        <w:trPr>
          <w:trHeight w:val="216"/>
        </w:trPr>
        <w:tc>
          <w:tcPr>
            <w:tcW w:w="7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Debt investment originations/fundings/accretion </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14,118</w:t>
            </w:r>
          </w:p>
        </w:tc>
      </w:tr>
      <w:tr>
        <w:trPr>
          <w:trHeight w:val="216"/>
        </w:trPr>
        <w:tc>
          <w:tcPr>
            <w:tcW w:w="7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Preferred equity investment originations/accretion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r>
      <w:tr>
        <w:trPr>
          <w:trHeight w:val="216"/>
        </w:trPr>
        <w:tc>
          <w:tcPr>
            <w:tcW w:w="7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Repayment/sales/syndications/equity ownership/amortization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(151,419)</w:t>
            </w: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loan loss reserves</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1"/>
        </w:trPr>
        <w:tc>
          <w:tcPr>
            <w:tcW w:w="738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Balance at end of period </w:t>
            </w:r>
            <w:r>
              <w:rPr>
                <w:rFonts w:ascii="Times New Roman" w:cs="Times New Roman" w:eastAsia="Times New Roman" w:hAnsi="Times New Roman"/>
                <w:sz w:val="21"/>
                <w:szCs w:val="21"/>
                <w:color w:val="auto"/>
                <w:vertAlign w:val="superscript"/>
              </w:rPr>
              <w:t>(1) (4)</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118,083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168,358</w:t>
            </w: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fees, discounts, and premiums.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Accretion includes amortization of fees and discounts and paid-in-kind investment income.</w:t>
      </w:r>
    </w:p>
    <w:p>
      <w:pPr>
        <w:spacing w:after="0" w:line="14" w:lineRule="exact"/>
        <w:rPr>
          <w:rFonts w:ascii="Times New Roman" w:cs="Times New Roman" w:eastAsia="Times New Roman" w:hAnsi="Times New Roman"/>
          <w:sz w:val="14"/>
          <w:szCs w:val="14"/>
          <w:color w:val="auto"/>
        </w:rPr>
      </w:pPr>
    </w:p>
    <w:p>
      <w:pPr>
        <w:jc w:val="both"/>
        <w:ind w:left="420" w:hanging="412"/>
        <w:spacing w:after="0" w:line="256"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2025, a restructuring agreement was executed for one of our loans, and a $3.25 million partial loan repayment was received, followed by an additional $2.50 million partial loan repayment received in January 2026 which extended the loan to March 2026. Pursuant to the restructuring agreement, a final loan repayment of $26.0 million was received in February 2026, at which point the remaining loan balance was converted into a participation interest in the underlying property, which is included in "Investments in unconsolidated joint ventures" on our consolidated balance sheet.</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62"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preferred equity investment with a carrying value of $127.1 million as of March 31, 2026 and $122.4 million as of December 31, 2025, which the Company sold to the Fund in October 2025. The sale did not meet sale accounting under ASC 860 and, as a result, the investment is still presented within "Investments in unconsolidated joint ventures" on our consolidated balance sheet. See Note 5, "Investments in Unconsolidated Joint Ventures." Also excludes a preferred equity investment in an entity in which the Company is the primary beneficiary. The underlying property, 315 West 33rd Street, is consolidated in our financial statements.</w:t>
      </w:r>
    </w:p>
    <w:p>
      <w:pPr>
        <w:spacing w:after="0" w:line="8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our consolidated debt and preferred equity investments, which had an aggregate weighted average current yield of 7.04% as of March 31, 2026 (dollars in thousands):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1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Floating Rate</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21"/>
                <w:szCs w:val="21"/>
                <w:color w:val="auto"/>
              </w:rPr>
            </w:pPr>
          </w:p>
        </w:tc>
        <w:tc>
          <w:tcPr>
            <w:tcW w:w="76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Future</w:t>
            </w:r>
          </w:p>
        </w:tc>
        <w:tc>
          <w:tcPr>
            <w:tcW w:w="120" w:type="dxa"/>
            <w:vAlign w:val="bottom"/>
          </w:tcPr>
          <w:p>
            <w:pPr>
              <w:spacing w:after="0"/>
              <w:rPr>
                <w:sz w:val="21"/>
                <w:szCs w:val="21"/>
                <w:color w:val="auto"/>
              </w:rPr>
            </w:pPr>
          </w:p>
        </w:tc>
        <w:tc>
          <w:tcPr>
            <w:tcW w:w="86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Funding</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xml:space="preserve">Maturity </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16"/>
        </w:trPr>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4"/>
              <w:spacing w:after="0" w:line="216" w:lineRule="exact"/>
              <w:rPr>
                <w:sz w:val="20"/>
                <w:szCs w:val="20"/>
                <w:color w:val="auto"/>
              </w:rPr>
            </w:pPr>
            <w:r>
              <w:rPr>
                <w:rFonts w:ascii="Times New Roman" w:cs="Times New Roman" w:eastAsia="Times New Roman" w:hAnsi="Times New Roman"/>
                <w:sz w:val="16"/>
                <w:szCs w:val="16"/>
                <w:b w:val="1"/>
                <w:bCs w:val="1"/>
                <w:color w:val="auto"/>
                <w:w w:val="99"/>
              </w:rPr>
              <w:t xml:space="preserve">Value </w:t>
            </w:r>
            <w:r>
              <w:rPr>
                <w:rFonts w:ascii="Times New Roman" w:cs="Times New Roman" w:eastAsia="Times New Roman" w:hAnsi="Times New Roman"/>
                <w:sz w:val="21"/>
                <w:szCs w:val="21"/>
                <w:b w:val="1"/>
                <w:bCs w:val="1"/>
                <w:color w:val="auto"/>
                <w:w w:val="99"/>
                <w:vertAlign w:val="superscript"/>
              </w:rPr>
              <w:t>(1)</w:t>
            </w:r>
          </w:p>
        </w:tc>
        <w:tc>
          <w:tcPr>
            <w:tcW w:w="98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1"/>
              </w:rPr>
              <w:t xml:space="preserve">Rate </w:t>
            </w:r>
            <w:r>
              <w:rPr>
                <w:rFonts w:ascii="Times New Roman" w:cs="Times New Roman" w:eastAsia="Times New Roman" w:hAnsi="Times New Roman"/>
                <w:sz w:val="21"/>
                <w:szCs w:val="21"/>
                <w:b w:val="1"/>
                <w:bCs w:val="1"/>
                <w:color w:val="auto"/>
                <w:w w:val="91"/>
                <w:vertAlign w:val="superscript"/>
              </w:rPr>
              <w:t>(2)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4"/>
              <w:spacing w:after="0" w:line="216" w:lineRule="exact"/>
              <w:rPr>
                <w:sz w:val="20"/>
                <w:szCs w:val="20"/>
                <w:color w:val="auto"/>
              </w:rPr>
            </w:pPr>
            <w:r>
              <w:rPr>
                <w:rFonts w:ascii="Times New Roman" w:cs="Times New Roman" w:eastAsia="Times New Roman" w:hAnsi="Times New Roman"/>
                <w:sz w:val="16"/>
                <w:szCs w:val="16"/>
                <w:b w:val="1"/>
                <w:bCs w:val="1"/>
                <w:color w:val="auto"/>
                <w:w w:val="99"/>
              </w:rPr>
              <w:t xml:space="preserve">Value </w:t>
            </w:r>
            <w:r>
              <w:rPr>
                <w:rFonts w:ascii="Times New Roman" w:cs="Times New Roman" w:eastAsia="Times New Roman" w:hAnsi="Times New Roman"/>
                <w:sz w:val="21"/>
                <w:szCs w:val="21"/>
                <w:b w:val="1"/>
                <w:bCs w:val="1"/>
                <w:color w:val="auto"/>
                <w:w w:val="99"/>
                <w:vertAlign w:val="superscript"/>
              </w:rPr>
              <w:t>(1)</w:t>
            </w:r>
          </w:p>
        </w:tc>
        <w:tc>
          <w:tcPr>
            <w:tcW w:w="920" w:type="dxa"/>
            <w:vAlign w:val="bottom"/>
            <w:tcBorders>
              <w:bottom w:val="single" w:sz="8" w:color="auto"/>
            </w:tcBorders>
            <w:gridSpan w:val="2"/>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3"/>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Value </w:t>
            </w:r>
            <w:r>
              <w:rPr>
                <w:rFonts w:ascii="Times New Roman" w:cs="Times New Roman" w:eastAsia="Times New Roman" w:hAnsi="Times New Roman"/>
                <w:sz w:val="21"/>
                <w:szCs w:val="21"/>
                <w:b w:val="1"/>
                <w:bCs w:val="1"/>
                <w:color w:val="auto"/>
                <w:w w:val="92"/>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Mezzanine Debt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77,597</w:t>
            </w:r>
          </w:p>
        </w:tc>
        <w:tc>
          <w:tcPr>
            <w:tcW w:w="30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77,602</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S + 4.95% -</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40,486</w:t>
            </w:r>
          </w:p>
        </w:tc>
        <w:tc>
          <w:tcPr>
            <w:tcW w:w="28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40,786</w:t>
            </w:r>
          </w:p>
        </w:tc>
        <w:tc>
          <w:tcPr>
            <w:tcW w:w="860" w:type="dxa"/>
            <w:vAlign w:val="bottom"/>
            <w:shd w:val="clear" w:color="auto" w:fill="CCEEFF"/>
          </w:tcPr>
          <w:p>
            <w:pPr>
              <w:jc w:val="right"/>
              <w:ind w:right="124"/>
              <w:spacing w:after="0" w:line="133" w:lineRule="exact"/>
              <w:rPr>
                <w:sz w:val="20"/>
                <w:szCs w:val="20"/>
                <w:color w:val="auto"/>
              </w:rPr>
            </w:pPr>
            <w:r>
              <w:rPr>
                <w:rFonts w:ascii="Times New Roman" w:cs="Times New Roman" w:eastAsia="Times New Roman" w:hAnsi="Times New Roman"/>
                <w:sz w:val="14"/>
                <w:szCs w:val="14"/>
                <w:color w:val="auto"/>
              </w:rPr>
              <w:t>0.00% -</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118,083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430,528</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2025 - 2029</w:t>
            </w:r>
          </w:p>
        </w:tc>
        <w:tc>
          <w:tcPr>
            <w:tcW w:w="0" w:type="dxa"/>
            <w:vAlign w:val="bottom"/>
          </w:tcPr>
          <w:p>
            <w:pPr>
              <w:spacing w:after="0"/>
              <w:rPr>
                <w:sz w:val="1"/>
                <w:szCs w:val="1"/>
                <w:color w:val="auto"/>
              </w:rPr>
            </w:pPr>
          </w:p>
        </w:tc>
      </w:tr>
      <w:tr>
        <w:trPr>
          <w:trHeight w:val="198"/>
        </w:trPr>
        <w:tc>
          <w:tcPr>
            <w:tcW w:w="1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1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 end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77,597</w:t>
            </w:r>
          </w:p>
        </w:tc>
        <w:tc>
          <w:tcPr>
            <w:tcW w:w="30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77,602</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40,486</w:t>
            </w:r>
          </w:p>
        </w:tc>
        <w:tc>
          <w:tcPr>
            <w:tcW w:w="28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40,786</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118,083</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2,999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430,528</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fees, discounts, and premiums.</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interest rates are presented with the stated spread over Term SOFR ("S").</w:t>
      </w:r>
    </w:p>
    <w:p>
      <w:pPr>
        <w:spacing w:after="0" w:line="11" w:lineRule="exact"/>
        <w:rPr>
          <w:rFonts w:ascii="Times New Roman" w:cs="Times New Roman" w:eastAsia="Times New Roman" w:hAnsi="Times New Roman"/>
          <w:sz w:val="14"/>
          <w:szCs w:val="14"/>
          <w:color w:val="auto"/>
        </w:rPr>
      </w:pPr>
    </w:p>
    <w:p>
      <w:pPr>
        <w:jc w:val="both"/>
        <w:ind w:left="420" w:hanging="412"/>
        <w:spacing w:after="0" w:line="272" w:lineRule="auto"/>
        <w:tabs>
          <w:tab w:leader="none" w:pos="4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available extension options to the extent they have not been exercised as of the date of this filing. One loan with a carrying value of $9.27 million as of March 31, 2026 and December 31, 2025 was put on non-accrual in January 2025 and went into default in August 2025. It remains on non-accrual as of March 31, 2026. No investment income has been recognized subsequent to it being put on non-accrual. The Company is in discussions with the borrower on resolution of the past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is a roll forward of our total allowance for loan losses for the three months ended March 31, 2026 and the twelve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w:t>
            </w:r>
          </w:p>
        </w:tc>
      </w:tr>
      <w:tr>
        <w:trPr>
          <w:trHeight w:val="21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 for loan loss</w:t>
            </w:r>
          </w:p>
        </w:tc>
        <w:tc>
          <w:tcPr>
            <w:tcW w:w="14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allowance for credit losses on loans purchased with credit deterioration ("PCD")</w:t>
            </w:r>
          </w:p>
        </w:tc>
        <w:tc>
          <w:tcPr>
            <w:tcW w:w="1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99,039</w:t>
            </w:r>
          </w:p>
        </w:tc>
      </w:tr>
      <w:tr>
        <w:trPr>
          <w:trHeight w:val="21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of the allowance</w:t>
            </w:r>
          </w:p>
        </w:tc>
        <w:tc>
          <w:tcPr>
            <w:tcW w:w="1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(40,779)</w:t>
            </w:r>
          </w:p>
        </w:tc>
      </w:tr>
      <w:tr>
        <w:trPr>
          <w:trHeight w:val="21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recoveries</w:t>
            </w:r>
          </w:p>
        </w:tc>
        <w:tc>
          <w:tcPr>
            <w:tcW w:w="1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(71,626)</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8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0"/>
        </w:trPr>
        <w:tc>
          <w:tcPr>
            <w:tcW w:w="7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Aside from the loan described above, no financing receivables were 90 days past due as of March 31, 2026 and December 31, 2025.</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carrying value of our consolidated debt and preferred equity investment portfolio by year of origination and risk rating as of March 31, 2026 and December 31, 2025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2026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1"/>
                <w:szCs w:val="21"/>
                <w:b w:val="1"/>
                <w:bCs w:val="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Prior </w:t>
            </w:r>
            <w:r>
              <w:rPr>
                <w:rFonts w:ascii="Times New Roman" w:cs="Times New Roman" w:eastAsia="Times New Roman" w:hAnsi="Times New Roman"/>
                <w:sz w:val="21"/>
                <w:szCs w:val="21"/>
                <w:b w:val="1"/>
                <w:bCs w:val="1"/>
                <w:color w:val="auto"/>
                <w:vertAlign w:val="superscript"/>
              </w:rPr>
              <w:t>(1)</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3"/>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320" w:type="dxa"/>
            <w:vAlign w:val="bottom"/>
            <w:shd w:val="clear" w:color="auto" w:fill="CCEEFF"/>
          </w:tcPr>
          <w:p>
            <w:pPr>
              <w:spacing w:after="0"/>
              <w:rPr>
                <w:sz w:val="22"/>
                <w:szCs w:val="22"/>
                <w:color w:val="auto"/>
              </w:rPr>
            </w:pPr>
          </w:p>
        </w:tc>
        <w:tc>
          <w:tcPr>
            <w:tcW w:w="2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20,000</w:t>
            </w:r>
          </w:p>
        </w:tc>
        <w:tc>
          <w:tcPr>
            <w:tcW w:w="0" w:type="dxa"/>
            <w:vAlign w:val="bottom"/>
          </w:tcPr>
          <w:p>
            <w:pPr>
              <w:spacing w:after="0"/>
              <w:rPr>
                <w:sz w:val="1"/>
                <w:szCs w:val="1"/>
                <w:color w:val="auto"/>
              </w:rPr>
            </w:pPr>
          </w:p>
        </w:tc>
      </w:tr>
      <w:tr>
        <w:trPr>
          <w:trHeight w:val="216"/>
        </w:trPr>
        <w:tc>
          <w:tcPr>
            <w:tcW w:w="2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probability of loss</w:t>
            </w:r>
          </w:p>
        </w:tc>
        <w:tc>
          <w:tcPr>
            <w:tcW w:w="2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Watch List Assets - Higher</w:t>
            </w:r>
          </w:p>
        </w:tc>
        <w:tc>
          <w:tcPr>
            <w:tcW w:w="200" w:type="dxa"/>
            <w:vAlign w:val="bottom"/>
          </w:tcPr>
          <w:p>
            <w:pPr>
              <w:spacing w:after="0"/>
              <w:rPr>
                <w:sz w:val="23"/>
                <w:szCs w:val="23"/>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23"/>
                <w:szCs w:val="23"/>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98,083</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98,083</w:t>
            </w:r>
          </w:p>
        </w:tc>
        <w:tc>
          <w:tcPr>
            <w:tcW w:w="0" w:type="dxa"/>
            <w:vAlign w:val="bottom"/>
          </w:tcPr>
          <w:p>
            <w:pPr>
              <w:spacing w:after="0"/>
              <w:rPr>
                <w:sz w:val="1"/>
                <w:szCs w:val="1"/>
                <w:color w:val="auto"/>
              </w:rPr>
            </w:pPr>
          </w:p>
        </w:tc>
      </w:tr>
      <w:tr>
        <w:trPr>
          <w:trHeight w:val="213"/>
        </w:trPr>
        <w:tc>
          <w:tcPr>
            <w:tcW w:w="2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potential for loss</w:t>
            </w: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w w:val="99"/>
              </w:rPr>
              <w:t>3</w:t>
            </w:r>
          </w:p>
        </w:tc>
        <w:tc>
          <w:tcPr>
            <w:tcW w:w="21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 High Risk Assets - Loss</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2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more likely than not</w:t>
            </w: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118,083</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118,083</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in which the investment was originated or acquired by us or in which a material modification occurred.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2021 </w:t>
            </w:r>
            <w:r>
              <w:rPr>
                <w:rFonts w:ascii="Times New Roman" w:cs="Times New Roman" w:eastAsia="Times New Roman" w:hAnsi="Times New Roman"/>
                <w:sz w:val="21"/>
                <w:szCs w:val="21"/>
                <w:b w:val="1"/>
                <w:bCs w:val="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Prior </w:t>
            </w:r>
            <w:r>
              <w:rPr>
                <w:rFonts w:ascii="Times New Roman" w:cs="Times New Roman" w:eastAsia="Times New Roman" w:hAnsi="Times New Roman"/>
                <w:sz w:val="21"/>
                <w:szCs w:val="21"/>
                <w:b w:val="1"/>
                <w:bCs w:val="1"/>
                <w:color w:val="auto"/>
                <w:vertAlign w:val="superscript"/>
              </w:rPr>
              <w:t>(1)</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 Low Risk Assets - Low</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20,000</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probability of loss</w:t>
            </w:r>
          </w:p>
        </w:tc>
        <w:tc>
          <w:tcPr>
            <w:tcW w:w="2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2 - Watch List Assets - Higher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1"/>
                <w:szCs w:val="11"/>
                <w:color w:val="auto"/>
                <w:w w:val="93"/>
              </w:rPr>
              <w:t>(2)</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1"/>
                <w:szCs w:val="11"/>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148,358</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148,358</w:t>
            </w:r>
          </w:p>
        </w:tc>
        <w:tc>
          <w:tcPr>
            <w:tcW w:w="0" w:type="dxa"/>
            <w:vAlign w:val="bottom"/>
          </w:tcPr>
          <w:p>
            <w:pPr>
              <w:spacing w:after="0"/>
              <w:rPr>
                <w:sz w:val="1"/>
                <w:szCs w:val="1"/>
                <w:color w:val="auto"/>
              </w:rPr>
            </w:pPr>
          </w:p>
        </w:tc>
      </w:tr>
      <w:tr>
        <w:trPr>
          <w:trHeight w:val="21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potential for loss</w:t>
            </w: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3 - High Risk Assets - Loss</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more likely than not</w:t>
            </w: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168,358</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168,358</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in which the investment was originated or acquired by us or in which a material modification occurred.</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investment with a total carrying value of $50.3 million as of December 31, 2025, that was included in the Company's alternative strategy portfolio.</w:t>
      </w:r>
    </w:p>
    <w:p>
      <w:pPr>
        <w:spacing w:after="0" w:line="23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have determined that we have one portfolio segment of financing receivables as of March 31, 2026 and December 31, 2025 comprised of commercial real estate in the New York metropolitan area, which is primarily recorded in debt and preferred equity investments.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Included in "Other assets" is an additional amount of financing receivables representing loans to joint venture partners totaling $16.5 million and $15.9 million as of March 31, 2026 and December 31, 2025, respectively. The Company recorded no provisions for loan losses related to these financing receivables for the three months ended March 31, 2026 and 2025. All of the loans with a carrying value as of March 31, 2026 have a risk rating of 2 and were performing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Mortgages and Other Loans Payable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mortgages and other loans payable as of March 31, 2026 and December 31, 2025, respectively, were as follows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Current Maturity</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Final Maturity Date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62"/>
        </w:trPr>
        <w:tc>
          <w:tcPr>
            <w:tcW w:w="4120" w:type="dxa"/>
            <w:vAlign w:val="bottom"/>
            <w:gridSpan w:val="4"/>
            <w:vMerge w:val="continue"/>
          </w:tcPr>
          <w:p>
            <w:pPr>
              <w:spacing w:after="0"/>
              <w:rPr>
                <w:sz w:val="14"/>
                <w:szCs w:val="14"/>
                <w:color w:val="auto"/>
              </w:rPr>
            </w:pPr>
          </w:p>
        </w:tc>
        <w:tc>
          <w:tcPr>
            <w:tcW w:w="1480" w:type="dxa"/>
            <w:vAlign w:val="bottom"/>
          </w:tcPr>
          <w:p>
            <w:pPr>
              <w:jc w:val="right"/>
              <w:ind w:right="579"/>
              <w:spacing w:after="0" w:line="162" w:lineRule="exact"/>
              <w:rPr>
                <w:sz w:val="20"/>
                <w:szCs w:val="20"/>
                <w:color w:val="auto"/>
              </w:rPr>
            </w:pPr>
            <w:r>
              <w:rPr>
                <w:rFonts w:ascii="Times New Roman" w:cs="Times New Roman" w:eastAsia="Times New Roman" w:hAnsi="Times New Roman"/>
                <w:sz w:val="16"/>
                <w:szCs w:val="16"/>
                <w:b w:val="1"/>
                <w:bCs w:val="1"/>
                <w:color w:val="auto"/>
              </w:rPr>
              <w:t>Date</w:t>
            </w:r>
          </w:p>
        </w:tc>
        <w:tc>
          <w:tcPr>
            <w:tcW w:w="1540" w:type="dxa"/>
            <w:vAlign w:val="bottom"/>
          </w:tcPr>
          <w:p>
            <w:pPr>
              <w:jc w:val="right"/>
              <w:ind w:right="641"/>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Debt: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 East 53rd Street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2026</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2028</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204,438</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204,550</w:t>
            </w:r>
          </w:p>
        </w:tc>
        <w:tc>
          <w:tcPr>
            <w:tcW w:w="0" w:type="dxa"/>
            <w:vAlign w:val="bottom"/>
          </w:tcPr>
          <w:p>
            <w:pPr>
              <w:spacing w:after="0"/>
              <w:rPr>
                <w:sz w:val="1"/>
                <w:szCs w:val="1"/>
                <w:color w:val="auto"/>
              </w:rPr>
            </w:pPr>
          </w:p>
        </w:tc>
      </w:tr>
      <w:tr>
        <w:trPr>
          <w:trHeight w:val="218"/>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 Dey Street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2026</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2026</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190,148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190,149</w:t>
            </w:r>
          </w:p>
        </w:tc>
        <w:tc>
          <w:tcPr>
            <w:tcW w:w="0" w:type="dxa"/>
            <w:vAlign w:val="bottom"/>
          </w:tcPr>
          <w:p>
            <w:pPr>
              <w:spacing w:after="0"/>
              <w:rPr>
                <w:sz w:val="1"/>
                <w:szCs w:val="1"/>
                <w:color w:val="auto"/>
              </w:rPr>
            </w:pPr>
          </w:p>
        </w:tc>
      </w:tr>
      <w:tr>
        <w:trPr>
          <w:trHeight w:val="214"/>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Church Street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2026</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2028</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0" w:type="dxa"/>
            <w:vAlign w:val="bottom"/>
          </w:tcPr>
          <w:p>
            <w:pPr>
              <w:spacing w:after="0"/>
              <w:rPr>
                <w:sz w:val="1"/>
                <w:szCs w:val="1"/>
                <w:color w:val="auto"/>
              </w:rPr>
            </w:pPr>
          </w:p>
        </w:tc>
      </w:tr>
      <w:tr>
        <w:trPr>
          <w:trHeight w:val="218"/>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Landmark Square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2027</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2027</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4"/>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485</w:t>
            </w: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2027</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18"/>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315</w:t>
            </w:r>
          </w:p>
        </w:tc>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33rd Street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2027</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14"/>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500</w:t>
            </w: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2028</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2030</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0" w:type="dxa"/>
            <w:vAlign w:val="bottom"/>
          </w:tcPr>
          <w:p>
            <w:pPr>
              <w:spacing w:after="0"/>
              <w:rPr>
                <w:sz w:val="1"/>
                <w:szCs w:val="1"/>
                <w:color w:val="auto"/>
              </w:rPr>
            </w:pPr>
          </w:p>
        </w:tc>
      </w:tr>
      <w:tr>
        <w:trPr>
          <w:trHeight w:val="218"/>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800</w:t>
            </w:r>
          </w:p>
        </w:tc>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2029</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2031</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177,000</w:t>
            </w:r>
          </w:p>
        </w:tc>
        <w:tc>
          <w:tcPr>
            <w:tcW w:w="0" w:type="dxa"/>
            <w:vAlign w:val="bottom"/>
          </w:tcPr>
          <w:p>
            <w:pPr>
              <w:spacing w:after="0"/>
              <w:rPr>
                <w:sz w:val="1"/>
                <w:szCs w:val="1"/>
                <w:color w:val="auto"/>
              </w:rPr>
            </w:pPr>
          </w:p>
        </w:tc>
      </w:tr>
      <w:tr>
        <w:trPr>
          <w:trHeight w:val="21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610 Park Avenue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2029</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2029</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 Tower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2031</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2031</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3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October 2040</w:t>
            </w:r>
          </w:p>
        </w:tc>
        <w:tc>
          <w:tcPr>
            <w:tcW w:w="16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October 2040</w:t>
            </w:r>
          </w:p>
        </w:tc>
        <w:tc>
          <w:tcPr>
            <w:tcW w:w="106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254,107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258,523</w:t>
            </w:r>
          </w:p>
        </w:tc>
        <w:tc>
          <w:tcPr>
            <w:tcW w:w="0" w:type="dxa"/>
            <w:vAlign w:val="bottom"/>
          </w:tcPr>
          <w:p>
            <w:pPr>
              <w:spacing w:after="0"/>
              <w:rPr>
                <w:sz w:val="1"/>
                <w:szCs w:val="1"/>
                <w:color w:val="auto"/>
              </w:rPr>
            </w:pPr>
          </w:p>
        </w:tc>
      </w:tr>
      <w:tr>
        <w:trPr>
          <w:trHeight w:val="211"/>
        </w:trPr>
        <w:tc>
          <w:tcPr>
            <w:tcW w:w="41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fixed rate debt</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2,562,893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2,075,222</w:t>
            </w:r>
          </w:p>
        </w:tc>
        <w:tc>
          <w:tcPr>
            <w:tcW w:w="0" w:type="dxa"/>
            <w:vAlign w:val="bottom"/>
          </w:tcPr>
          <w:p>
            <w:pPr>
              <w:spacing w:after="0"/>
              <w:rPr>
                <w:sz w:val="1"/>
                <w:szCs w:val="1"/>
                <w:color w:val="auto"/>
              </w:rPr>
            </w:pPr>
          </w:p>
        </w:tc>
      </w:tr>
      <w:tr>
        <w:trPr>
          <w:trHeight w:val="19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Debt:</w:t>
            </w: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2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Fund subscription line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³</w:t>
            </w:r>
            <w:r>
              <w:rPr>
                <w:rFonts w:ascii="MS PGothic" w:cs="MS PGothic" w:eastAsia="MS PGothic" w:hAnsi="MS PGothic"/>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2027</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August 2028</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S+  2.20%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136,390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79,277</w:t>
            </w:r>
          </w:p>
        </w:tc>
        <w:tc>
          <w:tcPr>
            <w:tcW w:w="0" w:type="dxa"/>
            <w:vAlign w:val="bottom"/>
          </w:tcPr>
          <w:p>
            <w:pPr>
              <w:spacing w:after="0"/>
              <w:rPr>
                <w:sz w:val="1"/>
                <w:szCs w:val="1"/>
                <w:color w:val="auto"/>
              </w:rPr>
            </w:pPr>
          </w:p>
        </w:tc>
      </w:tr>
      <w:tr>
        <w:trPr>
          <w:trHeight w:val="208"/>
        </w:trPr>
        <w:tc>
          <w:tcPr>
            <w:tcW w:w="412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6"/>
                <w:szCs w:val="16"/>
                <w:color w:val="auto"/>
              </w:rPr>
              <w:t>Total floating rate debt</w:t>
            </w:r>
          </w:p>
        </w:tc>
        <w:tc>
          <w:tcPr>
            <w:tcW w:w="14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136,390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79,277</w:t>
            </w:r>
          </w:p>
        </w:tc>
        <w:tc>
          <w:tcPr>
            <w:tcW w:w="0" w:type="dxa"/>
            <w:vAlign w:val="bottom"/>
          </w:tcPr>
          <w:p>
            <w:pPr>
              <w:spacing w:after="0"/>
              <w:rPr>
                <w:sz w:val="1"/>
                <w:szCs w:val="1"/>
                <w:color w:val="auto"/>
              </w:rPr>
            </w:pPr>
          </w:p>
        </w:tc>
      </w:tr>
      <w:tr>
        <w:trPr>
          <w:trHeight w:val="211"/>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fixed rate and floating rate debt</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2,699,283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2,154,499</w:t>
            </w:r>
          </w:p>
        </w:tc>
        <w:tc>
          <w:tcPr>
            <w:tcW w:w="0" w:type="dxa"/>
            <w:vAlign w:val="bottom"/>
          </w:tcPr>
          <w:p>
            <w:pPr>
              <w:spacing w:after="0"/>
              <w:rPr>
                <w:sz w:val="1"/>
                <w:szCs w:val="1"/>
                <w:color w:val="auto"/>
              </w:rPr>
            </w:pPr>
          </w:p>
        </w:tc>
      </w:tr>
      <w:tr>
        <w:trPr>
          <w:trHeight w:val="214"/>
        </w:trPr>
        <w:tc>
          <w:tcPr>
            <w:tcW w:w="4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Mortgages reclassed to liabilities related to assets held for sale</w:t>
            </w:r>
          </w:p>
        </w:tc>
        <w:tc>
          <w:tcPr>
            <w:tcW w:w="14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(190,148)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2,509,135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2,154,499</w:t>
            </w:r>
          </w:p>
        </w:tc>
        <w:tc>
          <w:tcPr>
            <w:tcW w:w="0" w:type="dxa"/>
            <w:vAlign w:val="bottom"/>
          </w:tcPr>
          <w:p>
            <w:pPr>
              <w:spacing w:after="0"/>
              <w:rPr>
                <w:sz w:val="1"/>
                <w:szCs w:val="1"/>
                <w:color w:val="auto"/>
              </w:rPr>
            </w:pPr>
          </w:p>
        </w:tc>
      </w:tr>
      <w:tr>
        <w:trPr>
          <w:trHeight w:val="214"/>
        </w:trPr>
        <w:tc>
          <w:tcPr>
            <w:tcW w:w="4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Deferred financing costs, net of amortization</w:t>
            </w:r>
          </w:p>
        </w:tc>
        <w:tc>
          <w:tcPr>
            <w:tcW w:w="14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 net</w:t>
            </w:r>
          </w:p>
        </w:tc>
        <w:tc>
          <w:tcPr>
            <w:tcW w:w="14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2,491,849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2,146,049</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 The ability to exercise extension options may be subject to certain conditions, including the operating performance of the property.</w:t>
      </w:r>
    </w:p>
    <w:p>
      <w:pPr>
        <w:spacing w:after="0" w:line="17" w:lineRule="exact"/>
        <w:rPr>
          <w:rFonts w:ascii="Times New Roman" w:cs="Times New Roman" w:eastAsia="Times New Roman" w:hAnsi="Times New Roman"/>
          <w:sz w:val="14"/>
          <w:szCs w:val="14"/>
          <w:color w:val="auto"/>
        </w:rPr>
      </w:pPr>
    </w:p>
    <w:p>
      <w:pPr>
        <w:ind w:left="420" w:hanging="412"/>
        <w:spacing w:after="0" w:line="259"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March 31, 2026, taking into account interest rate hedges in effect during the period. Floating rate debt is presented with the stated spread over Term or Alternative SOFR ("S"), unless otherwise specified.</w:t>
      </w:r>
    </w:p>
    <w:p>
      <w:pPr>
        <w:ind w:left="420" w:right="100" w:hanging="412"/>
        <w:spacing w:after="0" w:line="263"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has access to a subscription line of credit with a maximum commitment of $200 million as of March 31, 2026, which is secured by investor capital commitments. The facility is used to provide short term funding for acquisitions prior to capital calls and is repaid through capital contributions. The subscription line of credit is non-recourse to the Company.</w:t>
      </w:r>
    </w:p>
    <w:p>
      <w:pPr>
        <w:spacing w:after="0" w:line="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gross book value of the properties collateralizing the mortgages and other loans payable was approximately $3.2 billion and $2.5 billion,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CMBS Repurchase Facility</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December 2024, the Company entered into a repurchase facility for CMBS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March 31, 2026, there have been no margin calls on the CMBS Repurchase Facility. At March 31, 2026, there was no outstanding balance on the facility.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right="9200" w:firstLine="8"/>
        <w:spacing w:after="0" w:line="377" w:lineRule="auto"/>
        <w:tabs>
          <w:tab w:leader="none" w:pos="1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Indebtedness 2026 Credit Facility</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18, 2026, the Company entered into an amended and restated credit facility (the "2026 Credit Facility"), which was previously amended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2021 and November 2017, and was originally entered into in November 2012. As of March 31, 2026, the 2026 Credit Facility consisted of a:</w:t>
      </w:r>
    </w:p>
    <w:p>
      <w:pPr>
        <w:spacing w:after="0" w:line="9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billion revolving credit facility with a maturity of June 2030 and two six-month, as-of-right extension options to June 2031.</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million term loan (or the "Term A Loans") with a maturity of May 2027.</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term loan (or the "Term B Loans") with a maturity of May 2026 and one six-month, as-of right extension option to November 2026.</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million term loan (or the "Term C Loans") with a maturity of June 2031.</w:t>
      </w:r>
    </w:p>
    <w:p>
      <w:pPr>
        <w:spacing w:after="0" w:line="11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also have an option, subject to customary conditions, to increase the capacity of the credit facility to $4.5 billion at any time prior to the maturity date of the revolving credit facility without the consent of existing lenders, by obtaining additional commitments from our existing lenders and other financial institutions.</w:t>
      </w:r>
    </w:p>
    <w:p>
      <w:pPr>
        <w:spacing w:after="0" w:line="6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As of March 31, 2026, the 2026 Credit Facility bore interest at a spread over Term SOFR with an interest period of one or three months, as we may elect, ranging from (i) 85 basis points to 185 basis points for loans under the revolving credit facility, (ii) 90 basis points to 170 basis points for the Term A Loans, (iii) 100 basis points to 180 basis points for the Term B Loans, and (iv) 95 basis points to 220 basis points for the Term C Loans,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 The revolving credit facility also contains a competitive bid option that allows banks that are part of the lender consortium to bid to make loan advances to us at a reduced interest rate. The 2026 Credit Facility provide for the ability to amend the 2026 Credit Facility to include a sustainability component whereby the revolving credit facility and Term C Loans pricing may improve by up to 3 basis points (depending on the sustainability rating achieved) upon the Company’s achievement of certain sustainability ratings, determined via an independent third-party evaluation.</w:t>
      </w:r>
    </w:p>
    <w:p>
      <w:pPr>
        <w:spacing w:after="0" w:line="8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2026, the applicable spread over Term SOFR for the 2026 Credit Facility was 125 basis points for the revolving credit facility, 170 basis points for the Term A Loans, 180 basis points for the Term B Loans and 145 basis points for the Term C loans. We are required to pay quarterly in arrears a 20 to 45 basis point facility fee on the total commitments under the revolving credit facility based on the credit rating assigned to the senior unsecured long term indebtedness of the Company. As of March 31, 2026, the facility fee was 30 basis points.</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2026, we had $7.0 million of outstanding letters of credit, $825.0 million drawn under the revolving credit facility and $1.15 billion of outstanding term loans, with total undrawn capacity of $418.0 million under the 2026 Credit Facility. As of March 31, 2026 and December 31, 2025, the revolving credit facility had a carrying value of $814.0 million and $637.8 million, respectively, net of deferred financing costs. As of March 31, 2026 and December 31, 2025, the term loans had a carrying value of $1.1 billion and $1.1 billion, respectively, net of deferred financing costs.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the Operating Partnership are borrowers jointly and severally obligated under the 2026 Credit Facility.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2026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terms of the 2026 Credit Facility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Adjusted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March 31, 2026 and December 31, 2025,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Junior Subordinated Deferrable Interest Debentures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26 basis points over the three-month Term SOFR.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Maturities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Combined aggregate principal maturities of mortgages and other loans payable, the 2026 Credit Facility, trust preferred securities and our share of joint venture debt as of March 31, 2026, including as-of-right extension options but excluding other extension options,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Trust</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Company's Share of</w:t>
            </w: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Unsecured Term</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22"/>
              <w:spacing w:after="0" w:line="146"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4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3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Venture</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21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Remaining 2026 </w:t>
            </w:r>
            <w:r>
              <w:rPr>
                <w:rFonts w:ascii="Times New Roman" w:cs="Times New Roman" w:eastAsia="Times New Roman" w:hAnsi="Times New Roman"/>
                <w:sz w:val="9"/>
                <w:szCs w:val="9"/>
                <w:color w:val="auto"/>
              </w:rPr>
              <w:t>(1)</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1,076,993</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936,390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1,453,918</w:t>
            </w: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555,449</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840,000</w:t>
            </w:r>
          </w:p>
        </w:tc>
        <w:tc>
          <w:tcPr>
            <w:tcW w:w="0" w:type="dxa"/>
            <w:vAlign w:val="bottom"/>
          </w:tcPr>
          <w:p>
            <w:pPr>
              <w:spacing w:after="0"/>
              <w:rPr>
                <w:sz w:val="1"/>
                <w:szCs w:val="1"/>
                <w:color w:val="auto"/>
              </w:rPr>
            </w:pPr>
          </w:p>
        </w:tc>
      </w:tr>
      <w:tr>
        <w:trPr>
          <w:trHeight w:val="213"/>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734,107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825,000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2,409,107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2,071,051</w:t>
            </w:r>
          </w:p>
        </w:tc>
        <w:tc>
          <w:tcPr>
            <w:tcW w:w="0" w:type="dxa"/>
            <w:vAlign w:val="bottom"/>
          </w:tcPr>
          <w:p>
            <w:pPr>
              <w:spacing w:after="0"/>
              <w:rPr>
                <w:sz w:val="1"/>
                <w:szCs w:val="1"/>
                <w:color w:val="auto"/>
              </w:rPr>
            </w:pPr>
          </w:p>
        </w:tc>
      </w:tr>
      <w:tr>
        <w:trPr>
          <w:trHeight w:val="234"/>
        </w:trPr>
        <w:tc>
          <w:tcPr>
            <w:tcW w:w="1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2,699,283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825,000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4,774,283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5,997,411</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$255.0 million representing the Company's share of the mortgage at 919 Third Avenue, which was extended to 2027 in April 2026.</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Consolidated interest expense, excluding capitalized interest, was comprised of the following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before capitalized interest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58,755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52,048</w:t>
            </w: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financing leases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(8,668)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w:t>
            </w: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discount on assumed debt</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(1,010)</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50,909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45,681</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right="8520" w:firstLine="8"/>
        <w:spacing w:after="0" w:line="400" w:lineRule="auto"/>
        <w:tabs>
          <w:tab w:leader="none" w:pos="27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One Vanderbilt Avenue Investment</w:t>
      </w: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December 2016, we entered into agreements with entities owned and controlled by our Chairman and Chief Executive Officer ("CEO"),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p>
    <w:p>
      <w:pPr>
        <w:spacing w:after="0" w:line="8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based on the project's sale price, if applicable, or fair market value as determined by an independent third-party appraiser. In 2022, stabilization of the property (excluding SUMMIT One Vanderbilt) was achieved. Therefore, Messrs. Holliday and Mathias exercised their rights to tender 50% of their interests in the property (excluding SUMMIT One Vanderbilt) in July 2022. In 2023, stabilization of SUMMIT One Vanderbilt was achieved.</w:t>
      </w:r>
    </w:p>
    <w:p>
      <w:pPr>
        <w:spacing w:after="0" w:line="8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Messrs. Holliday's and Mathias's remaining interests in the One Vanderbilt project are included in Preferred units and redeemable equity in the mezzanine equity section of the Company's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Vanderbilt Avenue Leases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November 2018, we entered into a lease agreement with the One Vanderbilt Avenue joint venture covering certain floors at the property. In March 2021, the lease commenced and we relocated our corporate headquarters to the leased space. For the three months ended March 31, 2026 and 2025, we recorded $0.9 million and $0.9 million, respectively, of rent expense under the lease.</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June 2021, we, through a consolidated subsidiary, entered into a lease agreement with the One Vanderbilt Avenue joint venture for SUMMIT One Vanderbilt, which commenced operations in October 2021. In June 2025, we, through a consolidated subsidiary, entered into a second lease agreement with the One Vanderbilt Avenue joint venture for SUMMIT One Vanderbilt to lease special event space. For the three months ended March 31, 2026 and 2025, we recorded $6.7 million and $6.3 million, respectively, of rent expense under the leases, including percentage rent, of which $3.2 million and $3.5 million, respectively, was recognized as income as a component of "Equity in net income (loss) from unconsolidated joint ventures in our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receive fees for providing management, leasing, construction supervision and asset management services to certain of our joint ventures as further described in Note 5, "Investments in Unconsolidated Joint Ventures." Amounts due from joint ventures, inclusive of our ownership share of the joint ventures, and related parties as of March 31, 2026 and December 31, 2025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 joint ventures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15,863</w:t>
            </w:r>
          </w:p>
        </w:tc>
      </w:tr>
      <w:tr>
        <w:trPr>
          <w:trHeight w:val="214"/>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16,293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Interests on the Company's Consolidated Financial Statements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 of Limited Partnership Interest in the Operating Partnership</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noncontrolling interest unit holders owned 7.63%, or 5,878,318 units, and 6.42%, or 4,877,891 units, of the Operating Partnership, respectively. As of March 31, 2026, 5,878,318 shares of our common stock were reserved for issuance upon the redemption of units of limited partnership interest of the Operating Partnership.</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Noncontrolling interests in the Operating Partnership is recorded at the greater of its cost basis or fair market value based on the closing stock price of our common stock at the end of the reporting period.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Below is a summary of the activity relating to the noncontrolling interests in the Operating Partnership for the three months ended March 31, 2026 and the twelve months ended December 31, 2025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241,371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288,941</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(14,162)</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units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19,531</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and conversion of common units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(22,302)</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 allocation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(20,160)</w:t>
            </w:r>
          </w:p>
        </w:tc>
      </w:tr>
      <w:tr>
        <w:trPr>
          <w:trHeight w:val="211"/>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259,415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241,371</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Units of Limited Partnership Interest in the Operating Partnership</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summary of the preferred units of limited partnership interest in the Operating Partnership as of March 31,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Conversion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38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240" w:type="dxa"/>
            <w:vAlign w:val="bottom"/>
            <w:gridSpan w:val="2"/>
            <w:vMerge w:val="continue"/>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Dividend Per</w:t>
            </w:r>
          </w:p>
        </w:tc>
        <w:tc>
          <w:tcPr>
            <w:tcW w:w="12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Preference Per</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0" w:type="dxa"/>
            <w:vAlign w:val="bottom"/>
          </w:tcPr>
          <w:p>
            <w:pPr>
              <w:spacing w:after="0"/>
              <w:rPr>
                <w:sz w:val="1"/>
                <w:szCs w:val="1"/>
                <w:color w:val="auto"/>
              </w:rPr>
            </w:pPr>
          </w:p>
        </w:tc>
      </w:tr>
      <w:tr>
        <w:trPr>
          <w:trHeight w:val="216"/>
        </w:trPr>
        <w:tc>
          <w:tcPr>
            <w:tcW w:w="1080" w:type="dxa"/>
            <w:vAlign w:val="bottom"/>
            <w:gridSpan w:val="2"/>
            <w:vMerge w:val="continue"/>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Distribution Rate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Units Issued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w w:val="90"/>
              </w:rPr>
              <w:t>Unit</w:t>
            </w:r>
            <w:r>
              <w:rPr>
                <w:rFonts w:ascii="Times New Roman" w:cs="Times New Roman" w:eastAsia="Times New Roman" w:hAnsi="Times New Roman"/>
                <w:sz w:val="21"/>
                <w:szCs w:val="21"/>
                <w:b w:val="1"/>
                <w:bCs w:val="1"/>
                <w:color w:val="auto"/>
                <w:w w:val="90"/>
                <w:vertAlign w:val="superscript"/>
              </w:rPr>
              <w:t>(1)</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0"/>
              </w:rPr>
              <w:t>Unit</w:t>
            </w:r>
            <w:r>
              <w:rPr>
                <w:rFonts w:ascii="Times New Roman" w:cs="Times New Roman" w:eastAsia="Times New Roman" w:hAnsi="Times New Roman"/>
                <w:sz w:val="21"/>
                <w:szCs w:val="21"/>
                <w:b w:val="1"/>
                <w:bCs w:val="1"/>
                <w:color w:val="auto"/>
                <w:w w:val="90"/>
                <w:vertAlign w:val="superscript"/>
              </w:rPr>
              <w:t>(2)</w:t>
            </w:r>
          </w:p>
        </w:tc>
        <w:tc>
          <w:tcPr>
            <w:tcW w:w="12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Price Per Unit</w:t>
            </w:r>
            <w:r>
              <w:rPr>
                <w:rFonts w:ascii="Times New Roman" w:cs="Times New Roman" w:eastAsia="Times New Roman" w:hAnsi="Times New Roman"/>
                <w:sz w:val="21"/>
                <w:szCs w:val="21"/>
                <w:b w:val="1"/>
                <w:bCs w:val="1"/>
                <w:color w:val="auto"/>
                <w:vertAlign w:val="superscript"/>
              </w:rPr>
              <w:t>(3)</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Series A </w:t>
            </w:r>
            <w:r>
              <w:rPr>
                <w:rFonts w:ascii="Times New Roman" w:cs="Times New Roman" w:eastAsia="Times New Roman" w:hAnsi="Times New Roman"/>
                <w:sz w:val="21"/>
                <w:szCs w:val="21"/>
                <w:color w:val="auto"/>
                <w:vertAlign w:val="superscript"/>
              </w:rPr>
              <w:t>(4)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F</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2007</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0.8750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3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L</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0.8750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154.89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Series V </w:t>
            </w:r>
            <w:r>
              <w:rPr>
                <w:rFonts w:ascii="Times New Roman" w:cs="Times New Roman" w:eastAsia="Times New Roman" w:hAnsi="Times New Roman"/>
                <w:sz w:val="21"/>
                <w:szCs w:val="21"/>
                <w:color w:val="auto"/>
                <w:vertAlign w:val="superscript"/>
              </w:rPr>
              <w:t>(5)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2019</w:t>
            </w: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Series W </w:t>
            </w:r>
            <w:r>
              <w:rPr>
                <w:rFonts w:ascii="Times New Roman" w:cs="Times New Roman" w:eastAsia="Times New Roman" w:hAnsi="Times New Roman"/>
                <w:sz w:val="21"/>
                <w:szCs w:val="21"/>
                <w:color w:val="auto"/>
                <w:vertAlign w:val="superscript"/>
              </w:rPr>
              <w:t>(6)</w:t>
            </w: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2020</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172,809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172,809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2025</w:t>
            </w:r>
          </w:p>
        </w:tc>
        <w:tc>
          <w:tcPr>
            <w:tcW w:w="0" w:type="dxa"/>
            <w:vAlign w:val="bottom"/>
          </w:tcPr>
          <w:p>
            <w:pPr>
              <w:spacing w:after="0"/>
              <w:rPr>
                <w:sz w:val="1"/>
                <w:szCs w:val="1"/>
                <w:color w:val="auto"/>
              </w:rPr>
            </w:pPr>
          </w:p>
        </w:tc>
      </w:tr>
      <w:tr>
        <w:trPr>
          <w:trHeight w:val="21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Y</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2026</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are cumulative, subject to certain provisions.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are redeemable at any time at par for cash at the option of the unit holder unless otherwise specified.</w:t>
      </w:r>
    </w:p>
    <w:p>
      <w:pPr>
        <w:spacing w:after="0" w:line="14" w:lineRule="exact"/>
        <w:rPr>
          <w:rFonts w:ascii="Times New Roman" w:cs="Times New Roman" w:eastAsia="Times New Roman" w:hAnsi="Times New Roman"/>
          <w:sz w:val="14"/>
          <w:szCs w:val="14"/>
          <w:color w:val="auto"/>
        </w:rPr>
      </w:pPr>
    </w:p>
    <w:p>
      <w:pPr>
        <w:ind w:left="420" w:hanging="412"/>
        <w:spacing w:after="0" w:line="261" w:lineRule="auto"/>
        <w:tabs>
          <w:tab w:leader="none" w:pos="4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through a consolidated subsidiary. The units are redeemable at any time after December 13, 2024 at par for cash at the option of the unit holder.</w:t>
      </w:r>
    </w:p>
    <w:p>
      <w:pPr>
        <w:spacing w:after="0" w:line="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V Preferred Units are redeemable at any time after January 1, 2025 at par for cash at the option of the unit holder.</w:t>
      </w:r>
    </w:p>
    <w:p>
      <w:pPr>
        <w:spacing w:after="0" w:line="11" w:lineRule="exact"/>
        <w:rPr>
          <w:rFonts w:ascii="Times New Roman" w:cs="Times New Roman" w:eastAsia="Times New Roman" w:hAnsi="Times New Roman"/>
          <w:sz w:val="14"/>
          <w:szCs w:val="14"/>
          <w:color w:val="auto"/>
        </w:rPr>
      </w:pPr>
    </w:p>
    <w:p>
      <w:pPr>
        <w:jc w:val="both"/>
        <w:ind w:left="420" w:hanging="412"/>
        <w:spacing w:after="0" w:line="263" w:lineRule="auto"/>
        <w:tabs>
          <w:tab w:leader="none" w:pos="4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spacing w:after="0" w:line="39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Below is a summary of the activity relating to the preferred units in the Operating Partnership for the three months ended March 31, 2026 and the twelve months ended December 31, 2025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168,560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164,210</w:t>
            </w:r>
          </w:p>
        </w:tc>
      </w:tr>
      <w:tr>
        <w:trPr>
          <w:trHeight w:val="21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units</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preferred units</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preferred units</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dividends on preferred units</w:t>
            </w:r>
          </w:p>
        </w:tc>
        <w:tc>
          <w:tcPr>
            <w:tcW w:w="2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w:t>
            </w:r>
          </w:p>
        </w:tc>
      </w:tr>
      <w:tr>
        <w:trPr>
          <w:trHeight w:val="21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174,382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168,560</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8080" w:firstLine="8"/>
        <w:spacing w:after="0" w:line="378" w:lineRule="auto"/>
        <w:tabs>
          <w:tab w:leader="none" w:pos="27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of the Company Common Stock</w:t>
      </w: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March 31, 2026, 71,123,984 shares of common stock and no shares of excess stock were issued and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in place a share repurchase program of $3.5 billion under which we can buy shares of our common stock.</w:t>
      </w:r>
    </w:p>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36,107,719 shares have been repurchased under the program. This amount excludes the redemption of OP units. We did not repurchase any shares under the program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Perpetual Preferred Stock</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and Stock Purchase Plan ("DRSPP")</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February 2024, the Company filed a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SL Green common stock issued, and proceeds received from dividend reinvestments and/or stock purchases under the DRSPP for the three months ended March 31, 2026 and 2025, respectively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1"/>
        </w:trPr>
        <w:tc>
          <w:tcPr>
            <w:tcW w:w="74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reinvestments/stock purchases under the DRSPP</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120" w:type="dxa"/>
            <w:vAlign w:val="bottom"/>
          </w:tcPr>
          <w:p>
            <w:pPr>
              <w:spacing w:after="0"/>
              <w:rPr>
                <w:sz w:val="18"/>
                <w:szCs w:val="18"/>
                <w:color w:val="auto"/>
              </w:rPr>
            </w:pPr>
          </w:p>
        </w:tc>
        <w:tc>
          <w:tcPr>
            <w:tcW w:w="124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SL  Green's  earnings  per  share  for  the  three  months  ended  March  31,  2026  and</w:t>
            </w: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2025  are  computed  as  follows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r>
      <w:tr>
        <w:trPr>
          <w:trHeight w:val="237"/>
        </w:trPr>
        <w:tc>
          <w:tcPr>
            <w:tcW w:w="7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attributable to SL Green common stockholders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(84,391)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r>
      <w:tr>
        <w:trPr>
          <w:trHeight w:val="218"/>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08"/>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SL Green common stockholders (numerator for basic earnings per share)</w:t>
            </w: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(84,717)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(21,437)</w:t>
            </w:r>
          </w:p>
        </w:tc>
      </w:tr>
      <w:tr>
        <w:trPr>
          <w:trHeight w:val="218"/>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 shares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Add back: effect of dilutive securities (redemption of units to common shares)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attributable to SL Green common stockholders (numerator for diluted earnings per share)</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(84,717)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r>
      <w:tr>
        <w:trPr>
          <w:trHeight w:val="413"/>
        </w:trPr>
        <w:tc>
          <w:tcPr>
            <w:tcW w:w="7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Shares: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70,687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70,424</w:t>
            </w:r>
          </w:p>
        </w:tc>
      </w:tr>
      <w:tr>
        <w:trPr>
          <w:trHeight w:val="21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Partnership units redeemable for common shares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stock outstanding</w:t>
            </w:r>
          </w:p>
        </w:tc>
        <w:tc>
          <w:tcPr>
            <w:tcW w:w="1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70,687</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70,424</w:t>
            </w:r>
          </w:p>
        </w:tc>
      </w:tr>
      <w:tr>
        <w:trPr>
          <w:trHeight w:val="20"/>
        </w:trPr>
        <w:tc>
          <w:tcPr>
            <w:tcW w:w="7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excluded 7,375,635 and 6,262,427 common stock equivalents from the calculation of diluted shares outstanding for the three months ended March 31, 2026, and 2025 respectively, as they were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Partners' Capital of the Operating Partnership</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is the sole managing general partner of the Operating Partnership and, as of March 31, 2026, owned 71,123,984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income (loss) allocated to the preferred unitholders and common unitholders reflects their pro rata share of net income (loss) and distributions.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Partner Units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limited partners, other than SL Green, owned 7.63%, or 5,878,318 common units, of the Operating Partnership.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Units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Preferred units not owned by SL Green are further described in Note 11, “Noncontrolling Interests on the Company's Consolidated Financial Statements - Preferred Units of Limited Partnership Interest in the Operating Partnership.”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Unit</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Operating Partnership's earnings per unit for the three months ended March 31, 2026 and 2025, respectively, are computed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SLGOP common unitholders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(91,069)</w:t>
            </w:r>
          </w:p>
        </w:tc>
        <w:tc>
          <w:tcPr>
            <w:tcW w:w="120" w:type="dxa"/>
            <w:vAlign w:val="bottom"/>
          </w:tcPr>
          <w:p>
            <w:pPr>
              <w:spacing w:after="0"/>
              <w:rPr>
                <w:sz w:val="19"/>
                <w:szCs w:val="19"/>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(22,540)</w:t>
            </w:r>
          </w:p>
        </w:tc>
      </w:tr>
      <w:tr>
        <w:trPr>
          <w:trHeight w:val="219"/>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4"/>
        </w:trPr>
        <w:tc>
          <w:tcPr>
            <w:tcW w:w="7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Less: undistributed earnings allocated to participating securities</w:t>
            </w:r>
          </w:p>
        </w:tc>
        <w:tc>
          <w:tcPr>
            <w:tcW w:w="4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SLGOP common unitholders (numerator for basic earnings per unit)</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(91,930)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r>
      <w:tr>
        <w:trPr>
          <w:trHeight w:val="214"/>
        </w:trPr>
        <w:tc>
          <w:tcPr>
            <w:tcW w:w="7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 shares</w:t>
            </w:r>
          </w:p>
        </w:tc>
        <w:tc>
          <w:tcPr>
            <w:tcW w:w="4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Add back: undistributed earnings allocated to participating securities</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attributable to SLGOP common unitholders (numerator for diluted earnings per unit)</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(91,930)</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(23,783)</w:t>
            </w: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r>
      <w:tr>
        <w:trPr>
          <w:trHeight w:val="663"/>
        </w:trPr>
        <w:tc>
          <w:tcPr>
            <w:tcW w:w="7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units: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4"/>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75,667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74,527</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4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Contingently issuable units</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outstanding</w:t>
            </w: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75,667</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74,527</w:t>
            </w: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Operating Partnership has excluded 2,395,646 and 2,159,695 common unit equivalents from the diluted units outstanding for the three months ended March 31, 2026, and 2025 respectively, as they were anti-dilutive.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spacing w:after="0" w:line="6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Sixth Amended and Restated 2005 Stock Option and Incentive Plan, or the 2005 Plan, was approved by the Company's Board of Directors in April 2025 and its stockholders in June 2025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39,890,000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3.20 Fungible Units per share subject to such awards, (2) stock options, stock appreciation rights, Class O LTIP units and other awards that do not deliver full value of the underlying shares and expire five years from the date of grant counting as 0.87 fungible units per share subject to such awards, and (3) all other awards (e.g., 10-year stock options) counting as 1.0 fungible units per share subject to such awards. Awards granted under the 2005 Plan prior to the approval of the sixth amendment and restatement in June 2025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39,890,000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3, 2035, which is the tenth anniversary of the date that the 2005 Plan was most recently approved by the Company's stockholders. As of March 31, 2026, 6.2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Class O LTIP Units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2024, our Chairman and CEO, Marc Holliday, received a grant of 217,917 Class O LTIP Units in connection with his new employment agreement, that are subject to both time-based vesting conditions and performance-based vesting conditions. The performance-based vesting conditions are satisfied if the average share price of the Company's common stock equals or exceeds $100.00 as of any trailing twenty trading day period between the grant date and the fifth anniversary thereafter. Subject to achievement of the performance hurdle and continued employment, the Class O LTIP Units vest ratably on December 31, 2026, and December 31, 2027, following the tranche that vested on December 31, 2025.</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or LTIP Unit granted is estimated on the date of grant using the Black-Scholes option pricing model based on historical information with the following weighted average assumptions for grants during the three months ended March 31, 2026 and the year ended December 31,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12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6.7 %</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7.1 %</w:t>
            </w:r>
          </w:p>
        </w:tc>
      </w:tr>
      <w:tr>
        <w:trPr>
          <w:trHeight w:val="21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212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6.0 years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 years</w:t>
            </w:r>
          </w:p>
        </w:tc>
      </w:tr>
      <w:tr>
        <w:trPr>
          <w:trHeight w:val="21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3.84 %</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3.58 %</w:t>
            </w:r>
          </w:p>
        </w:tc>
      </w:tr>
      <w:tr>
        <w:trPr>
          <w:trHeight w:val="212"/>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51.0 %</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46.0 %</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status of the Company's stock options as of March 31, 2026 and December 31, 2025, and changes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year ended December 31, 2025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298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6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58"/>
        </w:trPr>
        <w:tc>
          <w:tcPr>
            <w:tcW w:w="54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1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740,897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61.66</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0" w:type="dxa"/>
            <w:vAlign w:val="bottom"/>
          </w:tcPr>
          <w:p>
            <w:pPr>
              <w:spacing w:after="0"/>
              <w:rPr>
                <w:sz w:val="1"/>
                <w:szCs w:val="1"/>
                <w:color w:val="auto"/>
              </w:rPr>
            </w:pP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40.49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Lapsed or canceled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840,897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59.20</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740,897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end of period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207,639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91.12</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remaining weighted average contractual life of the options outstanding was 5.7 years and the remaining average contractual life of the options exercisable was 3.5 years.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recognized $0.7 million compensation expense related to options. As of March 31, 2026, there was $7.7 million unrecognized compensation cost related to unvested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Shares may be granted to certain employees, including our executives, and vesting occurs upon the completion of a service period or our meeting established financial performance criteria. Vesting occurs at rates ranging from 15% to 35% once performance criteria are reached.</w:t>
      </w:r>
    </w:p>
    <w:p>
      <w:pPr>
        <w:spacing w:after="0" w:line="5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 summary of the Company's restricted stock as of March 31, 2026 and December 31, 2025 and changes during the three months ended March 31, 2026 and the year ended December 31, 2025, are as follows:</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4,532,000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4,449,709</w:t>
            </w: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91,926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(9,635)</w:t>
            </w: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4,609,458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4,532,000</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during the period</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236,139</w:t>
            </w: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expense recorded</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2,782,432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15,077,198</w:t>
            </w:r>
          </w:p>
        </w:tc>
      </w:tr>
      <w:tr>
        <w:trPr>
          <w:trHeight w:val="21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fair value of restricted stock granted during the period</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3,256,248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4,206,695</w:t>
            </w:r>
          </w:p>
        </w:tc>
      </w:tr>
    </w:tbl>
    <w:p>
      <w:pPr>
        <w:spacing w:after="0" w:line="1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fair value of restricted stock that vested during the three months ended March 31, 2026 and the year ended December 31, 2025 was $18.1 million and $11.3 million, respectively. As of March 31, 2026, there was $18.5 million of total unrecognized compensation cost related to restricted stock, which is expected to be recognized over a weighted average period of 2.0 years.</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granted LTIP Units, which include bonus, time-based and performance-based awards, with a fair value of $28.2 million and $27.6 million as of March 31, 2026 and December 31, 2025, respectively. The grant date fair value of the LTIP Unit awards was calculated in accordance with ASC Topic 718, </w:t>
      </w:r>
      <w:r>
        <w:rPr>
          <w:rFonts w:ascii="Times New Roman" w:cs="Times New Roman" w:eastAsia="Times New Roman" w:hAnsi="Times New Roman"/>
          <w:sz w:val="18"/>
          <w:szCs w:val="18"/>
          <w:i w:val="1"/>
          <w:iCs w:val="1"/>
          <w:color w:val="auto"/>
        </w:rPr>
        <w:t xml:space="preserve">Compensation - Stock Compensation </w:t>
      </w:r>
      <w:r>
        <w:rPr>
          <w:rFonts w:ascii="Times New Roman" w:cs="Times New Roman" w:eastAsia="Times New Roman" w:hAnsi="Times New Roman"/>
          <w:sz w:val="18"/>
          <w:szCs w:val="18"/>
          <w:color w:val="auto"/>
        </w:rPr>
        <w:t>("ASC 718"). A third-party consultant determined that the fair value of the LTIP Units has a discount to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price. The discount was calculated by considering the inherent uncertainty that the LTIP Units will reach parity with other common partnership units and the illiquidity due to transfer restrictions. As of March 31, 2026, there was $42.9 million of total unrecognized compensation expense related to the time-based and performance-based awards, which is expected to be recognized over a weighted average period of 1.9 years.</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compensation expense related to bonus, time-based and performance-based awards of $5.0 million and $5.1 million, respectively.</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$0.5 million and $0.5 million, respectively, was capitalized to assets associated with compensation expense related to our long-term compensation plans, restricted stock and stock options.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 for Directors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20,017 phantom stock units and 15,012 shares of common stock were issued to our Board of Directors. We recorded compensation expense of $1.9 million and $1.9 million during the three months ended March 31, 2026, and 2025, respectively, related to the Deferred Compensation Plan.</w:t>
      </w:r>
    </w:p>
    <w:p>
      <w:pPr>
        <w:spacing w:after="0" w:line="68" w:lineRule="exact"/>
        <w:rPr>
          <w:sz w:val="20"/>
          <w:szCs w:val="20"/>
          <w:color w:val="auto"/>
        </w:rPr>
      </w:pPr>
    </w:p>
    <w:p>
      <w:pPr>
        <w:ind w:right="980" w:firstLine="445"/>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2026, there were 101,237 phantom stock units outstanding pursuant to our Non-Employee Director's Deferral Program.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March 31, 2026, 275,249 shares of our common stock had been issued under the ESPP.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set forth the changes in accumulated other comprehensive income by component as of March 31, 2026 (in thousands):</w:t>
      </w:r>
    </w:p>
    <w:p>
      <w:pPr>
        <w:sectPr>
          <w:pgSz w:w="11900" w:h="16838" w:orient="portrait"/>
          <w:cols w:equalWidth="0" w:num="1">
            <w:col w:w="11240"/>
          </w:cols>
          <w:pgMar w:left="320" w:top="121" w:right="339" w:bottom="1440" w:gutter="0" w:footer="0" w:header="0"/>
        </w:sectPr>
      </w:pPr>
    </w:p>
    <w:p>
      <w:pPr>
        <w:spacing w:after="0" w:line="28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Net unrealized</w:t>
      </w:r>
    </w:p>
    <w:p>
      <w:pPr>
        <w:ind w:left="5040"/>
        <w:spacing w:after="0" w:line="209" w:lineRule="auto"/>
        <w:rPr>
          <w:sz w:val="20"/>
          <w:szCs w:val="20"/>
          <w:color w:val="auto"/>
        </w:rPr>
      </w:pPr>
      <w:r>
        <w:rPr>
          <w:rFonts w:ascii="Times New Roman" w:cs="Times New Roman" w:eastAsia="Times New Roman" w:hAnsi="Times New Roman"/>
          <w:sz w:val="14"/>
          <w:szCs w:val="14"/>
          <w:b w:val="1"/>
          <w:bCs w:val="1"/>
          <w:color w:val="auto"/>
        </w:rPr>
        <w:t>gain (loss) on</w:t>
      </w:r>
    </w:p>
    <w:p>
      <w:pPr>
        <w:jc w:val="center"/>
        <w:ind w:left="5000"/>
        <w:spacing w:after="0" w:line="208" w:lineRule="auto"/>
        <w:rPr>
          <w:sz w:val="20"/>
          <w:szCs w:val="20"/>
          <w:color w:val="auto"/>
        </w:rPr>
      </w:pPr>
      <w:r>
        <w:rPr>
          <w:rFonts w:ascii="Times New Roman" w:cs="Times New Roman" w:eastAsia="Times New Roman" w:hAnsi="Times New Roman"/>
          <w:sz w:val="14"/>
          <w:szCs w:val="14"/>
          <w:b w:val="1"/>
          <w:bCs w:val="1"/>
          <w:color w:val="auto"/>
        </w:rPr>
        <w:t>derivative</w:t>
      </w:r>
    </w:p>
    <w:p>
      <w:pPr>
        <w:jc w:val="center"/>
        <w:ind w:left="5000"/>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instruments </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8"/>
          <w:szCs w:val="18"/>
          <w:b w:val="1"/>
          <w:bCs w:val="1"/>
          <w:color w:val="auto"/>
          <w:vertAlign w:val="superscript"/>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SL Green’s share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of joint venture</w:t>
            </w:r>
          </w:p>
        </w:tc>
        <w:tc>
          <w:tcPr>
            <w:tcW w:w="1160" w:type="dxa"/>
            <w:vAlign w:val="bottom"/>
            <w:vMerge w:val="continue"/>
          </w:tcPr>
          <w:p>
            <w:pPr>
              <w:spacing w:after="0"/>
              <w:rPr>
                <w:sz w:val="12"/>
                <w:szCs w:val="12"/>
                <w:color w:val="auto"/>
              </w:rPr>
            </w:pPr>
          </w:p>
        </w:tc>
        <w:tc>
          <w:tcPr>
            <w:tcW w:w="14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net unrealized loss on</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14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3"/>
        </w:trPr>
        <w:tc>
          <w:tcPr>
            <w:tcW w:w="1460" w:type="dxa"/>
            <w:vAlign w:val="bottom"/>
          </w:tcPr>
          <w:p>
            <w:pPr>
              <w:jc w:val="center"/>
              <w:ind w:right="68"/>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instruments </w:t>
            </w:r>
            <w:r>
              <w:rPr>
                <w:rFonts w:ascii="Times New Roman" w:cs="Times New Roman" w:eastAsia="Times New Roman" w:hAnsi="Times New Roman"/>
                <w:sz w:val="18"/>
                <w:szCs w:val="18"/>
                <w:b w:val="1"/>
                <w:bCs w:val="1"/>
                <w:color w:val="auto"/>
                <w:w w:val="99"/>
                <w:vertAlign w:val="superscript"/>
              </w:rPr>
              <w:t>(</w:t>
            </w:r>
            <w:r>
              <w:rPr>
                <w:rFonts w:ascii="Times New Roman" w:cs="Times New Roman" w:eastAsia="Times New Roman" w:hAnsi="Times New Roman"/>
                <w:sz w:val="16"/>
                <w:szCs w:val="16"/>
                <w:b w:val="1"/>
                <w:bCs w:val="1"/>
                <w:color w:val="auto"/>
                <w:w w:val="99"/>
                <w:vertAlign w:val="superscript"/>
              </w:rPr>
              <w:t>2</w:t>
            </w:r>
            <w:r>
              <w:rPr>
                <w:rFonts w:ascii="Times New Roman" w:cs="Times New Roman" w:eastAsia="Times New Roman" w:hAnsi="Times New Roman"/>
                <w:sz w:val="18"/>
                <w:szCs w:val="18"/>
                <w:b w:val="1"/>
                <w:bCs w:val="1"/>
                <w:color w:val="auto"/>
                <w:w w:val="99"/>
                <w:vertAlign w:val="superscript"/>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00" w:space="300"/>
            <w:col w:w="5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(20,585)</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(22,198)</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15,174</w:t>
            </w: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3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3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(15,913)</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420" w:right="20" w:hanging="412"/>
        <w:spacing w:after="0" w:line="261" w:lineRule="auto"/>
        <w:tabs>
          <w:tab w:leader="none" w:pos="4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income (loss) is included in interest expense in the respective consolidated statements of operations. As of March 31, 2026 and December 31, 2025, the deferred net gains from these terminated hedges, which is included in accumulated other comprehensive income (loss) relating to net unrealized gain (loss) on derivative instruments, was ($1.1 million) and ($0.1 million), respectively.</w:t>
      </w:r>
    </w:p>
    <w:p>
      <w:pPr>
        <w:ind w:left="420" w:hanging="412"/>
        <w:spacing w:after="0" w:line="283" w:lineRule="auto"/>
        <w:tabs>
          <w:tab w:leader="none" w:pos="4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(loss) income is included in equity in net (loss) income from unconsolidated joint ventures in the respective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Financial Assets and Liabilities Measured at Fair Value on a Recurring Basis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assets and liabilities that we measure at fair value on a recurring basis by their levels in the fair value hierarchy as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w:t>
            </w: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and</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December</w:t>
            </w:r>
          </w:p>
        </w:tc>
        <w:tc>
          <w:tcPr>
            <w:tcW w:w="30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thousands)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18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9"/>
              </w:rPr>
              <w:t>Assets:</w:t>
            </w:r>
          </w:p>
        </w:tc>
        <w:tc>
          <w:tcPr>
            <w:tcW w:w="3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2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9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 (included in Other assets)</w:t>
            </w:r>
          </w:p>
        </w:tc>
        <w:tc>
          <w:tcPr>
            <w:tcW w:w="9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1,027,164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903,859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123,305</w:t>
            </w:r>
          </w:p>
        </w:tc>
      </w:tr>
      <w:tr>
        <w:trPr>
          <w:trHeight w:val="219"/>
        </w:trPr>
        <w:tc>
          <w:tcPr>
            <w:tcW w:w="20" w:type="dxa"/>
            <w:vAlign w:val="bottom"/>
            <w:shd w:val="clear" w:color="auto" w:fill="CCEEFF"/>
          </w:tcPr>
          <w:p>
            <w:pPr>
              <w:spacing w:after="0"/>
              <w:rPr>
                <w:sz w:val="19"/>
                <w:szCs w:val="19"/>
                <w:color w:val="auto"/>
              </w:rPr>
            </w:pPr>
          </w:p>
        </w:tc>
        <w:tc>
          <w:tcPr>
            <w:tcW w:w="1920" w:type="dxa"/>
            <w:vAlign w:val="bottom"/>
            <w:gridSpan w:val="4"/>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Debt fund investments</w:t>
            </w:r>
            <w:r>
              <w:rPr>
                <w:rFonts w:ascii="Times New Roman" w:cs="Times New Roman" w:eastAsia="Times New Roman" w:hAnsi="Times New Roman"/>
                <w:sz w:val="21"/>
                <w:szCs w:val="21"/>
                <w:color w:val="auto"/>
                <w:vertAlign w:val="superscript"/>
              </w:rPr>
              <w:t>(1)</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293,243</w:t>
            </w:r>
          </w:p>
        </w:tc>
      </w:tr>
      <w:tr>
        <w:trPr>
          <w:trHeight w:val="175"/>
        </w:trPr>
        <w:tc>
          <w:tcPr>
            <w:tcW w:w="20" w:type="dxa"/>
            <w:vAlign w:val="bottom"/>
          </w:tcPr>
          <w:p>
            <w:pPr>
              <w:spacing w:after="0"/>
              <w:rPr>
                <w:sz w:val="15"/>
                <w:szCs w:val="15"/>
                <w:color w:val="auto"/>
              </w:rPr>
            </w:pPr>
          </w:p>
        </w:tc>
        <w:tc>
          <w:tcPr>
            <w:tcW w:w="8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 (included in Other liabilities)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1,027,164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903,859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123,305</w:t>
            </w: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6"/>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Secured borrowing (included in Other liabilities) </w:t>
            </w:r>
            <w:r>
              <w:rPr>
                <w:rFonts w:ascii="Times New Roman" w:cs="Times New Roman" w:eastAsia="Times New Roman" w:hAnsi="Times New Roman"/>
                <w:sz w:val="21"/>
                <w:szCs w:val="21"/>
                <w:color w:val="auto"/>
                <w:vertAlign w:val="superscript"/>
              </w:rPr>
              <w:t>(2)</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167,423</w:t>
            </w:r>
          </w:p>
        </w:tc>
      </w:tr>
    </w:tbl>
    <w:p>
      <w:pPr>
        <w:spacing w:after="0" w:line="180" w:lineRule="exact"/>
        <w:rPr>
          <w:sz w:val="20"/>
          <w:szCs w:val="20"/>
          <w:color w:val="auto"/>
        </w:rPr>
      </w:pPr>
    </w:p>
    <w:p>
      <w:pPr>
        <w:ind w:left="420" w:hanging="412"/>
        <w:spacing w:after="0" w:line="261" w:lineRule="auto"/>
        <w:tabs>
          <w:tab w:leader="none" w:pos="41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2026 the Fund invested $139.3 million in investments classified as Level 3 and recognized $0.5 million of unrealized gains on those investments included within "Income from debt fund investments, net" in the consolidated statements of operations.</w:t>
      </w:r>
    </w:p>
    <w:p>
      <w:pPr>
        <w:jc w:val="both"/>
        <w:ind w:left="420" w:hanging="412"/>
        <w:spacing w:after="0" w:line="283" w:lineRule="auto"/>
        <w:tabs>
          <w:tab w:leader="none" w:pos="41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admitted an additional partner to the One Madison Avenue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9"/>
              </w:rPr>
              <w:t>Assets:</w:t>
            </w:r>
          </w:p>
        </w:tc>
        <w:tc>
          <w:tcPr>
            <w:tcW w:w="44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 (included in Other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1,023,877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895,998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127,879</w:t>
            </w:r>
          </w:p>
        </w:tc>
      </w:tr>
      <w:tr>
        <w:trPr>
          <w:trHeight w:val="21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Debt fund investments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152,958</w:t>
            </w:r>
          </w:p>
        </w:tc>
      </w:tr>
      <w:tr>
        <w:trPr>
          <w:trHeight w:val="176"/>
        </w:trPr>
        <w:tc>
          <w:tcPr>
            <w:tcW w:w="20" w:type="dxa"/>
            <w:vAlign w:val="bottom"/>
          </w:tcPr>
          <w:p>
            <w:pPr>
              <w:spacing w:after="0"/>
              <w:rPr>
                <w:sz w:val="15"/>
                <w:szCs w:val="15"/>
                <w:color w:val="auto"/>
              </w:rPr>
            </w:pPr>
          </w:p>
        </w:tc>
        <w:tc>
          <w:tcPr>
            <w:tcW w:w="49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 (included in Other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1,023,877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895,998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127,879</w:t>
            </w:r>
          </w:p>
        </w:tc>
      </w:tr>
      <w:tr>
        <w:trPr>
          <w:trHeight w:val="21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Secured borrowing (included in Other liabilities) </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244,941</w:t>
            </w:r>
          </w:p>
        </w:tc>
      </w:tr>
    </w:tbl>
    <w:p>
      <w:pPr>
        <w:spacing w:after="0" w:line="315" w:lineRule="exact"/>
        <w:rPr>
          <w:sz w:val="20"/>
          <w:szCs w:val="20"/>
          <w:color w:val="auto"/>
        </w:rPr>
      </w:pPr>
    </w:p>
    <w:p>
      <w:pPr>
        <w:ind w:left="42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2025, the Fund purchased $146.9 million of investments classified as Level 3 and recognized $6.0 million of unrealized gains on those investments included within "Income from debt fund investments, net" in the consolidated statements of operations.</w:t>
      </w:r>
    </w:p>
    <w:p>
      <w:pPr>
        <w:jc w:val="both"/>
        <w:ind w:left="420" w:hanging="412"/>
        <w:spacing w:after="0" w:line="272"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admitted an additional partner to the One Madison Avenue development project with the partner's indirect ownership in the joint venture totaling 25.0%. The transaction did not meet sale accounting under ASC 860 and, as a result, was treated as a secured borrowing for accounting purposes and is included in "Other liabilities" on our consolidated balance sheets.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senior obligations of consolidated securitization vehicles represent CMBS that are not owned by the Company. A majority of these securities are either traded in the marketplace or are similar to other securities that are traded in the marketplace. As the valuation of these amounts are based upon quoted prices for similar instruments in active markets, we generally utilize third party pricing service providers to determine the fair value. The Company evaluates and assesses the third party pricing by referring to recent trades of similar securities, ratings, subordination levels, current market data and credit issues. The Company maximizes the use of observable inputs over unobservable inputs and uses the value of the senior obligations of consolidated securitization vehicles as an indicator of the fair value of the real estate loans held by consolidated securitization vehicles. Depending on the significance of the fair value inputs used in determining the fair value, these securities are classified in either Level 2 or Level 3 of the fair value hierarchy. As such, these investments may move between Level 2 and Level 3 of the fair value hierarchy if the significant fair value inputs used to price the CMBS become or cease to be observable.</w:t>
      </w:r>
    </w:p>
    <w:p>
      <w:pPr>
        <w:spacing w:after="0" w:line="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our secured borrowing is determined by projecting future cash flows, which takes into consideration various factors including discount rate and exit capitalization rate, as well as related asset performance and local or macro real estate performance. The inputs used in determining the Company's secured borrowing are considered Level 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acquired Park Avenue Tower and the retail condominium located at 610 Park Avenue. The assets acquired and liabilities assumed were recorded at their estimated fair values as of the acquisition date. The fair values were determined using third-party valuations which primarily utilized cash flow projections that apply, among other things, estimated revenue and expense growth rates, discount rates and capitalization rates, as well as the sales comparison approach, which utilizes comparable sales, listings, and sales contracts, all of which are classified as Level 3 inputs.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2026, the residential and retail condominium units at 7 Dey Street were classified as held for sale following the execution of an agreement to sell the units for $220.5 million. The Company recorded a $35.2 million charge in connection with the classification of 7 Dey Street as held for sale, which is included in "Depreciable real estate reserves and impairments" in the consolidated statements of operations. The fair value of the property was determined by the terms of the purchase and sale agreement.</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Financial Assets and Liabilities not Measured at Fair Value</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carrying value and fair value of these financial instruments as of March 31, 2026 and December 31, 2025 (in thousands):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8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1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color w:val="auto"/>
                <w:vertAlign w:val="superscript"/>
              </w:rPr>
              <w:t>(1)</w:t>
            </w:r>
          </w:p>
        </w:tc>
        <w:tc>
          <w:tcPr>
            <w:tcW w:w="500" w:type="dxa"/>
            <w:vAlign w:val="bottom"/>
          </w:tcPr>
          <w:p>
            <w:pPr>
              <w:spacing w:after="0"/>
              <w:rPr>
                <w:sz w:val="18"/>
                <w:szCs w:val="18"/>
                <w:color w:val="auto"/>
              </w:rPr>
            </w:pPr>
          </w:p>
        </w:tc>
        <w:tc>
          <w:tcPr>
            <w:tcW w:w="1280" w:type="dxa"/>
            <w:vAlign w:val="bottom"/>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color w:val="auto"/>
                <w:vertAlign w:val="superscript"/>
              </w:rPr>
              <w:t>(1)</w:t>
            </w:r>
          </w:p>
        </w:tc>
        <w:tc>
          <w:tcPr>
            <w:tcW w:w="300" w:type="dxa"/>
            <w:vAlign w:val="bottom"/>
          </w:tcPr>
          <w:p>
            <w:pPr>
              <w:spacing w:after="0"/>
              <w:rPr>
                <w:sz w:val="18"/>
                <w:szCs w:val="18"/>
                <w:color w:val="auto"/>
              </w:rPr>
            </w:pPr>
          </w:p>
        </w:tc>
        <w:tc>
          <w:tcPr>
            <w:tcW w:w="1460" w:type="dxa"/>
            <w:vAlign w:val="bottom"/>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76"/>
        </w:trPr>
        <w:tc>
          <w:tcPr>
            <w:tcW w:w="50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9"/>
              </w:rPr>
              <w:t>Assets:</w:t>
            </w:r>
          </w:p>
        </w:tc>
        <w:tc>
          <w:tcPr>
            <w:tcW w:w="32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118,083</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168,358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right"/>
              <w:ind w:right="745"/>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74"/>
        </w:trPr>
        <w:tc>
          <w:tcPr>
            <w:tcW w:w="3780" w:type="dxa"/>
            <w:vAlign w:val="bottom"/>
            <w:gridSpan w:val="3"/>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6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rate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4,108,672</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4,073,706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3,675,222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3,679,095</w:t>
            </w:r>
          </w:p>
        </w:tc>
        <w:tc>
          <w:tcPr>
            <w:tcW w:w="0" w:type="dxa"/>
            <w:vAlign w:val="bottom"/>
          </w:tcPr>
          <w:p>
            <w:pPr>
              <w:spacing w:after="0"/>
              <w:rPr>
                <w:sz w:val="1"/>
                <w:szCs w:val="1"/>
                <w:color w:val="auto"/>
              </w:rPr>
            </w:pPr>
          </w:p>
        </w:tc>
      </w:tr>
      <w:tr>
        <w:trPr>
          <w:trHeight w:val="255"/>
        </w:trPr>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rate debt</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665,611</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665,563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369,277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369,440</w:t>
            </w: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4,774,283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4,739,269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4,044,499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4,048,535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net deferred financing costs.</w:t>
      </w:r>
    </w:p>
    <w:p>
      <w:pPr>
        <w:spacing w:after="0" w:line="17" w:lineRule="exact"/>
        <w:rPr>
          <w:rFonts w:ascii="Times New Roman" w:cs="Times New Roman" w:eastAsia="Times New Roman" w:hAnsi="Times New Roman"/>
          <w:sz w:val="14"/>
          <w:szCs w:val="14"/>
          <w:color w:val="auto"/>
        </w:rPr>
      </w:pPr>
    </w:p>
    <w:p>
      <w:pPr>
        <w:ind w:left="420" w:hanging="412"/>
        <w:spacing w:after="0" w:line="278" w:lineRule="auto"/>
        <w:tabs>
          <w:tab w:leader="none" w:pos="4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debt and preferred equity investments had an estimated fair value of approximately $0.1 billion. As of December 31, 2025, debt and preferred equity investments had an estimated fair value of approximately $0.2 billion.</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Disclosures regarding fair value of financial instruments was based on pertinent information available to us as of March 31,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Financial Instruments: Derivatives and Hedging</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our operations are exposed to market risks, including the effect of changes in interest rates and foreign exchange rates. We use a variety of commonly used derivative instruments, including, but not limited to, interest rate swaps, caps, collars and floors, and foreign currency forward contracts, to manage these underlying market risks. We hedge our exposure to variability in future cash flows for forecasted transactions in addition to anticipated future interest payments on existing debt. We recognize all derivatives on the balance sheet at fair value. Derivatives that are not designated as hedges are adjusted to fair value through earnings. If a derivative is designated as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currency exchange rates and other variables affecting the fair values of derivative instruments and hedged items, but will have no effect on cash flows. Currently, all of our designated derivative instruments are effective hedging instruments.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notional value at inception and fair value of our consolidated interest rate derivatives as of March 31, 2026 based on Level 2 information. The notional value is an indication of the extent of our involvement in these instruments at that time, but does not represent exposure to credit, interest rate or market risks (dollars in thousands).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Strike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98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98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2023</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2027</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9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9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2028</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19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2027</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2027</w:t>
            </w:r>
          </w:p>
        </w:tc>
        <w:tc>
          <w:tcPr>
            <w:tcW w:w="19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68,678</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204,438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2025</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2028</w:t>
            </w:r>
          </w:p>
        </w:tc>
        <w:tc>
          <w:tcPr>
            <w:tcW w:w="19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December 2026</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2026</w:t>
            </w:r>
          </w:p>
        </w:tc>
        <w:tc>
          <w:tcPr>
            <w:tcW w:w="19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2028</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Sold Cap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72,314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July 2025</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2026</w:t>
            </w:r>
          </w:p>
        </w:tc>
        <w:tc>
          <w:tcPr>
            <w:tcW w:w="19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2027</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2028</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2025</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2026</w:t>
            </w:r>
          </w:p>
        </w:tc>
        <w:tc>
          <w:tcPr>
            <w:tcW w:w="19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2026</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2029</w:t>
            </w: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35"/>
        </w:trPr>
        <w:tc>
          <w:tcPr>
            <w:tcW w:w="24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702</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we recorded unrealized gains of $2.1 million based on changes in the fair value of interest rate derivatives not designated as hedges, which are included in "Purchase price and other fair value adjustments" in the consolidated statements of operations. During the three months ended March 31, 2025 we recorded unrealized losses of $3.1 million based on changes in the fair value of interest rate derivatives not designated as hedges, which are included in "Purchase price and other fair value adjustments" in the consolidated statements of operations. During the three months ended March 31, 2026, we recorded realized gains of $5.4 million on settled contracts, which are included in interest expense in the consolidated statements of operations. During the three months ended March 31, 2025, we recorded a loss of $0.1 million on the changes in fair value, which is included in interest expense in the consolidated statements of operations.</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agreements the Company has with each of its interest rate derivative counterparties contain a provision where if the Company defaults on any of its indebtedness, then the Company could also be declared in default on its interest rate derivative obligations. As of March 31, 2026, the fair value of interest rate derivatives in a net liability position, including accrued interest but excluding any adjustment for nonperformance risk related to these agreements, was ($8.9 million). As of March 31, 2026,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$9.1 million as of March 31, 2026.</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Gains and losses on terminated hedges are included in accumulated other comprehensive income, and are recognized into earnings over the term of the related obligation. Over time, the realized and unrealized gains and losses held in accumulated other comprehensive income will be reclassified into earnings as an adjustment to interest expense in the same periods in which the hedged interest payments affect earnings. We estimate that ($4.8 million) of the current balance held in accumulated other comprehensive income will be reclassified into interest expense and $4.3 million of the portion related to our share of joint venture accumulated other comprehensive income will be reclassified into equity in net (loss) income from unconsolidated joint ventures within the next 12 months.</w:t>
      </w:r>
    </w:p>
    <w:p>
      <w:pPr>
        <w:spacing w:after="0" w:line="21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effect of our interest derivatives and our share of our unconsolidated joint ventures' interest derivatives that are designated and qualify as hedging instruments on the consolidated statements of operations for the three months ended March 31, 2026 and 2025,</w:t>
      </w:r>
    </w:p>
    <w:tbl>
      <w:tblPr>
        <w:tblLayout w:type="fixed"/>
        <w:tblInd w:w="0" w:type="dxa"/>
        <w:tblCellMar>
          <w:top w:w="0" w:type="dxa"/>
          <w:left w:w="0" w:type="dxa"/>
          <w:bottom w:w="0" w:type="dxa"/>
          <w:right w:w="0" w:type="dxa"/>
        </w:tblCellMar>
      </w:tblP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thousands):</w:t>
            </w:r>
          </w:p>
        </w:tc>
        <w:tc>
          <w:tcPr>
            <w:tcW w:w="0" w:type="dxa"/>
            <w:vAlign w:val="bottom"/>
          </w:tcPr>
          <w:p>
            <w:pPr>
              <w:spacing w:after="0"/>
              <w:rPr>
                <w:sz w:val="1"/>
                <w:szCs w:val="1"/>
                <w:color w:val="auto"/>
              </w:rPr>
            </w:pPr>
          </w:p>
        </w:tc>
      </w:tr>
      <w:tr>
        <w:trPr>
          <w:trHeight w:val="456"/>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4"/>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5"/>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Comprehensive Income into Income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4"/>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20"/>
                <w:szCs w:val="20"/>
                <w:color w:val="auto"/>
              </w:rPr>
            </w:pP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 of Gain Reclassified from</w:t>
            </w:r>
          </w:p>
        </w:tc>
        <w:tc>
          <w:tcPr>
            <w:tcW w:w="160" w:type="dxa"/>
            <w:vAlign w:val="bottom"/>
          </w:tcPr>
          <w:p>
            <w:pPr>
              <w:spacing w:after="0"/>
              <w:rPr>
                <w:sz w:val="20"/>
                <w:szCs w:val="20"/>
                <w:color w:val="auto"/>
              </w:rPr>
            </w:pPr>
          </w:p>
        </w:tc>
        <w:tc>
          <w:tcPr>
            <w:tcW w:w="25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09"/>
        </w:trPr>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w:t>
            </w:r>
          </w:p>
        </w:tc>
        <w:tc>
          <w:tcPr>
            <w:tcW w:w="16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6"/>
                <w:szCs w:val="16"/>
                <w:color w:val="auto"/>
              </w:rPr>
            </w:pPr>
          </w:p>
        </w:tc>
        <w:tc>
          <w:tcPr>
            <w:tcW w:w="112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6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Swaps/Caps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10,379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(12,314)</w:t>
            </w:r>
          </w:p>
        </w:tc>
        <w:tc>
          <w:tcPr>
            <w:tcW w:w="1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 of unconsolidated joint ventures'</w:t>
            </w:r>
          </w:p>
        </w:tc>
        <w:tc>
          <w:tcPr>
            <w:tcW w:w="140" w:type="dxa"/>
            <w:vAlign w:val="bottom"/>
          </w:tcPr>
          <w:p>
            <w:pPr>
              <w:spacing w:after="0"/>
              <w:rPr>
                <w:sz w:val="14"/>
                <w:szCs w:val="14"/>
                <w:color w:val="auto"/>
              </w:rPr>
            </w:pPr>
          </w:p>
        </w:tc>
        <w:tc>
          <w:tcPr>
            <w:tcW w:w="11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3,783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100" w:type="dxa"/>
            <w:vAlign w:val="bottom"/>
          </w:tcPr>
          <w:p>
            <w:pPr>
              <w:spacing w:after="0"/>
              <w:rPr>
                <w:sz w:val="14"/>
                <w:szCs w:val="14"/>
                <w:color w:val="auto"/>
              </w:rPr>
            </w:pPr>
          </w:p>
        </w:tc>
        <w:tc>
          <w:tcPr>
            <w:tcW w:w="2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 in net income (loss) from</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(1,042)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unconsolidated joint ventures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14,162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(18,762)</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notional value at inception and fair value of our unconsolidated joint ventures' interest derivatives as of March 31, 2026 based on Level 2 information. The notional value is an indication of the extent of our involvement in these instruments at that time, but</w:t>
      </w: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does</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exposure</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interest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rate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or</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market</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risks</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(dollars</w:t>
            </w:r>
          </w:p>
        </w:tc>
        <w:tc>
          <w:tcPr>
            <w:tcW w:w="780" w:type="dxa"/>
            <w:vAlign w:val="bottom"/>
            <w:gridSpan w:val="3"/>
          </w:tcPr>
          <w:p>
            <w:pPr>
              <w:jc w:val="right"/>
              <w:ind w:right="199"/>
              <w:spacing w:after="0"/>
              <w:rPr>
                <w:sz w:val="20"/>
                <w:szCs w:val="20"/>
                <w:color w:val="auto"/>
              </w:rPr>
            </w:pPr>
            <w:r>
              <w:rPr>
                <w:rFonts w:ascii="Times New Roman" w:cs="Times New Roman" w:eastAsia="Times New Roman" w:hAnsi="Times New Roman"/>
                <w:sz w:val="18"/>
                <w:szCs w:val="18"/>
                <w:color w:val="auto"/>
              </w:rPr>
              <w:t>in</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thousands).</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120"/>
              <w:spacing w:after="0" w:line="17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920" w:type="dxa"/>
            <w:vAlign w:val="bottom"/>
          </w:tcPr>
          <w:p>
            <w:pPr>
              <w:jc w:val="center"/>
              <w:ind w:left="98"/>
              <w:spacing w:after="0" w:line="171" w:lineRule="exact"/>
              <w:rPr>
                <w:sz w:val="20"/>
                <w:szCs w:val="20"/>
                <w:color w:val="auto"/>
              </w:rPr>
            </w:pPr>
            <w:r>
              <w:rPr>
                <w:rFonts w:ascii="Times New Roman" w:cs="Times New Roman" w:eastAsia="Times New Roman" w:hAnsi="Times New Roman"/>
                <w:sz w:val="16"/>
                <w:szCs w:val="16"/>
                <w:b w:val="1"/>
                <w:bCs w:val="1"/>
                <w:color w:val="auto"/>
              </w:rPr>
              <w:t>Strike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100"/>
              <w:spacing w:after="0" w:line="171" w:lineRule="exact"/>
              <w:rPr>
                <w:sz w:val="20"/>
                <w:szCs w:val="20"/>
                <w:color w:val="auto"/>
              </w:rPr>
            </w:pPr>
            <w:r>
              <w:rPr>
                <w:rFonts w:ascii="Times New Roman" w:cs="Times New Roman" w:eastAsia="Times New Roman" w:hAnsi="Times New Roman"/>
                <w:sz w:val="16"/>
                <w:szCs w:val="16"/>
                <w:b w:val="1"/>
                <w:bCs w:val="1"/>
                <w:color w:val="auto"/>
                <w:w w:val="99"/>
              </w:rPr>
              <w:t>Effective</w:t>
            </w:r>
          </w:p>
        </w:tc>
        <w:tc>
          <w:tcPr>
            <w:tcW w:w="280" w:type="dxa"/>
            <w:vAlign w:val="bottom"/>
          </w:tcPr>
          <w:p>
            <w:pPr>
              <w:spacing w:after="0"/>
              <w:rPr>
                <w:sz w:val="14"/>
                <w:szCs w:val="14"/>
                <w:color w:val="auto"/>
              </w:rPr>
            </w:pPr>
          </w:p>
        </w:tc>
        <w:tc>
          <w:tcPr>
            <w:tcW w:w="10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980" w:type="dxa"/>
            <w:vAlign w:val="bottom"/>
            <w:gridSpan w:val="2"/>
          </w:tcPr>
          <w:p>
            <w:pPr>
              <w:ind w:left="200"/>
              <w:spacing w:after="0" w:line="171"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920" w:type="dxa"/>
            <w:vAlign w:val="bottom"/>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4"/>
            <w:vMerge w:val="continue"/>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1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268,750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4.039 %</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2024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2028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Liability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268,750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4.058 %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280" w:type="dxa"/>
            <w:vAlign w:val="bottom"/>
          </w:tcPr>
          <w:p>
            <w:pPr>
              <w:spacing w:after="0"/>
              <w:rPr>
                <w:sz w:val="18"/>
                <w:szCs w:val="18"/>
                <w:color w:val="auto"/>
              </w:rPr>
            </w:pPr>
          </w:p>
        </w:tc>
        <w:tc>
          <w:tcPr>
            <w:tcW w:w="16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color w:val="auto"/>
              </w:rPr>
              <w:t>September 2028</w:t>
            </w:r>
          </w:p>
        </w:tc>
        <w:tc>
          <w:tcPr>
            <w:tcW w:w="172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Liability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537,500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28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September 2028</w:t>
            </w:r>
          </w:p>
        </w:tc>
        <w:tc>
          <w:tcPr>
            <w:tcW w:w="1720" w:type="dxa"/>
            <w:vAlign w:val="bottom"/>
            <w:gridSpan w:val="4"/>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289,257</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2025</w:t>
            </w:r>
          </w:p>
        </w:tc>
        <w:tc>
          <w:tcPr>
            <w:tcW w:w="280" w:type="dxa"/>
            <w:vAlign w:val="bottom"/>
          </w:tcPr>
          <w:p>
            <w:pPr>
              <w:spacing w:after="0"/>
              <w:rPr>
                <w:sz w:val="18"/>
                <w:szCs w:val="18"/>
                <w:color w:val="auto"/>
              </w:rPr>
            </w:pPr>
          </w:p>
        </w:tc>
        <w:tc>
          <w:tcPr>
            <w:tcW w:w="16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color w:val="auto"/>
              </w:rPr>
              <w:t>June 2026</w:t>
            </w:r>
          </w:p>
        </w:tc>
        <w:tc>
          <w:tcPr>
            <w:tcW w:w="940" w:type="dxa"/>
            <w:vAlign w:val="bottom"/>
          </w:tcPr>
          <w:p>
            <w:pPr>
              <w:spacing w:after="0"/>
              <w:rPr>
                <w:sz w:val="18"/>
                <w:szCs w:val="18"/>
                <w:color w:val="auto"/>
              </w:rPr>
            </w:pPr>
          </w:p>
        </w:tc>
        <w:tc>
          <w:tcPr>
            <w:tcW w:w="7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Asset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28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April 2027</w:t>
            </w:r>
          </w:p>
        </w:tc>
        <w:tc>
          <w:tcPr>
            <w:tcW w:w="9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Asset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Foreign Exchange Derivatives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also exposed to fluctuations in foreign exchange rates on financial instruments which are denominated in foreign currencies, primarily in euro. We use foreign exchange forward contracts to manage our exposure to changes in foreign exchange rates on certain euro-denominated assets and liabilities. Foreign exchange forward contracts involve fixing the U.S. dollar to euro exchange rate for delivery of a specified amount of foreign currency on a specified date. Our foreign exchange forward contracts are settled on a gross basis through the exchange of U.S. dollars and the contracted foreign currency on the settlement date.</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notional value at inception and fair value of our consolidated foreign exchange derivatives as of March 31, 2026 based on Level 2 information. The notional value is an indication of the extent of our involvement in these instruments at that time, but does not represent exposure to credit, foreign exchange rates or market risks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44,384</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March 2026</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2026</w:t>
            </w: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June 2027</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30,492</w:t>
            </w:r>
          </w:p>
        </w:tc>
        <w:tc>
          <w:tcPr>
            <w:tcW w:w="100" w:type="dxa"/>
            <w:vAlign w:val="bottom"/>
          </w:tcPr>
          <w:p>
            <w:pPr>
              <w:spacing w:after="0"/>
              <w:rPr>
                <w:sz w:val="18"/>
                <w:szCs w:val="18"/>
                <w:color w:val="auto"/>
              </w:rPr>
            </w:pPr>
          </w:p>
        </w:tc>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March 2026</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2027</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June 2032</w:t>
            </w:r>
          </w:p>
        </w:tc>
        <w:tc>
          <w:tcPr>
            <w:tcW w:w="180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Other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36"/>
        </w:trPr>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recorded an unrealized loss of $0.1 million based on changes in the fair value of foreign exchange derivatives not designated as hedges, which are included in "Purchase price and other fair value adjustments" in the consolidated statements of operations. During the three months ended March 31, 2025, we did not record any unrealized gains or losses on foreign exchange derivatives, as we did not have any outstanding during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 Income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components of lease income from operating leases in our consolidated statements of operations during the three months ended March 31, 2026 and 2025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lease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166,509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146,127</w:t>
            </w:r>
          </w:p>
        </w:tc>
      </w:tr>
      <w:tr>
        <w:trPr>
          <w:trHeight w:val="214"/>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payments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20,881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18,501</w:t>
            </w:r>
          </w:p>
        </w:tc>
      </w:tr>
      <w:tr>
        <w:trPr>
          <w:trHeight w:val="211"/>
        </w:trPr>
        <w:tc>
          <w:tcPr>
            <w:tcW w:w="86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Total lease payments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187,390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164,628</w:t>
            </w:r>
          </w:p>
        </w:tc>
      </w:tr>
      <w:tr>
        <w:trPr>
          <w:trHeight w:val="214"/>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acquired above and below-market leases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r>
      <w:tr>
        <w:trPr>
          <w:trHeight w:val="236"/>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rental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186,876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163,019</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$43.7 million and $46.1 million of sublease income for the three months ended March 31, 2026, and 2025 respectively.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components of lease income from sales-type leases during the three months ended March 31, 2026 and 2025 were as follows (in thousands):</w:t>
      </w:r>
    </w:p>
    <w:p>
      <w:pPr>
        <w:spacing w:after="0" w:line="10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21590</wp:posOffset>
            </wp:positionV>
            <wp:extent cx="17576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26"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8480" w:val="left"/>
          <w:tab w:leader="none" w:pos="9340" w:val="left"/>
          <w:tab w:leader="none" w:pos="9920" w:val="left"/>
          <w:tab w:leader="none" w:pos="10780" w:val="left"/>
        </w:tabs>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1"/>
          <w:szCs w:val="21"/>
          <w:color w:val="auto"/>
          <w:vertAlign w:val="superscript"/>
        </w:rPr>
        <w:t>(1)</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1,148</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1,134</w:t>
      </w:r>
    </w:p>
    <w:p>
      <w:pPr>
        <w:spacing w:after="0" w:line="62"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"Other income" in our consolidated statements of operations.</w:t>
      </w:r>
    </w:p>
    <w:p>
      <w:pPr>
        <w:spacing w:after="0" w:line="258" w:lineRule="exact"/>
        <w:rPr>
          <w:sz w:val="20"/>
          <w:szCs w:val="20"/>
          <w:color w:val="auto"/>
        </w:rPr>
      </w:pPr>
    </w:p>
    <w:p>
      <w:pPr>
        <w:ind w:right="8420" w:firstLine="8"/>
        <w:spacing w:after="0" w:line="378" w:lineRule="auto"/>
        <w:tabs>
          <w:tab w:leader="none" w:pos="27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three operating and reportable segments, real estate, debt and preferred equity ("DPE") investments, including the Fund, and SUMMIT. The results of these segments are provided to and reviewed by the CEO, our chief operating decision maker (“CODM”), who uses this information to assess performance and inform key decisions regarding operations, resources and capital allocation.</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CODM evaluates real estate performance and allocates resources based on net operating income, which serves as the profit or loss measure for the real estate operating segment. For our debt and preferred equity investments and SUMMIT operating segment performance, our CODM evaluates and allocates resources based on net income. The CODM does not review asset information, by segment, as a measure to assess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reportable segment profit or loss measures for the three months ended March 31, 2026 and 2025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4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400" w:type="dxa"/>
            <w:vAlign w:val="bottom"/>
          </w:tcPr>
          <w:p>
            <w:pPr>
              <w:spacing w:after="0"/>
              <w:rPr>
                <w:sz w:val="18"/>
                <w:szCs w:val="18"/>
                <w:color w:val="auto"/>
              </w:rPr>
            </w:pPr>
          </w:p>
        </w:tc>
        <w:tc>
          <w:tcPr>
            <w:tcW w:w="136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253,080</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Real Estate Taxes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rent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145,270</w:t>
            </w:r>
          </w:p>
        </w:tc>
        <w:tc>
          <w:tcPr>
            <w:tcW w:w="0" w:type="dxa"/>
            <w:vAlign w:val="bottom"/>
          </w:tcPr>
          <w:p>
            <w:pPr>
              <w:spacing w:after="0"/>
              <w:rPr>
                <w:sz w:val="1"/>
                <w:szCs w:val="1"/>
                <w:color w:val="auto"/>
              </w:rPr>
            </w:pPr>
          </w:p>
        </w:tc>
      </w:tr>
      <w:tr>
        <w:trPr>
          <w:trHeight w:val="199"/>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income from unconsolidated joint ventures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debt fund investments, net</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Interest expense on senior obligations of consolidated</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(14,649)</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securitization vehicles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SUMMIT Net income (loss) and DPE Net income</w:t>
            </w:r>
          </w:p>
        </w:tc>
        <w:tc>
          <w:tcPr>
            <w:tcW w:w="1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1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net loss from unconsolidated joint</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(69,556)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(22,786)</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real estate, net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16,636</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Equity in net loss on sale of interest in unconsolidated</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venture/real estate</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(49,389)</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(77,398)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4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400" w:type="dxa"/>
            <w:vAlign w:val="bottom"/>
          </w:tcPr>
          <w:p>
            <w:pPr>
              <w:spacing w:after="0"/>
              <w:rPr>
                <w:sz w:val="18"/>
                <w:szCs w:val="18"/>
                <w:color w:val="auto"/>
              </w:rPr>
            </w:pPr>
          </w:p>
        </w:tc>
        <w:tc>
          <w:tcPr>
            <w:tcW w:w="136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32,095</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239,846</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SUMMIT Operator tax benefit</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Real Estate Taxes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rent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136,016</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income from unconsolidated joint ventures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Interest expense on senior obligations of consolidated</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(13,972)</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securitization vehicles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SUMMIT Net income and DPE Net income</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41,035</w:t>
            </w: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41,090</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9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net loss from unconsolidated joint</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(21,724)</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0" w:type="dxa"/>
            <w:vAlign w:val="bottom"/>
          </w:tcPr>
          <w:p>
            <w:pPr>
              <w:spacing w:after="0"/>
              <w:rPr>
                <w:sz w:val="1"/>
                <w:szCs w:val="1"/>
                <w:color w:val="auto"/>
              </w:rPr>
            </w:pPr>
          </w:p>
        </w:tc>
      </w:tr>
      <w:tr>
        <w:trPr>
          <w:trHeight w:val="165"/>
        </w:trPr>
        <w:tc>
          <w:tcPr>
            <w:tcW w:w="39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Depreciable real estate reserves in unconsolidated joint</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(63,738)</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(38,636)</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real estate segment, the primary sources of revenue are tenant rents and escalations and reimbursement revenue. See Note 7, "Debt and Preferred Equity Investments," for additional details on our debt and preferred equity investments. We allocate loan loss reserves, net of recoveries, and transaction related costs to the debt and preferred equity segment. SUMMIT currently operates one location at One Vanderbilt Avenue in midtown Manhattan with the primary source of revenue generated from ticket sales.</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transactions between the above three segments other than the SUMMIT lease with our One Vanderbilt Avenue joint venture, which is part of the real estate segment. See Note 10,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24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ownership, management, operation, acquisition, development, redevelopment, repositioning and financing of commercial real estate properties, principally office properties, located in the New York metropolitan area, principally Manhattan. Unless the context requires otherwise, all references to "we," "our" and "us" means the Company and all entities owned or controlled by the Company, including the Operating Partnership.</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discussion related to our consolidated financial statements should be read in conjunction with the financial statements appearing in this Quarterly Report on this Form 10-Q and in Item 8 of our Annual Report on Form 10-K for the year ended December 31, 2025.</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2026, we owned the following interests in properties in the New York metropolitan area, primarily in midtown Manhattan. Our investments located outside of Manhattan are referred to as the Suburban properties: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20" w:type="dxa"/>
            <w:vAlign w:val="bottom"/>
          </w:tcPr>
          <w:p>
            <w:pPr>
              <w:spacing w:after="0"/>
              <w:rPr>
                <w:sz w:val="16"/>
                <w:szCs w:val="16"/>
                <w:color w:val="auto"/>
              </w:rPr>
            </w:pPr>
          </w:p>
        </w:tc>
        <w:tc>
          <w:tcPr>
            <w:tcW w:w="1240" w:type="dxa"/>
            <w:vAlign w:val="bottom"/>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2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28"/>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0" w:type="dxa"/>
            <w:vAlign w:val="bottom"/>
            <w:gridSpan w:val="2"/>
            <w:vMerge w:val="continue"/>
          </w:tcPr>
          <w:p>
            <w:pPr>
              <w:spacing w:after="0"/>
              <w:rPr>
                <w:sz w:val="11"/>
                <w:szCs w:val="11"/>
                <w:color w:val="auto"/>
              </w:rPr>
            </w:pPr>
          </w:p>
        </w:tc>
        <w:tc>
          <w:tcPr>
            <w:tcW w:w="92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10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920" w:type="dxa"/>
            <w:vAlign w:val="bottom"/>
            <w:tcBorders>
              <w:top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20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Leased Occupancy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02"/>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10,102,852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13,868,633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23,971,485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338,545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351,264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86.5 %</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1"/>
                <w:szCs w:val="11"/>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1,249,983</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1,249,983</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11,691,380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13,881,352</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25,572,732</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94.3 %</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732,800</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732,800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79.6 %</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12,424,180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13,881,352</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26,305,532</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93.9 %</w:t>
            </w:r>
          </w:p>
        </w:tc>
        <w:tc>
          <w:tcPr>
            <w:tcW w:w="0" w:type="dxa"/>
            <w:vAlign w:val="bottom"/>
          </w:tcPr>
          <w:p>
            <w:pPr>
              <w:spacing w:after="0"/>
              <w:rPr>
                <w:sz w:val="1"/>
                <w:szCs w:val="1"/>
                <w:color w:val="auto"/>
              </w:rPr>
            </w:pPr>
          </w:p>
        </w:tc>
      </w:tr>
      <w:tr>
        <w:trPr>
          <w:trHeight w:val="17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2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8"/>
                <w:szCs w:val="8"/>
                <w:color w:val="auto"/>
                <w:w w:val="71"/>
              </w:rPr>
              <w:t>(3)</w:t>
            </w:r>
            <w:r>
              <w:rPr>
                <w:rFonts w:ascii="Times New Roman" w:cs="Times New Roman" w:eastAsia="Times New Roman" w:hAnsi="Times New Roman"/>
                <w:sz w:val="13"/>
                <w:szCs w:val="13"/>
                <w:color w:val="auto"/>
                <w:w w:val="71"/>
                <w:vertAlign w:val="superscript"/>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363,237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585,121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99.2 %</w:t>
            </w:r>
          </w:p>
        </w:tc>
        <w:tc>
          <w:tcPr>
            <w:tcW w:w="0" w:type="dxa"/>
            <w:vAlign w:val="bottom"/>
          </w:tcPr>
          <w:p>
            <w:pPr>
              <w:spacing w:after="0"/>
              <w:rPr>
                <w:sz w:val="1"/>
                <w:szCs w:val="1"/>
                <w:color w:val="auto"/>
              </w:rPr>
            </w:pPr>
          </w:p>
        </w:tc>
      </w:tr>
      <w:tr>
        <w:trPr>
          <w:trHeight w:val="196"/>
        </w:trPr>
        <w:tc>
          <w:tcPr>
            <w:tcW w:w="29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12,787,417</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14,103,236</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26,890,653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Alternative Strategy Portfolio</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2,509,307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2,509,307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420" w:hanging="412"/>
        <w:spacing w:after="0" w:line="267" w:lineRule="auto"/>
        <w:tabs>
          <w:tab w:leader="none" w:pos="4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feet divided by the total square footage at acquisition. The weighted average leased occupancy for residential properties represents the total leased units divided by the total available units. Properties under construction are not included in the calculation of weighted average leased occupancy.</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54" w:lineRule="auto"/>
        <w:tabs>
          <w:tab w:leader="none" w:pos="4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we consolidated a building at 315 West 33rd Street that was comprised of approximately 222,855 square feet (unaudited) of residential space and approximately 270,132 square feet (unaudited) of retail space. For the purpose of this report, we have included this building in the number of residential properties we own. We have included only the residential square footage in total residential square footage, and have included the retail square footage in total retail square footage.</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62" w:lineRule="auto"/>
        <w:tabs>
          <w:tab w:leader="none" w:pos="4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we owned a building at 7 Dey Street / 185 Broadway that was comprised of approximately 140,382 square feet (unaudited) of residential space and approximately 50,206 square feet (unaudited) of office, which is under redevelopment, and retail space. For the purpose of this report, we have included this building in the number of residential properties we own. We have included only the residential square footage in total residential square footage and have included the balance of the square footage as development square footage. As of March 31, 2026 the residential and retail condominium units were classified as held for sale following the execution of an agreement to sell those units for $220.5 million. See Note 4, "Property Dispositions and Properties Held for Sale."</w:t>
      </w:r>
    </w:p>
    <w:p>
      <w:pPr>
        <w:spacing w:after="0" w:line="220" w:lineRule="exact"/>
        <w:rPr>
          <w:sz w:val="20"/>
          <w:szCs w:val="20"/>
          <w:color w:val="auto"/>
        </w:rPr>
      </w:pPr>
    </w:p>
    <w:p>
      <w:pPr>
        <w:ind w:right="320" w:firstLine="445"/>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2026, we also managed three properties owned by third parties encompassing approximately 0.8 million square feet (unaudited). </w:t>
      </w:r>
      <w:r>
        <w:rPr>
          <w:rFonts w:ascii="Times New Roman" w:cs="Times New Roman" w:eastAsia="Times New Roman" w:hAnsi="Times New Roman"/>
          <w:sz w:val="18"/>
          <w:szCs w:val="18"/>
          <w:b w:val="1"/>
          <w:bCs w:val="1"/>
          <w:color w:val="auto"/>
        </w:rPr>
        <w:t>Critical Accounting Estimates</w:t>
      </w:r>
    </w:p>
    <w:p>
      <w:pPr>
        <w:spacing w:after="0" w:line="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Refer to the 2025 Annual Report on Form 10-K of the Company and the Operating Partnership for a discussion of our critical accounting estimates, which include investment in commercial real estate properties and investment in unconsolidated joint ventures. During the three months ended March 31, 2026, there were no material changes to these estimates.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to the three months ended March 31, 2025</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comparison for the three months ended March 31, 2026, or 2026, to the three months ended March 31, 2025, or 2025, makes reference to the effect of the following:</w:t>
      </w:r>
    </w:p>
    <w:p>
      <w:pPr>
        <w:spacing w:after="0" w:line="108" w:lineRule="exact"/>
        <w:rPr>
          <w:sz w:val="20"/>
          <w:szCs w:val="20"/>
          <w:color w:val="auto"/>
        </w:rPr>
      </w:pPr>
    </w:p>
    <w:p>
      <w:pPr>
        <w:ind w:left="660" w:right="20" w:hanging="247"/>
        <w:spacing w:after="0" w:line="261" w:lineRule="auto"/>
        <w:tabs>
          <w:tab w:leader="none" w:pos="6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Properties,” which represents properties in service and operating during both the current and prior year reporting periods that are located in Manhattan (Same-Store Properties totaled 18 of our 33 consolidated operating properties),</w:t>
      </w:r>
    </w:p>
    <w:p>
      <w:pPr>
        <w:ind w:left="660" w:hanging="247"/>
        <w:spacing w:after="0" w:line="250" w:lineRule="auto"/>
        <w:tabs>
          <w:tab w:leader="none" w:pos="6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Properties,” which represents all properties or interests in properties acquired in 2026 and 2025 and all non-Same-Store Properties, including properties that are under development, redevelopment or were deconsolidated during the period,</w:t>
      </w:r>
    </w:p>
    <w:p>
      <w:pPr>
        <w:ind w:left="640" w:hanging="227"/>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"Disposed Properties," which represents all properties or interests in properties sold or partially sold in 2026 and 2025,</w:t>
      </w:r>
    </w:p>
    <w:p>
      <w:pPr>
        <w:spacing w:after="0" w:line="9"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Strategy Portfolio," which represents non-core assets, and</w:t>
      </w:r>
    </w:p>
    <w:p>
      <w:pPr>
        <w:spacing w:after="0" w:line="9" w:lineRule="exact"/>
        <w:rPr>
          <w:rFonts w:ascii="Times New Roman" w:cs="Times New Roman" w:eastAsia="Times New Roman" w:hAnsi="Times New Roman"/>
          <w:sz w:val="18"/>
          <w:szCs w:val="18"/>
          <w:color w:val="auto"/>
        </w:rPr>
      </w:pPr>
    </w:p>
    <w:p>
      <w:pPr>
        <w:ind w:left="660" w:right="20" w:hanging="247"/>
        <w:spacing w:after="0" w:line="260"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which represents properties that were partially sold resulting in deconsolidation and corporate level items not allocable to specific properties, as well as the Service Corporation and eEmerge Inc.</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Same-Store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ind w:left="380"/>
              <w:spacing w:after="0"/>
              <w:rPr>
                <w:sz w:val="20"/>
                <w:szCs w:val="20"/>
                <w:color w:val="auto"/>
              </w:rPr>
            </w:pPr>
            <w:r>
              <w:rPr>
                <w:rFonts w:ascii="Times New Roman" w:cs="Times New Roman" w:eastAsia="Times New Roman" w:hAnsi="Times New Roman"/>
                <w:sz w:val="13"/>
                <w:szCs w:val="13"/>
                <w:b w:val="1"/>
                <w:bCs w:val="1"/>
                <w:color w:val="auto"/>
              </w:rPr>
              <w:t>Disposed</w:t>
            </w:r>
          </w:p>
        </w:tc>
        <w:tc>
          <w:tcPr>
            <w:tcW w:w="50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980" w:type="dxa"/>
            <w:vAlign w:val="bottom"/>
          </w:tcPr>
          <w:p>
            <w:pPr>
              <w:spacing w:after="0"/>
              <w:rPr>
                <w:sz w:val="15"/>
                <w:szCs w:val="15"/>
                <w:color w:val="auto"/>
              </w:rPr>
            </w:pPr>
          </w:p>
        </w:tc>
      </w:tr>
      <w:tr>
        <w:trPr>
          <w:trHeight w:val="122"/>
        </w:trPr>
        <w:tc>
          <w:tcPr>
            <w:tcW w:w="17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17"/>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77"/>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237"/>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57"/>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8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94"/>
        </w:trPr>
        <w:tc>
          <w:tcPr>
            <w:tcW w:w="17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Rental revenue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23.9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SUMMIT Operator revenue</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19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2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(13.8)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129"/>
        </w:trPr>
        <w:tc>
          <w:tcPr>
            <w:tcW w:w="1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Interest income from real estate</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loans held by consolidated</w:t>
            </w: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securitization vehicles</w:t>
            </w: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 income</w:t>
            </w:r>
          </w:p>
        </w:tc>
        <w:tc>
          <w:tcPr>
            <w:tcW w:w="2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7.7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62.6 %</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(106.7)%</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90"/>
        </w:trPr>
        <w:tc>
          <w:tcPr>
            <w:tcW w:w="1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revenues</w:t>
            </w:r>
          </w:p>
        </w:tc>
        <w:tc>
          <w:tcPr>
            <w:tcW w:w="2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239.8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13.2</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94"/>
        </w:trPr>
        <w:tc>
          <w:tcPr>
            <w:tcW w:w="1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operating expenses</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11.0</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SUMMIT Operator expenses</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Marketing, general and</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0"/>
                <w:szCs w:val="10"/>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1.1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6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administrative</w:t>
            </w: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Operating income (loss)</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before equity in net income</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rPr>
              <w:t>from unconsolidated joint</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ventures</w:t>
            </w:r>
          </w:p>
        </w:tc>
        <w:tc>
          <w:tcPr>
            <w:tcW w:w="20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7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(expenses):</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Interest expense, net of interest</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(6.3)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0" w:type="dxa"/>
            <w:vAlign w:val="bottom"/>
          </w:tcPr>
          <w:p>
            <w:pPr>
              <w:spacing w:after="0"/>
              <w:rPr>
                <w:sz w:val="1"/>
                <w:szCs w:val="1"/>
                <w:color w:val="auto"/>
              </w:rPr>
            </w:pPr>
          </w:p>
        </w:tc>
      </w:tr>
      <w:tr>
        <w:trPr>
          <w:trHeight w:val="166"/>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7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SUMMIT Operator tax</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(0.6)</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6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(expense) benefit</w:t>
            </w: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Interest expense on senior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obligations of consolidated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(0.6)</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172"/>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securitization vehicles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Equity in net (loss) income</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from unconsolidated joint</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(22.0)</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(1,833.3)%</w:t>
            </w:r>
          </w:p>
        </w:tc>
        <w:tc>
          <w:tcPr>
            <w:tcW w:w="0" w:type="dxa"/>
            <w:vAlign w:val="bottom"/>
          </w:tcPr>
          <w:p>
            <w:pPr>
              <w:spacing w:after="0"/>
              <w:rPr>
                <w:sz w:val="1"/>
                <w:szCs w:val="1"/>
                <w:color w:val="auto"/>
              </w:rPr>
            </w:pPr>
          </w:p>
        </w:tc>
      </w:tr>
      <w:tr>
        <w:trPr>
          <w:trHeight w:val="172"/>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ventures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Income from debt fund</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2.5</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6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net</w:t>
            </w: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price and other fair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13.8</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66"/>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value adjustments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7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Gain (loss) on sale of real</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17.1</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(3,420.0)%</w:t>
            </w:r>
          </w:p>
        </w:tc>
        <w:tc>
          <w:tcPr>
            <w:tcW w:w="0" w:type="dxa"/>
            <w:vAlign w:val="bottom"/>
          </w:tcPr>
          <w:p>
            <w:pPr>
              <w:spacing w:after="0"/>
              <w:rPr>
                <w:sz w:val="1"/>
                <w:szCs w:val="1"/>
                <w:color w:val="auto"/>
              </w:rPr>
            </w:pPr>
          </w:p>
        </w:tc>
      </w:tr>
      <w:tr>
        <w:trPr>
          <w:trHeight w:val="16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estate, net</w:t>
            </w: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Depreciable real estate reserves</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(26.7)</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314.1 %</w:t>
            </w:r>
          </w:p>
        </w:tc>
        <w:tc>
          <w:tcPr>
            <w:tcW w:w="0" w:type="dxa"/>
            <w:vAlign w:val="bottom"/>
          </w:tcPr>
          <w:p>
            <w:pPr>
              <w:spacing w:after="0"/>
              <w:rPr>
                <w:sz w:val="1"/>
                <w:szCs w:val="1"/>
                <w:color w:val="auto"/>
              </w:rPr>
            </w:pPr>
          </w:p>
        </w:tc>
      </w:tr>
      <w:tr>
        <w:trPr>
          <w:trHeight w:val="166"/>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 impairments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7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Loan loss and other investment</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(25.0)</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reserves, net of recoveries</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(55.9)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260.0 %</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revenue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Rental revenues increased due primarily to the acquisition of Park Avenue Tower ($15.6 million) during the first quarter of 2026, the consolidation of 800 Third Avenue ($8.6 million) during the fourth quarter of 2025, and the consolidation of 315 West 33rd Street ($9.0 million) during the third quarter of 2025. This increase is partially offset by the deconsolidation of 100 Park Avenue ($10.0 million) at the end of the fourth quarter of 2025.</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the commenced leasing activity for the three months ended March 31, 2026 in our Manhattan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Suburban portfolio:</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Prev.</w:t>
            </w: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TI/LC</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Escalated</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Usable</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Rentable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1080" w:type="dxa"/>
            <w:vAlign w:val="bottom"/>
            <w:gridSpan w:val="2"/>
            <w:vMerge w:val="continue"/>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Rent (in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 (in</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0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3"/>
              </w:rPr>
              <w:t xml:space="preserve">SF) </w:t>
            </w:r>
            <w:r>
              <w:rPr>
                <w:rFonts w:ascii="Times New Roman" w:cs="Times New Roman" w:eastAsia="Times New Roman" w:hAnsi="Times New Roman"/>
                <w:sz w:val="18"/>
                <w:szCs w:val="18"/>
                <w:b w:val="1"/>
                <w:bCs w:val="1"/>
                <w:color w:val="auto"/>
                <w:w w:val="93"/>
                <w:vertAlign w:val="superscript"/>
              </w:rPr>
              <w:t>(1)</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3"/>
              </w:rPr>
              <w:t xml:space="preserve">SF) </w:t>
            </w:r>
            <w:r>
              <w:rPr>
                <w:rFonts w:ascii="Times New Roman" w:cs="Times New Roman" w:eastAsia="Times New Roman" w:hAnsi="Times New Roman"/>
                <w:sz w:val="18"/>
                <w:szCs w:val="18"/>
                <w:b w:val="1"/>
                <w:bCs w:val="1"/>
                <w:color w:val="auto"/>
                <w:w w:val="93"/>
                <w:vertAlign w:val="superscript"/>
              </w:rPr>
              <w:t>(2)</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0" w:type="dxa"/>
            <w:vAlign w:val="bottom"/>
          </w:tcPr>
          <w:p>
            <w:pPr>
              <w:spacing w:after="0"/>
              <w:rPr>
                <w:sz w:val="1"/>
                <w:szCs w:val="1"/>
                <w:color w:val="auto"/>
              </w:rPr>
            </w:pPr>
          </w:p>
        </w:tc>
      </w:tr>
      <w:tr>
        <w:trPr>
          <w:trHeight w:val="176"/>
        </w:trPr>
        <w:tc>
          <w:tcPr>
            <w:tcW w:w="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Manhattan</w:t>
            </w:r>
          </w:p>
        </w:tc>
        <w:tc>
          <w:tcPr>
            <w:tcW w:w="264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Space available at beginning of the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2,402,166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out of redevelopment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Acquired vacancies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Space which became available during the period </w:t>
            </w:r>
            <w:r>
              <w:rPr>
                <w:rFonts w:ascii="Times New Roman" w:cs="Times New Roman" w:eastAsia="Times New Roman" w:hAnsi="Times New Roman"/>
                <w:sz w:val="18"/>
                <w:szCs w:val="18"/>
                <w:color w:val="auto"/>
                <w:vertAlign w:val="superscript"/>
              </w:rPr>
              <w:t>(3)</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Office</w:t>
            </w:r>
          </w:p>
        </w:tc>
        <w:tc>
          <w:tcPr>
            <w:tcW w:w="26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184,949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Retail</w:t>
            </w:r>
          </w:p>
        </w:tc>
        <w:tc>
          <w:tcPr>
            <w:tcW w:w="2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Storage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212,375</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space available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2,647,015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space commenced during the period:</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Office</w:t>
            </w:r>
            <w:r>
              <w:rPr>
                <w:rFonts w:ascii="Times New Roman" w:cs="Times New Roman" w:eastAsia="Times New Roman" w:hAnsi="Times New Roman"/>
                <w:sz w:val="18"/>
                <w:szCs w:val="18"/>
                <w:color w:val="auto"/>
                <w:vertAlign w:val="superscript"/>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465,845</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488,642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120.32</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308.59</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leased space commenced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487,419</w:t>
            </w: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510,627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127.99</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space at end of period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2,159,596</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gridSpan w:val="3"/>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renewals</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Office</w:t>
            </w:r>
          </w:p>
        </w:tc>
        <w:tc>
          <w:tcPr>
            <w:tcW w:w="26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103.98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Retail</w:t>
            </w:r>
          </w:p>
        </w:tc>
        <w:tc>
          <w:tcPr>
            <w:tcW w:w="2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6"/>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Storage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early renewals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52,458</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61,233</w:t>
            </w:r>
          </w:p>
        </w:tc>
        <w:tc>
          <w:tcPr>
            <w:tcW w:w="24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2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Total commenced leases, including replaced previous</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vacancy</w:t>
            </w:r>
          </w:p>
        </w:tc>
        <w:tc>
          <w:tcPr>
            <w:tcW w:w="2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Office</w:t>
            </w: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540,027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112.51</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Retail</w:t>
            </w:r>
          </w:p>
        </w:tc>
        <w:tc>
          <w:tcPr>
            <w:tcW w:w="2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27"/>
        </w:trPr>
        <w:tc>
          <w:tcPr>
            <w:tcW w:w="1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commenced leases</w:t>
            </w: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571,860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117.71</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initial base rent.</w:t>
      </w:r>
    </w:p>
    <w:p>
      <w:pPr>
        <w:spacing w:after="0" w:line="17" w:lineRule="exact"/>
        <w:rPr>
          <w:rFonts w:ascii="Times New Roman" w:cs="Times New Roman" w:eastAsia="Times New Roman" w:hAnsi="Times New Roman"/>
          <w:sz w:val="14"/>
          <w:szCs w:val="14"/>
          <w:color w:val="auto"/>
        </w:rPr>
      </w:pPr>
    </w:p>
    <w:p>
      <w:pPr>
        <w:ind w:left="420" w:right="20" w:hanging="412"/>
        <w:spacing w:after="0" w:line="259" w:lineRule="auto"/>
        <w:tabs>
          <w:tab w:leader="none" w:pos="4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Escalated rent includes base rent plus all additional amounts paid by the tenant in the form of real estate taxes, operating expenses, porters wage or a consumer price index (CPI) adjustment.</w:t>
      </w:r>
    </w:p>
    <w:p>
      <w:pPr>
        <w:spacing w:after="0" w:line="173"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expiring space, relocating tenants and move-outs where tenants vacated. Excludes lease expirations where tenants held over.</w:t>
      </w:r>
    </w:p>
    <w:p>
      <w:pPr>
        <w:spacing w:after="0" w:line="14" w:lineRule="exact"/>
        <w:rPr>
          <w:rFonts w:ascii="Times New Roman" w:cs="Times New Roman" w:eastAsia="Times New Roman" w:hAnsi="Times New Roman"/>
          <w:sz w:val="14"/>
          <w:szCs w:val="14"/>
          <w:color w:val="auto"/>
        </w:rPr>
      </w:pPr>
    </w:p>
    <w:p>
      <w:pPr>
        <w:ind w:left="420" w:hanging="412"/>
        <w:spacing w:after="0" w:line="283" w:lineRule="auto"/>
        <w:tabs>
          <w:tab w:leader="none" w:pos="4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starting office rent excluding new tenants replacing vacancies was $104.92 per rentable square foot for 211,307 rentable square feet. Average starting office rent for office space (leased and early renewals, excluding new tenants replacing vacancies) was $104.74 per rentable square foot for 262,692 rentable square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revenue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SUMMIT Operator revenues were higher due primarily to the Ascent experience coming back online during the fourth quarter of 2025, which is a premium ticket that generates incremental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19"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Investment income decreased due primarily to interest payments received on one CMBS investment ($10.0 million) during the three months ended March 31, 2025. Investment income also decreased due to a lower weighted average debt and preferred equity investment balance for the three months ended March 31, 2026 as compared to the same period in 2025. For the three months ended March 31, 2026, the weighted average debt and preferred equity investment balance outstanding and weighted average yield were $118.3 million and 6.9%, respectively, as compared to $333.3 million and 6.4%, respectively, for the three months ended March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from real estate loans held by consolidated securitization vehicles</w:t>
      </w:r>
    </w:p>
    <w:p>
      <w:pPr>
        <w:spacing w:after="0" w:line="119"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From time to time we own securities in CMBS securitization trusts that result in the consolidation of the trusts on our financial statements. The amounts recorded include our interest income as well as the interest income associated with CMBS positions owned by third parties, which is offset by the amounts recorded in "Interest expense on senior obligations of consolidated securitization vehicles." As a result, the net impact is limited to the interest income on the CMBS we own directly and not the consolidated interest income and interest expense.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income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Fee income increased due primarily to an increase in management fees ($6.5 million) and special servicing fees of ($1.2 million).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decreased due primarily to lease termination income ($3.8 million) recognized during the three months ended March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Property operating expenses increased due primarily to the acquisition of Park Avenue Tower ($6.3 million) during the first quarter of 2026, the consolidation of 800 Third Avenue ($5.1 million) during the fourth quarter of 2025, and the consolidation of 315 West 33rd Street ($4.1 million) during the third quarter of 2025. This increase is partially offset by the deconsolidation of 100 Park Avenue ($6.7 million) at the end of the fourth quarter of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expenses</w:t>
      </w:r>
    </w:p>
    <w:p>
      <w:pPr>
        <w:spacing w:after="0" w:line="119"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SUMMIT Operator expenses were higher due to increased variable expenses as a result of increased operating hours and the Ascent premium experience coming back online.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Marketing, general, and administrative expenses increased due primarily to higher stock based compensation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 of interest income</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Interest expense, net of interest income, increased due primarily to the acquisition of Park Avenue Tower during the first quarter of 2026 ($5.5 million), the consolidation of 800 Third Avenue ($2.7 million) during the fourth quarter of 2025, and the consolidation of 315 West 33rd Street ($3.1 million) during the third quarter of 2025. These increases were offset by decreased interest expense from the deconsolidation of 100 Park Avenue, ($6.2 million) at the end of the fourth quarter of 2025, and an increase in interest capitalization at properties that are under development or redevelopment ($7.1 million). The weighted average consolidated debt balance outstanding was $4.7 billion for the three months ended March 31, 2026, compared to $3.8 billion for the three months ended March 31, 2025. The consolidated weighted average interest rate was 5.25% for the three months ended March 31, 2026, as compared to 5.38% for the three months ended March 31,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tax (expense) benefit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SUMMIT Operator tax expense increased for the three months ended March 31, 2026 as compared to the same period in 2025 due primarily to a 2024 tax reduction adjustment that was recorded in the first quarter of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on senior obligations of consolidated securitization vehicles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From time to time we own securities in CMBS securitization trusts that result in the consolidation of the trusts on our financial statements. The amounts include the interest expense associated with CMBS positions owned by third parties, which is an offset to the third party interest income recognized in "Interest income from real estate loans held by consolidated securitization vehicles." As a result, the impact is limited to interest income on the CMBS we own directly and not the consolidated interest income and interest expense.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primarily due to the acquisition of Park Avenue Tower ($8.3 million) during the first quarter of 2026, the consolidation of 800 Third Avenue ($2.9 million) during the fourth quarter of 2025, and the consolidation of 315 West 33rd Street ($4.4 million) during the third quarter of 2025. This increase is partially offset by the deconsolidation of 100 Park Avenue ($4.7 million) at the end of the fourth quarter of 2025 and decrease at our Same-Store Properties ($6.8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net (loss) income from unconsolidated joint ventures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recognized $18.3 million of income related to the write-off of a negative carrying value associated with an unconsolidated joint venture after we were no longer obligated or otherwise committed to provide additional financial support to the entity.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and other fair value adjustments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recorded a $2.2 million positive fair value adjustment related to the previous sale of an interest in One Madison Avenue, which did not meet sale accounting under ASC 860, and a $2.0 million positive fair value adjustment related to derivatives that are not designated as hedges for accounting purposes. During the three months ended March 31, 2025, we recorded a $5.9 million negative fair value adjustment related to the previous sale of an interest in One Madison Avenue and a $3.1 million negative fair value adjustment related to derivatives that are not designated as hedges for accounting purposes.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sale of real estate, net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March 31, 2026, we recognized a $15.3 million gain on the sale of 690 Madison Avenue.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Depreciable real estate reserves and impairments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recognized depreciable real estate reserves and impairments in connection with the classification of 7 Dey Street as held for sale ($35.2 million). During the three months ended March 31, 2025, we recognized depreciable real estate reserves and impairments related to the sale of residential condominium units at 760 Madison Avenue ($8.5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loss and other investment reserves, net of recoveries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did not recognize any loan loss and other investment reserves. During the three months ended March 31, 2025 we recognized a loan loss recovery of $25.0 million related to the resolution of a commercial mortgage investment.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currently expect that the principal sources of funds to meet our short-term and long-term liquidity requirements for working capital, acquisitions, development or redevelopment of properties, tenant improvements, leasing costs, dividends to shareholders, distributions to unitholders, repurchases or repayments of outstanding indebtedness or other investments will include:</w:t>
      </w:r>
    </w:p>
    <w:p>
      <w:pPr>
        <w:spacing w:after="0" w:line="68" w:lineRule="exact"/>
        <w:rPr>
          <w:sz w:val="20"/>
          <w:szCs w:val="20"/>
          <w:color w:val="auto"/>
        </w:rPr>
      </w:pPr>
    </w:p>
    <w:p>
      <w:pPr>
        <w:ind w:left="1300" w:hanging="725"/>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w:t>
      </w:r>
    </w:p>
    <w:p>
      <w:pPr>
        <w:spacing w:after="0" w:line="27" w:lineRule="exact"/>
        <w:rPr>
          <w:rFonts w:ascii="Times New Roman" w:cs="Times New Roman" w:eastAsia="Times New Roman" w:hAnsi="Times New Roman"/>
          <w:sz w:val="18"/>
          <w:szCs w:val="18"/>
          <w:color w:val="auto"/>
        </w:rPr>
      </w:pPr>
    </w:p>
    <w:p>
      <w:pPr>
        <w:ind w:left="1300" w:hanging="725"/>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w:t>
      </w:r>
    </w:p>
    <w:p>
      <w:pPr>
        <w:spacing w:after="0" w:line="9" w:lineRule="exact"/>
        <w:rPr>
          <w:rFonts w:ascii="Times New Roman" w:cs="Times New Roman" w:eastAsia="Times New Roman" w:hAnsi="Times New Roman"/>
          <w:sz w:val="18"/>
          <w:szCs w:val="18"/>
          <w:color w:val="auto"/>
        </w:rPr>
      </w:pPr>
    </w:p>
    <w:p>
      <w:pPr>
        <w:ind w:left="1300" w:hanging="725"/>
        <w:spacing w:after="0" w:line="250" w:lineRule="auto"/>
        <w:tabs>
          <w:tab w:leader="none" w:pos="12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divestitures of properties and redemptions, participations, dispositions and repayments of debt and preferred equity investments;</w:t>
      </w:r>
    </w:p>
    <w:p>
      <w:pPr>
        <w:ind w:left="1300" w:hanging="725"/>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revolving credit facility;</w:t>
      </w:r>
    </w:p>
    <w:p>
      <w:pPr>
        <w:spacing w:after="0" w:line="9" w:lineRule="exact"/>
        <w:rPr>
          <w:rFonts w:ascii="Times New Roman" w:cs="Times New Roman" w:eastAsia="Times New Roman" w:hAnsi="Times New Roman"/>
          <w:sz w:val="18"/>
          <w:szCs w:val="18"/>
          <w:color w:val="auto"/>
        </w:rPr>
      </w:pPr>
    </w:p>
    <w:p>
      <w:pPr>
        <w:ind w:left="1300" w:hanging="725"/>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secured or unsecured financing; and</w:t>
      </w:r>
    </w:p>
    <w:p>
      <w:pPr>
        <w:spacing w:after="0" w:line="9" w:lineRule="exact"/>
        <w:rPr>
          <w:rFonts w:ascii="Times New Roman" w:cs="Times New Roman" w:eastAsia="Times New Roman" w:hAnsi="Times New Roman"/>
          <w:sz w:val="18"/>
          <w:szCs w:val="18"/>
          <w:color w:val="auto"/>
        </w:rPr>
      </w:pPr>
    </w:p>
    <w:p>
      <w:pPr>
        <w:ind w:left="1300" w:hanging="725"/>
        <w:spacing w:after="0" w:line="260" w:lineRule="auto"/>
        <w:tabs>
          <w:tab w:leader="none" w:pos="12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common or preferred equity or debt offerings by the Company or the Operating Partnership (including issuances of units of limited partnership interest in the Operating Partnership and Trust preferred securities).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combined aggregate principal maturities of mortgages and other loans payable, the 2026 Credit Facility, trust preferred securities, our share of joint venture debt, including as-of-right extension options, estimated interest expense, and our obligations under our financing and operating leases, as of March 31, 2026 are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6"/>
                <w:szCs w:val="16"/>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mortgages and other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555,148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2,699,283</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1,150,000</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 preferred securities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205,954</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1,176,592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1,456,366</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interest expense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1,008,591</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Joint venture debt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1,076,993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2,071,051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5,997,411</w:t>
            </w:r>
          </w:p>
        </w:tc>
        <w:tc>
          <w:tcPr>
            <w:tcW w:w="0" w:type="dxa"/>
            <w:vAlign w:val="bottom"/>
          </w:tcPr>
          <w:p>
            <w:pPr>
              <w:spacing w:after="0"/>
              <w:rPr>
                <w:sz w:val="1"/>
                <w:szCs w:val="1"/>
                <w:color w:val="auto"/>
              </w:rPr>
            </w:pPr>
          </w:p>
        </w:tc>
      </w:tr>
      <w:tr>
        <w:trPr>
          <w:trHeight w:val="237"/>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2,924,775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1,044,068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1,014,867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6,102,485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13,442,605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estimate that for the remainder of the year ending December 31, 2026, we expect to incur $75.8 million of leasing capital expenditures and $31.7 million of recurring capital expenditures on existing consolidated properties, of which $22.4 million will be funded by construction financing facilities or loan reserves. In addition, we expect to incur $22.5 million of development or redevelopment expenditures on existing consolidated properties, of which $2.8 million will be funded by construction financing facilities or loan reserves. We expect our share of capital expenditures at our joint venture properties will be $131.3 million, of which $33.9 million will be funded by construction financing facilities or loan reserves. Future property acquisitions may require substantial capital investments for refurbishment and leasing costs.</w:t>
      </w:r>
    </w:p>
    <w:p>
      <w:pPr>
        <w:spacing w:after="0" w:line="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of March 31, 2026, we had liquidity of $0.6 billion, comprised of $418.0 million of availability under our revolving credit facility and $169.2 million of consolidated cash on hand, inclusive of $25.3 million of available-for-sale marketable securities. This liquidity excludes $111.4 million representing our share of cash at unconsolidated joint venture properties. We may seek to divest of properties, interests in properties,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and other obligations, as described above, upon maturity, if not before.</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investments in several real estate joint ventures with various partners, that are generally considered to be financially stable, and most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summary discussion of our cash flows is based on our consolidated statements of cash flows in "Item 1. Financial Statements" and is not meant to be an all-inclusive discussion of the changes in our cash flows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Cash, restricted cash, and cash equivalents were $338.6 million and $337.0 million as of March 31, 2026 and 2025, respectively, representing an increase of $1.6 million. The increase was a result of the following changes in cash flows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1"/>
        </w:trPr>
        <w:tc>
          <w:tcPr>
            <w:tcW w:w="50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(Decrease) Increase</w:t>
            </w:r>
          </w:p>
        </w:tc>
      </w:tr>
      <w:tr>
        <w:trPr>
          <w:trHeight w:val="21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(24,298)</w:t>
            </w:r>
          </w:p>
        </w:tc>
      </w:tr>
      <w:tr>
        <w:trPr>
          <w:trHeight w:val="21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(692,392)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(516,119)</w:t>
            </w: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712,124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537,171</w:t>
            </w:r>
          </w:p>
        </w:tc>
      </w:tr>
    </w:tbl>
    <w:p>
      <w:pPr>
        <w:spacing w:after="0" w:line="1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principal sources of operating cash flow are the properties in our consolidated and joint venture portfolios, third-party fees and our debt and preferred equity portfolio. These sources generate a relatively consistent stream of cash flow that provides us with resources to pay operating expenses, debt service and fund dividend and distribution requirements.</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three months ended March 31, 2026, when compared to the three months ended March 31, 2025, we used cash primarily for the following investing activities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real estate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(551,691)</w:t>
            </w:r>
          </w:p>
        </w:tc>
      </w:tr>
      <w:tr>
        <w:trPr>
          <w:trHeight w:val="21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and capitalized interest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(29,375)</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Joint venture investments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(9,138)</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joint ventures</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168,150</w:t>
            </w:r>
          </w:p>
        </w:tc>
      </w:tr>
      <w:tr>
        <w:trPr>
          <w:trHeight w:val="21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real estate/partial interest in property</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(39,806)</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restricted cash assumed from acquisition of real estate investment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and preferred equity and other investments</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(54,259)</w:t>
            </w: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net cash used in investing activities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(516,119)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Capital expenditures, which are comprised of building and tenant improvements, increased from $74.2 million for the three months ended March 31, 2025 to $103.6 million for the three months ended March 31, 2026 due to increased leasing related costs as portfolio occupancy increases.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generally fund our investment activity through the sale of real estate, property-level financing, corporate credit facilities, the sale or repayment of debt and preferred equity investments, or construction loan facilities. From time to time, the Company may issue common or preferred stock or equity-linked securities, or the Operating Partnership may issue common or preferred units of limited partnership interest.</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when compared to the three months ended March 31, 2025, we used cash primarily for the following financing activities (in thousands):</w:t>
      </w:r>
    </w:p>
    <w:p>
      <w:pPr>
        <w:sectPr>
          <w:pgSz w:w="11900" w:h="16838" w:orient="portrait"/>
          <w:cols w:equalWidth="0" w:num="1">
            <w:col w:w="11240"/>
          </w:cols>
          <w:pgMar w:left="320" w:top="121" w:right="339" w:bottom="1440" w:gutter="0" w:footer="0" w:header="0"/>
        </w:sectPr>
      </w:pP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Proceeds from our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Repayments of our debt obligations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distribution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obligations related to secured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Dividends and distributions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in net cash provided by financing activities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834" w:hanging="834"/>
        <w:spacing w:after="0"/>
        <w:tabs>
          <w:tab w:leader="none" w:pos="83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781,575</w:t>
      </w:r>
    </w:p>
    <w:p>
      <w:pPr>
        <w:spacing w:after="0" w:line="32" w:lineRule="exact"/>
        <w:rPr>
          <w:rFonts w:ascii="Times New Roman" w:cs="Times New Roman" w:eastAsia="Times New Roman" w:hAnsi="Times New Roman"/>
          <w:sz w:val="16"/>
          <w:szCs w:val="16"/>
          <w:color w:val="auto"/>
        </w:rPr>
      </w:pPr>
    </w:p>
    <w:p>
      <w:pPr>
        <w:ind w:left="77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(319,261)</w:t>
      </w:r>
    </w:p>
    <w:p>
      <w:pPr>
        <w:spacing w:after="0" w:line="43" w:lineRule="exact"/>
        <w:rPr>
          <w:rFonts w:ascii="Times New Roman" w:cs="Times New Roman" w:eastAsia="Times New Roman" w:hAnsi="Times New Roman"/>
          <w:sz w:val="16"/>
          <w:szCs w:val="16"/>
          <w:color w:val="auto"/>
        </w:rPr>
      </w:pPr>
    </w:p>
    <w:p>
      <w:pPr>
        <w:ind w:left="83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109,359</w:t>
      </w:r>
    </w:p>
    <w:p>
      <w:pPr>
        <w:spacing w:after="0" w:line="32" w:lineRule="exact"/>
        <w:rPr>
          <w:rFonts w:ascii="Times New Roman" w:cs="Times New Roman" w:eastAsia="Times New Roman" w:hAnsi="Times New Roman"/>
          <w:sz w:val="16"/>
          <w:szCs w:val="16"/>
          <w:color w:val="auto"/>
        </w:rPr>
      </w:pPr>
    </w:p>
    <w:p>
      <w:pPr>
        <w:ind w:left="85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(16,593)</w:t>
      </w:r>
    </w:p>
    <w:p>
      <w:pPr>
        <w:spacing w:after="0" w:line="61" w:lineRule="exact"/>
        <w:rPr>
          <w:rFonts w:ascii="Times New Roman" w:cs="Times New Roman" w:eastAsia="Times New Roman" w:hAnsi="Times New Roman"/>
          <w:sz w:val="16"/>
          <w:szCs w:val="16"/>
          <w:color w:val="auto"/>
        </w:rPr>
      </w:pPr>
    </w:p>
    <w:p>
      <w:pPr>
        <w:ind w:left="874"/>
        <w:spacing w:after="0"/>
        <w:rPr>
          <w:rFonts w:ascii="Times New Roman" w:cs="Times New Roman" w:eastAsia="Times New Roman" w:hAnsi="Times New Roman"/>
          <w:sz w:val="16"/>
          <w:szCs w:val="16"/>
          <w:color w:val="auto"/>
        </w:rPr>
      </w:pPr>
      <w:r>
        <w:rPr>
          <w:rFonts w:ascii="Arial" w:cs="Arial" w:eastAsia="Arial" w:hAnsi="Arial"/>
          <w:sz w:val="13"/>
          <w:szCs w:val="13"/>
          <w:color w:val="auto"/>
        </w:rPr>
        <w:t>(75,294)</w:t>
      </w:r>
    </w:p>
    <w:p>
      <w:pPr>
        <w:spacing w:after="0" w:line="48" w:lineRule="exact"/>
        <w:rPr>
          <w:rFonts w:ascii="Times New Roman" w:cs="Times New Roman" w:eastAsia="Times New Roman" w:hAnsi="Times New Roman"/>
          <w:sz w:val="16"/>
          <w:szCs w:val="16"/>
          <w:color w:val="auto"/>
        </w:rPr>
      </w:pPr>
    </w:p>
    <w:p>
      <w:pPr>
        <w:ind w:left="91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57,385</w:t>
      </w:r>
    </w:p>
    <w:p>
      <w:pPr>
        <w:spacing w:after="0" w:line="46" w:lineRule="exact"/>
        <w:rPr>
          <w:sz w:val="20"/>
          <w:szCs w:val="20"/>
          <w:color w:val="auto"/>
        </w:rPr>
      </w:pPr>
    </w:p>
    <w:p>
      <w:pPr>
        <w:ind w:left="834" w:hanging="834"/>
        <w:spacing w:after="0"/>
        <w:tabs>
          <w:tab w:leader="none" w:pos="83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537,171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175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66" w:space="720"/>
            <w:col w:w="1454"/>
          </w:cols>
          <w:pgMar w:left="320" w:top="121" w:right="33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 place a share repurchase program of $3.5 billion under which we can buy shares of our common stock.</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31, 2026, 36,107,719 shares have been repurchased under the program. This amount excludes the redemption of OP units. We did not repurchase any shares under the program during the three months ended March 31, 2026.</w:t>
      </w: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9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table below summarizes our consolidated mortgages and other loans payable, the 2026 Credit Facility, and trust preferred securities outstanding as of March 31, 2026 and December 31, 2025, (amounts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Summary:</w:t>
            </w:r>
          </w:p>
        </w:tc>
        <w:tc>
          <w:tcPr>
            <w:tcW w:w="32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3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1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1,992,086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1,058,524</w:t>
            </w: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rate—hedged</w:t>
            </w:r>
          </w:p>
        </w:tc>
        <w:tc>
          <w:tcPr>
            <w:tcW w:w="3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2,116,586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2,616,698</w:t>
            </w:r>
          </w:p>
        </w:tc>
      </w:tr>
      <w:tr>
        <w:trPr>
          <w:trHeight w:val="208"/>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fixed rate</w:t>
            </w:r>
          </w:p>
        </w:tc>
        <w:tc>
          <w:tcPr>
            <w:tcW w:w="320" w:type="dxa"/>
            <w:vAlign w:val="bottom"/>
          </w:tcPr>
          <w:p>
            <w:pPr>
              <w:spacing w:after="0"/>
              <w:rPr>
                <w:sz w:val="18"/>
                <w:szCs w:val="18"/>
                <w:color w:val="auto"/>
              </w:rPr>
            </w:pP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4,108,672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3,675,222</w:t>
            </w:r>
          </w:p>
        </w:tc>
      </w:tr>
      <w:tr>
        <w:trPr>
          <w:trHeight w:val="21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variable rate</w:t>
            </w:r>
          </w:p>
        </w:tc>
        <w:tc>
          <w:tcPr>
            <w:tcW w:w="3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665,611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369,277</w:t>
            </w:r>
          </w:p>
        </w:tc>
      </w:tr>
      <w:tr>
        <w:trPr>
          <w:trHeight w:val="211"/>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4,774,283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4,044,499</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preferred equity, and other investments subject to variable rate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78,594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128,619</w:t>
            </w: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exposure to variable rate debt</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587,017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240,658</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Percent of Total Debt</w:t>
            </w:r>
            <w:r>
              <w:rPr>
                <w:rFonts w:ascii="Times New Roman" w:cs="Times New Roman" w:eastAsia="Times New Roman" w:hAnsi="Times New Roman"/>
                <w:sz w:val="16"/>
                <w:szCs w:val="16"/>
                <w:color w:val="auto"/>
              </w:rPr>
              <w: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4"/>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86.1 %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90.9 %</w:t>
            </w:r>
          </w:p>
        </w:tc>
      </w:tr>
      <w:tr>
        <w:trPr>
          <w:trHeight w:val="218"/>
        </w:trPr>
        <w:tc>
          <w:tcPr>
            <w:tcW w:w="690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Variable rate </w:t>
            </w:r>
            <w:r>
              <w:rPr>
                <w:rFonts w:ascii="Times New Roman" w:cs="Times New Roman" w:eastAsia="Times New Roman" w:hAnsi="Times New Roman"/>
                <w:sz w:val="21"/>
                <w:szCs w:val="21"/>
                <w:color w:val="auto"/>
                <w:vertAlign w:val="superscript"/>
              </w:rPr>
              <w:t>(1)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13.9 %</w:t>
            </w:r>
          </w:p>
        </w:tc>
        <w:tc>
          <w:tcPr>
            <w:tcW w:w="10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Interest Rate for the Year:</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14"/>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5.35 %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5.17 %</w:t>
            </w:r>
          </w:p>
        </w:tc>
      </w:tr>
      <w:tr>
        <w:trPr>
          <w:trHeight w:val="218"/>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rate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5.11 %</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6.29 %</w:t>
            </w: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interest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5.25 %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5.34 %</w:t>
            </w:r>
          </w:p>
        </w:tc>
      </w:tr>
    </w:tbl>
    <w:p>
      <w:pPr>
        <w:spacing w:after="0" w:line="183" w:lineRule="exact"/>
        <w:rPr>
          <w:sz w:val="20"/>
          <w:szCs w:val="20"/>
          <w:color w:val="auto"/>
        </w:rPr>
      </w:pPr>
    </w:p>
    <w:p>
      <w:pPr>
        <w:ind w:left="420" w:right="20" w:hanging="412"/>
        <w:spacing w:after="0" w:line="282" w:lineRule="auto"/>
        <w:tabs>
          <w:tab w:leader="none" w:pos="35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the mitigating effect of our debt, preferred equity, and other investments subject to variable rates, the percent of total debt of our net exposure to variable rate debt was 12.5% and 6.1% as of March 31, 2026 and December 31, 2025, respectively.</w:t>
      </w:r>
    </w:p>
    <w:p>
      <w:pPr>
        <w:spacing w:after="0" w:line="72"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The variable rate debt shown above generally bears interest at an interest rate based on Term SOFR (3.66% and 3.69% as of March 31, 2026 and December 31, 2025, respectively). Our consolidated debt as of March 31, 2026 had a weighted average term to maturity of 3.21 years.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Certain of our debt and equity investments and other investments, with carrying values of $78.6 million as of March 31, 2026 and $128.6 million as of December 31, 2025, are variable rate investments which mitigate our exposure to interest rate changes on our unhedged variable rate debt. Inclusive of the mitigating effect of these investments, the net ratio of our consolidated variable rate debt to total debt was 12.5% and 6.1%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Credit Facility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18, 2026, the Company entered into an amended and restated credit facility (the "2026 Credit Facility"), which was previously amended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2021 and November 2017, and was originally entered into in November 2012. As of March 31, 2026, the 2026 Credit Facility consisted of a:</w:t>
      </w:r>
    </w:p>
    <w:p>
      <w:pPr>
        <w:spacing w:after="0" w:line="99"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billion revolving credit facility with a maturity of June 2030 and two six-month, as-of-right extension options to June 2031.</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million term loan (or the "Term A Loans") with a maturity of May 2027.</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term loan (or the "Term B Loans") with a maturity of May 2026 and one six -month, as-of right extension option to November 2026.</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million term loan (or the "Term C Loans") with a maturity of June 2031.</w:t>
      </w:r>
    </w:p>
    <w:p>
      <w:pPr>
        <w:spacing w:after="0" w:line="11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also have an option, subject to customary conditions, to increase the capacity of the credit facility to $4.5 billion at any time prior to the maturity date of the revolving credit facility without the consent of existing lenders, by obtaining additional commitments from our existing lenders and other financial institutions.</w:t>
      </w:r>
    </w:p>
    <w:p>
      <w:pPr>
        <w:spacing w:after="0" w:line="6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As of March 31, 2026, the 2026 Credit Facility bore interest at a spread over Term SOFR with an interest period of one or three months, as we may elect, ranging from (i) 85 basis points to 185 basis points for loans under the revolving credit facility, (ii) 90 basis points to 170 basis points for the Term A Loans, (iii) 100 basis points to 180 basis points for the Term B Loans, and (iv) 95 basis points to 220 basis points for the Term C Loans,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 The revolving credit facility also contains a competitive bid option that allows banks that are part of the lender consortium to bid to make loan advances to us at a reduced interest rate. The 2026 Credit Facility provide for the ability to amend the 2026 Credit Facility to include a sustainability component whereby the revolving credit facility and Term C Loans pricing may improve by up to 3 basis points (depending on the sustainability rating achieved) upon the Company’s achievement of certain sustainability ratings, determined via an independent third-party evaluation.</w:t>
      </w:r>
    </w:p>
    <w:p>
      <w:pPr>
        <w:spacing w:after="0" w:line="8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2026, the applicable spread over Term SOFR for the 2026 Credit Facility was 125 basis points for the revolving credit facility, 170 basis points for the Term A Loans, 180 basis points for the Term B Loans and 145 basis points for the Term C loans. We are required to pay quarterly in arrears a 20 to 45 basis point facility fee on the total commitments under the revolving credit facility based on the credit rating assigned to the senior unsecured long term indebtedness of the Company. As of March 31, 2026, the facility fee was 30 basis points.</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2026, we had $7.0 million of outstanding letters of credit, $825.0 million drawn under the revolving credit facility and $1.15 billion of outstanding term loans, with total undrawn capacity of $418.0 million under the 2026 Credit Facility. As of March 31, 2026 and December 31, 2025, the revolving credit facility had a carrying value of $814.0 million and $637.8 million, respectively, net of deferred financing costs. As of March 31, 2026 and December 31, 2025, the term loans had a carrying value of $1.1 billion and $1.1 billion, respectively, net of deferred financing costs.</w:t>
      </w:r>
    </w:p>
    <w:p>
      <w:pPr>
        <w:spacing w:after="0" w:line="7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The Company and the Operating Partnership are borrowers jointly and severally obligated under the 2026 Credit Facility. The lending group for the Term C Loans consists of Wells Fargo Bank, National Association, as Administrative Agent, Wells Fargo Securities, LLC, JPMorgan Chase Bank, N.A., TD Securities (USA) LLC, BofA Securities, Inc., BMO Capital Markets Corp. and Manufacturers and Traders Trust Company, as joint lead arrangers, Wells Fargo Securities, LLC, JPMorgan Chase Bank, N.A., TD Securities (USA) LLC and BofA Securities, Inc., as joint bookrunners, JPMorgan Chase Bank, N.A., as syndication agent, TD Bank, N.A., Bank of America, N.A., Bank of Montreal and Manufacturers and Traders Trust Company, as documentation agents, and the other lenders party thereto. The lending group for the Term B Loans consists of Wells Fargo Bank, National Association, as Administrative Agent, Wells Fargo Securities, LLC, BofA Securities, Inc. and BMO Capital Markets Corp., as joint lead arrangers and joint bookrunners, and Bank of America, N.A. and Bank of Montreal, as syndication agents, and the other lenders party thereto. The lending group for the revolving credit facility consists of Wells Fargo Bank, National Association, as Administrative Agent, Wells Fargo Securities, LLC, JPMorgan Chase Bank, N.A., TD Securities (USA) LLC and BofA Securities, Inc., as joint lead arrangers and joint bookrunners for the revolving credit facility, BMO Capital Markets Corp. and Manufacturers and Traders Trust Company, as joint lead arrangers for the revolving credit facility, Wells Fargo Securities, LLC, JPMorgan Chase Bank, N.A., Deutsche Bank Securities Inc. and TD Bank, N.A., as joint lead arrangers and joint bookrunners for the Term A Loans, BofA Securities, Inc,. BMO Capital Markets Corp. and The Bank of New York Mellon, as joint lead arrangers for the Term A Loans, JPMorgan Chase Bank, N.A., as syndication agent for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revolving credit facility and Term A Loans, TD Bank, N.A., Bank of America, N.A., Bank of Montreal and Manufacturers and Traders Trust Company, as documentation agents for the revolving credit facility, Deutsche Bank Securities Inc., TD Bank, N.A., Bank of America, N.A., Bank of Montreal and The Bank of New York Mellon, as documentation agents for the Term A Loans, Wells Fargo Bank, National Association, as sustainability structuring agent, and the other lenders party thereto.</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Members of the lending group and their affiliates have performed commercial banking, investment banking, corporate trust and advisory services for the Company and its affiliates from time to time for which they have received customary fees and expenses. Members of the lending group and their affiliates may, from time to time, engage in transactions with and perform services for the Company in the ordinary course of their business.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2026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3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terms of the 2026 Credit Facility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Adjusted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March 31, 2026 and December 31, 2025, we were in compliance with all such covenants.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CMBS Repurchase Facility</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December 2024, the Company entered into a repurchase facility for CMBS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March 31, 2026, there have been no margin calls on the CMBS Repurchase Facility. At March 31, 2026, there was no outstanding balance on the facility.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exposed to changes in interest rates primarily from our variable rate debt. Our exposure to interest rate fluctuations are managed through the use of interest rate derivative instruments and through our variable rate debt and preferred equity investments. Based on the debt outstanding as of March 31, 2026, a hypothetical 100 basis point increase in the applicable floating interest rate curve would increase our share of consolidated annual interest cost, net of interest income from variable rate debt and preferred equity investments, by $5.5 million and would increase our share of joint venture annual interest cost by $4.1 million. As of March 31, 2026, $77.6 million, or 65.7%, of our $118.1 million debt and preferred equity portfolio was indexed to SOFR.</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all derivatives on the balance sheet at fair value. Derivatives that are not designated as hedges for accounting purposes are adjusted to fair value through income. If a derivative is designated as a hedge for accounting purposes, depending on the nature of the hedge, changes in the fair value of the derivative will either be offset against the change in fair value of the hedged asset, liability, or firm commitment through earnings, or recognized in other comprehensive income (loss) until the hedged item is recognized in earnings.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off-balance sheet investments, including joint ventures and debt and preferred equity investments. These investments all have varying ownership structures. A majority of our joint venture arrangements are accounted for under the equity method of accounting as we have the ability to exercise significant influence over, but not control, the operating and financial decisions of these joint venture arrangements. Our off-balance sheet arrangements are discussed in Note 5, "Investments in Unconsolidated Joint Ventures" and Note 7, "Debt and Preferred Equity Investments" in the accompanying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Dividends/Distributions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to pay dividends to our stockholders based on the distributions we receive from our Operating Partnership.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To maintain our qualification as a REIT, we must pay annual dividends to our stockholders of at least 90% of our REIT taxable income, determined before taking into consideration the dividends paid deduction and net capital gains.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Any dividend we pay may be in the form of cash, stock or a combination thereof, subject to IRS limitations on the use of stock for dividends. Additionally, if our REIT taxable income in a particular year exceeds the amount of cash dividends we pay in that year, we may pay stock dividends in order to maintain our REIT status and avoid certain REIT-level taxes.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Before we pay any cash dividend, whether for Federal income tax purposes or otherwise, which would only be paid out of available cash to the extent permitted under the 2026 credit facility, we must first meet both our operating requirements and scheduled debt service on our mortgages and loans payable.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("Belmont"), provides coverage for NBCR terrorist acts above a specified trigger. Belmont's retention is reinsured by our other captive insurance company, Ticonderoga Insurance Company ("Ticonderoga").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 If Belmont or Ticonderoga are required to pay a claim under our insurance policies, we would ultimately record the loss to the extent of required payments.</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Funds from Operations ("FFO")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7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FFO for the three months ended March 31, 2026 and 2025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11"/>
        </w:trPr>
        <w:tc>
          <w:tcPr>
            <w:tcW w:w="8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SL Green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(84,391)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(21,075)</w:t>
            </w: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64,498</w:t>
            </w:r>
          </w:p>
        </w:tc>
      </w:tr>
      <w:tr>
        <w:trPr>
          <w:trHeight w:val="214"/>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Joint venture depreciation and noncontrolling interest adjustments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62,596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53,361</w:t>
            </w:r>
          </w:p>
        </w:tc>
      </w:tr>
      <w:tr>
        <w:trPr>
          <w:trHeight w:val="218"/>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w:t>
            </w: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on sale of interest in unconsolidated joint venture/real estate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w:t>
            </w:r>
          </w:p>
        </w:tc>
      </w:tr>
      <w:tr>
        <w:trPr>
          <w:trHeight w:val="218"/>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4"/>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(35,160)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r>
      <w:tr>
        <w:trPr>
          <w:trHeight w:val="218"/>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in unconsolidated joint venture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r>
      <w:tr>
        <w:trPr>
          <w:trHeight w:val="214"/>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on non-rental real estate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w:t>
            </w:r>
          </w:p>
        </w:tc>
      </w:tr>
      <w:tr>
        <w:trPr>
          <w:trHeight w:val="236"/>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from Operations attributable to SL Green common stockholders and unit 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64,623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106,511</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business at SUMMIT is subject to, among other things, tourism trends and weather conditions, resulting in seasonal fluctuation. The table below shows SUMMIT's revenue for each quarter during 2025. We do not consider any other components of our business to be subject to material seasonal fluctuations.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Borders>
              <w:bottom w:val="single" w:sz="8" w:color="CCEEFF"/>
            </w:tcBorders>
          </w:tcPr>
          <w:p>
            <w:pPr>
              <w:spacing w:after="0"/>
              <w:rPr>
                <w:sz w:val="20"/>
                <w:szCs w:val="20"/>
                <w:color w:val="auto"/>
              </w:rPr>
            </w:pPr>
          </w:p>
        </w:tc>
        <w:tc>
          <w:tcPr>
            <w:tcW w:w="3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1st Quarter</w:t>
            </w: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2nd Quarter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3rd Quarter</w:t>
            </w: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4th Quarter</w:t>
            </w: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29.0%</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Accounting Standards Updates are discussed in Note 2, "Significant Accounting Policies Accounting Standards Updates" in the accompanying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occupancy,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8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geopolitical, business and financial conditions, and their effect on the New York City real estate market in particular;</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New York City real estate market;</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real estate acquisitions, dispositions, development and redevelopment, including the cost of construction delays and cost overruns;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debt and preferred equity investments;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creditworthiness of prospective tenants and borrowers;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a major tenant or a significant number of smaller tenants or borrowers;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markets, including reduced demand for office space, increasing vacancy, and increasing availability of sublease space;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debt and equity capital for our operational needs and investment strategy;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financing and other costs, including a rise in interest rates;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financial covenants in our debt instruments;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investing through joint venture structures, including the fulfillment by our partners of their financial obligations;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terrorist attacks;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insurance coverage at a reasonable cost and the potential for losses in excess of our insurance coverage, including as a result of environmental contamination;</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asset management business, including our ability to identify suitable investments, manage actual and potential conflicts of interest and comply with regulations on our asset management subsidiary under the Investment Advisers Act of 1940;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Other factors and risks to our business, many of which are beyond our control, are described in other sections of this report and in our other filings with the SEC. Except to the extent required by law, we undertake no obligation to publicly update or revise any forward-looking statements, whether as a result of future events,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Item 2, "Management's Discussion and Analysis of Financial Condition and Results of Operation - Interest Rate Risk" in this Quarterly Report on Form 10-Q for the three months ended March 31, 2026 for the Company and the Operating Partnership and Item 7, "Management's Discussion and Analysis of Financial Condition and Results of Operations - Interest Rate Risk" in the Annual Report on Form 10-K for the year ended December 31, 2025 for the Company and the Operating Partnership. Our exposures to market risk have not changed materially since December 31,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 GREEN REALTY CORP.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31, 2026 that has materially affected, or is reasonably likely to materially affect, its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 GREEN OPERATING PARTNERSHIP,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Operating Partnership's internal control over financial reporting during the quarter ended March 31, 2026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material changes to the Risk Factors disclosed in "Part I. Item 1A. Risk Factors" in the Company's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in place a share repurchase program of $3.5 billion under which we can buy shares of our common stock.</w:t>
      </w:r>
    </w:p>
    <w:p>
      <w:pPr>
        <w:spacing w:after="0" w:line="11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36,107,719 shares have been repurchased under the program. This amount excludes the redemption of OP units. We did not repurchase any shares under the program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description of the 2026 Credit Facility contained in Item 2. “Management's Discussion and Analysis of Financial Condition and Results of Operations - Corporate Indebtedness” of this report is incorporated herein by reference and is qualified in its entirety by reference to the complete texts of the 2026 Credit Facility, copies of which are filed as Exhibits 10.2, 10.3 and 10.4 to this report and incorporated herein by reference.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required by Item 601 of Regulation S-K are filed herewith or incorporated herein by reference and are listed in the attached Exhibit Index.</w:t>
      </w:r>
    </w:p>
    <w:p>
      <w:pPr>
        <w:spacing w:after="0" w:line="295" w:lineRule="exact"/>
        <w:rPr>
          <w:sz w:val="20"/>
          <w:szCs w:val="20"/>
          <w:color w:val="auto"/>
        </w:rPr>
      </w:pPr>
    </w:p>
    <w:p>
      <w:pPr>
        <w:ind w:left="360"/>
        <w:spacing w:after="0"/>
        <w:tabs>
          <w:tab w:leader="none" w:pos="58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 w:lineRule="exact"/>
        <w:rPr>
          <w:sz w:val="20"/>
          <w:szCs w:val="20"/>
          <w:color w:val="auto"/>
        </w:rPr>
      </w:pPr>
    </w:p>
    <w:p>
      <w:pPr>
        <w:ind w:left="1300" w:right="1960" w:hanging="426"/>
        <w:spacing w:after="0" w:line="232" w:lineRule="auto"/>
        <w:tabs>
          <w:tab w:leader="none" w:pos="1280" w:val="left"/>
        </w:tabs>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u w:val="single" w:color="auto"/>
            <w:color w:val="0000FF"/>
          </w:rPr>
          <w:t>10.1</w:t>
        </w:r>
      </w:hyperlink>
      <w:r>
        <w:rPr>
          <w:rFonts w:ascii="Times New Roman" w:cs="Times New Roman" w:eastAsia="Times New Roman" w:hAnsi="Times New Roman"/>
          <w:sz w:val="16"/>
          <w:szCs w:val="16"/>
          <w:color w:val="0000FF"/>
        </w:rPr>
        <w:tab/>
        <w:t>Thirty-Second Amendment, dated March 4, 2026, to the First Amended and Restated Agreement of Limited Partnership of SL Green Operating Partnership, L.P., incorporated by reference to the Company's Form 8-K, dated as of March 4, 2026, filed with the SEC on March 6, 2026.</w:t>
      </w:r>
    </w:p>
    <w:p>
      <w:pPr>
        <w:spacing w:after="0" w:line="6" w:lineRule="exact"/>
        <w:rPr>
          <w:sz w:val="20"/>
          <w:szCs w:val="20"/>
          <w:color w:val="auto"/>
        </w:rPr>
      </w:pPr>
    </w:p>
    <w:p>
      <w:pPr>
        <w:ind w:left="1300" w:right="40" w:hanging="426"/>
        <w:spacing w:after="0" w:line="221"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10.2</w:t>
      </w:r>
      <w:r>
        <w:rPr>
          <w:sz w:val="20"/>
          <w:szCs w:val="20"/>
          <w:color w:val="auto"/>
        </w:rPr>
        <w:tab/>
      </w:r>
      <w:r>
        <w:rPr>
          <w:rFonts w:ascii="Times New Roman" w:cs="Times New Roman" w:eastAsia="Times New Roman" w:hAnsi="Times New Roman"/>
          <w:sz w:val="16"/>
          <w:szCs w:val="16"/>
          <w:color w:val="auto"/>
        </w:rPr>
        <w:t>Term Loan Agreement, dated as of March 18, 2026, by and among SL Green Realty Corp. and SL Green Operating Partnership, L.P., as Borrowers, Wells Fargo Bank, National Association, as Administrative Agent, Wells Fargo Securities, LLC, JPMorgan Chase Bank, N.A., TD Securities (USA) LLC, BofA Securities, Inc., BMO Capital Markets Corp. and Manufacturers and Traders Trust Company, as joint lead arrangers, Wells Fargo Securities, LLC, JPMorgan Chase Bank, N.A., TD Securities (USA) LLC and BofA Securities, Inc., as joint bookrunners, JPMorgan Chase Bank, N.A., as syndication agent, TD Bank, N.A., Bank of America, N.A., Bank of Montreal and Manufacturers and Traders Trust Company, as documentation agents, and the other lenders party thereto.</w:t>
      </w:r>
    </w:p>
    <w:p>
      <w:pPr>
        <w:spacing w:after="0" w:line="9" w:lineRule="exact"/>
        <w:rPr>
          <w:sz w:val="20"/>
          <w:szCs w:val="20"/>
          <w:color w:val="auto"/>
        </w:rPr>
      </w:pPr>
    </w:p>
    <w:p>
      <w:pPr>
        <w:ind w:left="1300" w:hanging="426"/>
        <w:spacing w:after="0" w:line="223"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10.3</w:t>
      </w:r>
      <w:r>
        <w:rPr>
          <w:sz w:val="20"/>
          <w:szCs w:val="20"/>
          <w:color w:val="auto"/>
        </w:rPr>
        <w:tab/>
      </w:r>
      <w:r>
        <w:rPr>
          <w:rFonts w:ascii="Times New Roman" w:cs="Times New Roman" w:eastAsia="Times New Roman" w:hAnsi="Times New Roman"/>
          <w:sz w:val="16"/>
          <w:szCs w:val="16"/>
          <w:color w:val="auto"/>
        </w:rPr>
        <w:t>First Amendment to Term Loan Agreement, dated as of March 18, 2026, which amends that certain Term Loan Agreement, dated as of November 19, 2024, by and among SL Green Realty Corp. and SL Green Operating Partnership, L.P., as Borrowers, each of the financial institutions initially a signatory thereto together with their successors and assignees, Wells Fargo Bank, National Association, as Administrative Agent, Wells Fargo Securities, LLC, BofA Securities, Inc. and BMO Capital Markets Corp., as joint Lead Arrangers and Joint Bookrunners, and Bank of America, N.A. and Bank of Montreal, as Syndication Agents.</w:t>
      </w:r>
    </w:p>
    <w:p>
      <w:pPr>
        <w:spacing w:after="0" w:line="9" w:lineRule="exact"/>
        <w:rPr>
          <w:sz w:val="20"/>
          <w:szCs w:val="20"/>
          <w:color w:val="auto"/>
        </w:rPr>
      </w:pPr>
    </w:p>
    <w:p>
      <w:pPr>
        <w:ind w:left="1300" w:right="20" w:hanging="426"/>
        <w:spacing w:after="0" w:line="217"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10.4</w:t>
      </w:r>
      <w:r>
        <w:rPr>
          <w:sz w:val="20"/>
          <w:szCs w:val="20"/>
          <w:color w:val="auto"/>
        </w:rPr>
        <w:tab/>
      </w:r>
      <w:r>
        <w:rPr>
          <w:rFonts w:ascii="Times New Roman" w:cs="Times New Roman" w:eastAsia="Times New Roman" w:hAnsi="Times New Roman"/>
          <w:sz w:val="16"/>
          <w:szCs w:val="16"/>
          <w:color w:val="auto"/>
        </w:rPr>
        <w:t>First Amendment to Third Amended and Restated Credit Agreement, dated as of March 18, 2026, which amends that certain Third Amended and Restated Credit Agreement, dated as of December 6, 2021, by and among SL Green Realty Corp. and SL Green Operating Partnership, L.P., as Borrowers, Wells Fargo Bank, National Association, as Administrative Agent, Wells Fargo Securities, LLC, JPMorgan Chase Bank, N.A., TD Securities (USA) LLC and BofA Securities, Inc., as joint lead arrangers and joint bookrunners for the Revolving Credit Facility, BMO Capital Markets Corp. and Manufacturers and Traders Trust Company, as joint lead arrangers for the Revolving Credit Facility, Wells Fargo Securities, LLC, JPMorgan Chase Bank, N.A., Deutsche Bank Securities Inc. and TD Bank, N.A., as joint lead arrangers and joint bookrunners for the Term A Loans, BofA Securities, Inc,. BMO Capital Markets Corp. and The Bank of New York Mellon, as joint lead arrangers for the Term A Loans, JPMorgan Chase Bank, N.A., as syndication agent for the Revolving Credit Facility and Term A Loans, TD Bank, N.A., Bank of America, N.A., Bank of Montreal and Manufacturers and Traders Trust Company, as documentation agents for the Revolving Credit Facility, Deutsche Bank Securities Inc., TD Bank, N.A., Bank of America, N.A., Bank of Montreal and The Bank of New York Mellon, as documentation agents for the Term A Loans, Wells Fargo Bank, National Association, as sustainability structuring agent, and the other lenders party thereto.</w:t>
      </w:r>
    </w:p>
    <w:p>
      <w:pPr>
        <w:spacing w:after="0" w:line="6"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31.1</w:t>
      </w:r>
      <w:r>
        <w:rPr>
          <w:sz w:val="20"/>
          <w:szCs w:val="20"/>
          <w:color w:val="auto"/>
        </w:rPr>
        <w:tab/>
      </w:r>
      <w:r>
        <w:rPr>
          <w:rFonts w:ascii="Times New Roman" w:cs="Times New Roman" w:eastAsia="Times New Roman" w:hAnsi="Times New Roman"/>
          <w:sz w:val="16"/>
          <w:szCs w:val="16"/>
          <w:color w:val="auto"/>
        </w:rPr>
        <w:t>Certification by the Chairman and Chief Executive Officer of the Company pursuant to Section 302 of the Sarbanes-Oxley Act of 2002, filed herewith.</w:t>
      </w:r>
    </w:p>
    <w:p>
      <w:pPr>
        <w:spacing w:after="0" w:line="32"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31.2</w:t>
      </w:r>
      <w:r>
        <w:rPr>
          <w:sz w:val="20"/>
          <w:szCs w:val="20"/>
          <w:color w:val="auto"/>
        </w:rPr>
        <w:tab/>
      </w:r>
      <w:r>
        <w:rPr>
          <w:rFonts w:ascii="Times New Roman" w:cs="Times New Roman" w:eastAsia="Times New Roman" w:hAnsi="Times New Roman"/>
          <w:sz w:val="16"/>
          <w:szCs w:val="16"/>
          <w:color w:val="auto"/>
        </w:rPr>
        <w:t>Certification by the Chief Financial Officer of the Company pursuant to Section 302 of the Sarbanes-Oxley Act of 2002, filed herewith.</w:t>
      </w:r>
    </w:p>
    <w:p>
      <w:pPr>
        <w:spacing w:after="0" w:line="28"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31.3</w:t>
      </w:r>
      <w:r>
        <w:rPr>
          <w:sz w:val="20"/>
          <w:szCs w:val="20"/>
          <w:color w:val="auto"/>
        </w:rPr>
        <w:tab/>
      </w:r>
      <w:r>
        <w:rPr>
          <w:rFonts w:ascii="Times New Roman" w:cs="Times New Roman" w:eastAsia="Times New Roman" w:hAnsi="Times New Roman"/>
          <w:sz w:val="16"/>
          <w:szCs w:val="16"/>
          <w:color w:val="auto"/>
        </w:rPr>
        <w:t>Certification by the Chairman and Chief Executive Officer of the Company, the sole general partner of the Operating Partnership pursuant to Section</w:t>
      </w:r>
    </w:p>
    <w:p>
      <w:pPr>
        <w:ind w:left="1300"/>
        <w:spacing w:after="0"/>
        <w:rPr>
          <w:sz w:val="20"/>
          <w:szCs w:val="20"/>
          <w:color w:val="auto"/>
        </w:rPr>
      </w:pPr>
      <w:r>
        <w:rPr>
          <w:rFonts w:ascii="Times New Roman" w:cs="Times New Roman" w:eastAsia="Times New Roman" w:hAnsi="Times New Roman"/>
          <w:sz w:val="16"/>
          <w:szCs w:val="16"/>
          <w:color w:val="auto"/>
        </w:rPr>
        <w:t>302 of the Sarbanes-Oxley Act of 2002, filed herewith.</w:t>
      </w:r>
    </w:p>
    <w:p>
      <w:pPr>
        <w:spacing w:after="0" w:line="14" w:lineRule="exact"/>
        <w:rPr>
          <w:sz w:val="20"/>
          <w:szCs w:val="20"/>
          <w:color w:val="auto"/>
        </w:rPr>
      </w:pPr>
    </w:p>
    <w:p>
      <w:pPr>
        <w:ind w:left="1300" w:right="580" w:hanging="426"/>
        <w:spacing w:after="0" w:line="245"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31.4</w:t>
      </w:r>
      <w:r>
        <w:rPr>
          <w:sz w:val="20"/>
          <w:szCs w:val="20"/>
          <w:color w:val="auto"/>
        </w:rPr>
        <w:tab/>
      </w:r>
      <w:r>
        <w:rPr>
          <w:rFonts w:ascii="Times New Roman" w:cs="Times New Roman" w:eastAsia="Times New Roman" w:hAnsi="Times New Roman"/>
          <w:sz w:val="16"/>
          <w:szCs w:val="16"/>
          <w:color w:val="auto"/>
        </w:rPr>
        <w:t>Certification by the Chief Financial Officer of the Company, the sole general partner of the Operating Partnership pursuant to Section 302 of the Sarbanes-Oxley Act of 2002, filed herewith.</w:t>
      </w:r>
    </w:p>
    <w:p>
      <w:pPr>
        <w:spacing w:after="0" w:line="2" w:lineRule="exact"/>
        <w:rPr>
          <w:sz w:val="20"/>
          <w:szCs w:val="20"/>
          <w:color w:val="auto"/>
        </w:rPr>
      </w:pPr>
    </w:p>
    <w:p>
      <w:pPr>
        <w:ind w:left="1300" w:right="380" w:hanging="426"/>
        <w:spacing w:after="0" w:line="245"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32.1</w:t>
      </w:r>
      <w:r>
        <w:rPr>
          <w:sz w:val="20"/>
          <w:szCs w:val="20"/>
          <w:color w:val="auto"/>
        </w:rPr>
        <w:tab/>
      </w:r>
      <w:r>
        <w:rPr>
          <w:rFonts w:ascii="Times New Roman" w:cs="Times New Roman" w:eastAsia="Times New Roman" w:hAnsi="Times New Roman"/>
          <w:sz w:val="16"/>
          <w:szCs w:val="16"/>
          <w:color w:val="auto"/>
        </w:rPr>
        <w:t>Certification by the Chairman and Chief Executive Officer pursuant to 18 U.S.C. section 1350, as adopted pursuant to Section 906 of the Sarbanes-Oxley Act of 2002, furnished herewith.</w:t>
      </w:r>
    </w:p>
    <w:p>
      <w:pPr>
        <w:spacing w:after="0" w:line="2" w:lineRule="exact"/>
        <w:rPr>
          <w:sz w:val="20"/>
          <w:szCs w:val="20"/>
          <w:color w:val="auto"/>
        </w:rPr>
      </w:pPr>
    </w:p>
    <w:p>
      <w:pPr>
        <w:ind w:left="1300" w:right="120" w:hanging="426"/>
        <w:spacing w:after="0" w:line="245"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32.2</w:t>
      </w:r>
      <w:r>
        <w:rPr>
          <w:sz w:val="20"/>
          <w:szCs w:val="20"/>
          <w:color w:val="auto"/>
        </w:rPr>
        <w:tab/>
      </w:r>
      <w:r>
        <w:rPr>
          <w:rFonts w:ascii="Times New Roman" w:cs="Times New Roman" w:eastAsia="Times New Roman" w:hAnsi="Times New Roman"/>
          <w:sz w:val="16"/>
          <w:szCs w:val="16"/>
          <w:color w:val="auto"/>
        </w:rPr>
        <w:t>Certification by the Chief Financial Officer pursuant to 18 U.S.C. section 1350, as adopted pursuant to Section 906 of the Sarbanes-Oxley Act of 2002, furnished herewith.</w:t>
      </w:r>
    </w:p>
    <w:p>
      <w:pPr>
        <w:ind w:left="860"/>
        <w:spacing w:after="0" w:line="237"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32.3</w:t>
      </w:r>
      <w:r>
        <w:rPr>
          <w:sz w:val="20"/>
          <w:szCs w:val="20"/>
          <w:color w:val="auto"/>
        </w:rPr>
        <w:tab/>
      </w:r>
      <w:r>
        <w:rPr>
          <w:rFonts w:ascii="Times New Roman" w:cs="Times New Roman" w:eastAsia="Times New Roman" w:hAnsi="Times New Roman"/>
          <w:sz w:val="16"/>
          <w:szCs w:val="16"/>
          <w:color w:val="auto"/>
        </w:rPr>
        <w:t>Certification by the Chairman and Chief Executive Officer of the Company, the sole general partner of the Operating Partnership pursuant to 18 U.S.C.</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section 1350, as adopted pursuant to Section 906 of the Sarbanes-Oxley Act of 2002, furnished herewith.</w:t>
      </w:r>
    </w:p>
    <w:p>
      <w:pPr>
        <w:spacing w:after="0" w:line="14" w:lineRule="exact"/>
        <w:rPr>
          <w:sz w:val="20"/>
          <w:szCs w:val="20"/>
          <w:color w:val="auto"/>
        </w:rPr>
      </w:pPr>
    </w:p>
    <w:p>
      <w:pPr>
        <w:ind w:left="1300" w:right="40" w:hanging="426"/>
        <w:spacing w:after="0" w:line="245"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32.4</w:t>
      </w:r>
      <w:r>
        <w:rPr>
          <w:sz w:val="20"/>
          <w:szCs w:val="20"/>
          <w:color w:val="auto"/>
        </w:rPr>
        <w:tab/>
      </w:r>
      <w:r>
        <w:rPr>
          <w:rFonts w:ascii="Times New Roman" w:cs="Times New Roman" w:eastAsia="Times New Roman" w:hAnsi="Times New Roman"/>
          <w:sz w:val="16"/>
          <w:szCs w:val="16"/>
          <w:color w:val="auto"/>
        </w:rPr>
        <w:t>Certification by the Chief Financial Officer of the Company, the sole general partner of the Operating Partnership pursuant to 18 U.S.C. section 1350, as adopted pursuant to Section 906 of the Sarbanes-Oxley Act of 2002, furnished herewith.</w:t>
      </w:r>
    </w:p>
    <w:p>
      <w:pPr>
        <w:spacing w:after="0" w:line="2" w:lineRule="exact"/>
        <w:rPr>
          <w:sz w:val="20"/>
          <w:szCs w:val="20"/>
          <w:color w:val="auto"/>
        </w:rPr>
      </w:pPr>
    </w:p>
    <w:p>
      <w:pPr>
        <w:ind w:left="1300" w:right="280" w:hanging="442"/>
        <w:spacing w:after="0" w:line="223" w:lineRule="auto"/>
        <w:tabs>
          <w:tab w:leader="none" w:pos="13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SL Green Realty Corp. and SL Green Operating Partnership L.P.’s Quarterly Report on Form 10-Q for the quarter ended March 31, 2026, formatted in Inline XBRL: (i) Consolidated Balance Sheets (unaudited), (ii) Consolidated Statements of Operations (unaudited), (iii) Consolidated Statements of Comprehensive Loss (unaudited), (iv) Consolidated Statements of Equity (unaudited), (v) Consolidated Statements of Capital (unaudited) (vi) Consolidated Statements of Cash Flows (unaudited), and (vii) Notes to Consolidated Financial Statements (unaudited), detail tagged and filed herewith.</w:t>
      </w:r>
    </w:p>
    <w:p>
      <w:pPr>
        <w:spacing w:after="0" w:line="9" w:lineRule="exact"/>
        <w:rPr>
          <w:sz w:val="20"/>
          <w:szCs w:val="20"/>
          <w:color w:val="auto"/>
        </w:rPr>
      </w:pPr>
    </w:p>
    <w:p>
      <w:pPr>
        <w:ind w:left="1300" w:hanging="442"/>
        <w:spacing w:after="0"/>
        <w:tabs>
          <w:tab w:leader="none" w:pos="1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9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3360" w:type="dxa"/>
            <w:vAlign w:val="bottom"/>
          </w:tcPr>
          <w:p>
            <w:pPr>
              <w:spacing w:after="0"/>
              <w:rPr>
                <w:sz w:val="20"/>
                <w:szCs w:val="20"/>
                <w:color w:val="auto"/>
              </w:rPr>
            </w:pPr>
          </w:p>
        </w:tc>
        <w:tc>
          <w:tcPr>
            <w:tcW w:w="72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SL GREEN REALTY CORP.</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SL Green Realty Corp.</w:t>
            </w:r>
          </w:p>
        </w:tc>
        <w:tc>
          <w:tcPr>
            <w:tcW w:w="0" w:type="dxa"/>
            <w:vAlign w:val="bottom"/>
          </w:tcPr>
          <w:p>
            <w:pPr>
              <w:spacing w:after="0"/>
              <w:rPr>
                <w:sz w:val="1"/>
                <w:szCs w:val="1"/>
                <w:color w:val="auto"/>
              </w:rPr>
            </w:pPr>
          </w:p>
        </w:tc>
      </w:tr>
      <w:tr>
        <w:trPr>
          <w:trHeight w:val="392"/>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April 30, 2026</w:t>
            </w:r>
          </w:p>
        </w:tc>
        <w:tc>
          <w:tcPr>
            <w:tcW w:w="276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DiLiberto</w:t>
            </w:r>
          </w:p>
        </w:tc>
        <w:tc>
          <w:tcPr>
            <w:tcW w:w="0" w:type="dxa"/>
            <w:vAlign w:val="bottom"/>
          </w:tcPr>
          <w:p>
            <w:pPr>
              <w:spacing w:after="0"/>
              <w:rPr>
                <w:sz w:val="1"/>
                <w:szCs w:val="1"/>
                <w:color w:val="auto"/>
              </w:rPr>
            </w:pPr>
          </w:p>
        </w:tc>
      </w:tr>
      <w:tr>
        <w:trPr>
          <w:trHeight w:val="169"/>
        </w:trPr>
        <w:tc>
          <w:tcPr>
            <w:tcW w:w="336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4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Matthew J. DiLiberto</w:t>
            </w: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5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18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120" w:type="dxa"/>
            <w:vAlign w:val="bottom"/>
          </w:tcPr>
          <w:p>
            <w:pPr>
              <w:ind w:left="514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169"/>
        </w:trPr>
        <w:tc>
          <w:tcPr>
            <w:tcW w:w="6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Dated: April 30, 2026</w:t>
            </w:r>
          </w:p>
        </w:tc>
        <w:tc>
          <w:tcPr>
            <w:tcW w:w="4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Matthew J. DiLiberto</w:t>
            </w:r>
          </w:p>
        </w:tc>
      </w:tr>
      <w:tr>
        <w:trPr>
          <w:trHeight w:val="175"/>
        </w:trPr>
        <w:tc>
          <w:tcPr>
            <w:tcW w:w="6120" w:type="dxa"/>
            <w:vAlign w:val="bottom"/>
          </w:tcPr>
          <w:p>
            <w:pPr>
              <w:spacing w:after="0"/>
              <w:rPr>
                <w:sz w:val="15"/>
                <w:szCs w:val="15"/>
                <w:color w:val="auto"/>
              </w:rPr>
            </w:pPr>
          </w:p>
        </w:tc>
        <w:tc>
          <w:tcPr>
            <w:tcW w:w="4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 of SL Green, the sole general partner</w:t>
            </w:r>
          </w:p>
        </w:tc>
      </w:tr>
      <w:tr>
        <w:trPr>
          <w:trHeight w:val="184"/>
        </w:trPr>
        <w:tc>
          <w:tcPr>
            <w:tcW w:w="6120" w:type="dxa"/>
            <w:vAlign w:val="bottom"/>
          </w:tcPr>
          <w:p>
            <w:pPr>
              <w:spacing w:after="0"/>
              <w:rPr>
                <w:sz w:val="16"/>
                <w:szCs w:val="16"/>
                <w:color w:val="auto"/>
              </w:rPr>
            </w:pPr>
          </w:p>
        </w:tc>
        <w:tc>
          <w:tcPr>
            <w:tcW w:w="4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of the Operating Partnership (Principal Financial and</w:t>
            </w:r>
          </w:p>
        </w:tc>
      </w:tr>
      <w:tr>
        <w:trPr>
          <w:trHeight w:val="234"/>
        </w:trPr>
        <w:tc>
          <w:tcPr>
            <w:tcW w:w="61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121" w:right="439" w:bottom="1440" w:gutter="0" w:footer="0" w:header="0"/>
        </w:sectPr>
      </w:pPr>
    </w:p>
    <w:bookmarkStart w:id="79" w:name="page80"/>
    <w:bookmarkEnd w:id="7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Loan Number: 0000122999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-127635</wp:posOffset>
            </wp:positionV>
            <wp:extent cx="617220" cy="6343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17220" cy="63436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771525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788670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TERM LOAN AGREEMENT</w:t>
      </w:r>
    </w:p>
    <w:p>
      <w:pPr>
        <w:spacing w:after="0" w:line="2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March 18, 2026</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Each of</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SL GREEN REALTY CORP.,</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SL GREEN OPERATING PARTNERSHIP, L.P.,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THE FINANCIAL INSTITUTIONS PARTY HERETO</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AND THEIR ASSIGNEES UNDER SECTION 12.5.,</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Lenders,</w:t>
      </w:r>
    </w:p>
    <w:p>
      <w:pPr>
        <w:spacing w:after="0" w:line="20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left="780" w:right="1940"/>
        <w:spacing w:after="0" w:line="263" w:lineRule="auto"/>
        <w:rPr>
          <w:sz w:val="20"/>
          <w:szCs w:val="20"/>
          <w:color w:val="auto"/>
        </w:rPr>
      </w:pPr>
      <w:r>
        <w:rPr>
          <w:rFonts w:ascii="Times New Roman" w:cs="Times New Roman" w:eastAsia="Times New Roman" w:hAnsi="Times New Roman"/>
          <w:sz w:val="18"/>
          <w:szCs w:val="18"/>
          <w:color w:val="auto"/>
        </w:rPr>
        <w:t>WELLS FARGO SECURITIES, LLC, JPMORGAN CHASE BANK, N.A., TD SECURITIES (USA) LLC, BOFA SECURITIES, INC., BMO CAPITAL MARKETS CORP and MANUFACTURERS AND TRADERS TRUST COMPANY, as Joint Lead Arrangers,</w:t>
      </w:r>
    </w:p>
    <w:p>
      <w:pPr>
        <w:spacing w:after="0" w:line="400" w:lineRule="exact"/>
        <w:rPr>
          <w:sz w:val="20"/>
          <w:szCs w:val="20"/>
          <w:color w:val="auto"/>
        </w:rPr>
      </w:pPr>
    </w:p>
    <w:p>
      <w:pPr>
        <w:jc w:val="center"/>
        <w:ind w:left="780" w:right="1940"/>
        <w:spacing w:after="0" w:line="266" w:lineRule="auto"/>
        <w:rPr>
          <w:sz w:val="20"/>
          <w:szCs w:val="20"/>
          <w:color w:val="auto"/>
        </w:rPr>
      </w:pPr>
      <w:r>
        <w:rPr>
          <w:rFonts w:ascii="Times New Roman" w:cs="Times New Roman" w:eastAsia="Times New Roman" w:hAnsi="Times New Roman"/>
          <w:sz w:val="18"/>
          <w:szCs w:val="18"/>
          <w:color w:val="auto"/>
        </w:rPr>
        <w:t>WELLS FARGO SECURITIES, LLC, JPMORGAN CHASE BANK, N.A., TD SECURITIES (USA) LLC. and BOFA SECURITIES, INC., as Joint Bookrunners,</w:t>
      </w:r>
    </w:p>
    <w:p>
      <w:pPr>
        <w:spacing w:after="0" w:line="17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left="780" w:right="1940"/>
        <w:spacing w:after="0" w:line="275" w:lineRule="auto"/>
        <w:rPr>
          <w:sz w:val="20"/>
          <w:szCs w:val="20"/>
          <w:color w:val="auto"/>
        </w:rPr>
      </w:pPr>
      <w:r>
        <w:rPr>
          <w:rFonts w:ascii="Times New Roman" w:cs="Times New Roman" w:eastAsia="Times New Roman" w:hAnsi="Times New Roman"/>
          <w:sz w:val="18"/>
          <w:szCs w:val="18"/>
          <w:color w:val="auto"/>
        </w:rPr>
        <w:t>TD BANK, N.A., BANK OF AMERICA, N.A., BANK OF MONTREAL and MANUFACTURERS AND TRADERS TRUST COMPANY 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285115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0" w:name="page81"/>
    <w:bookmarkEnd w:id="80"/>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TABLE OF CONTENTS</w:t>
            </w:r>
          </w:p>
        </w:tc>
        <w:tc>
          <w:tcPr>
            <w:tcW w:w="2400" w:type="dxa"/>
            <w:vAlign w:val="bottom"/>
          </w:tcPr>
          <w:p>
            <w:pPr>
              <w:spacing w:after="0"/>
              <w:rPr>
                <w:sz w:val="20"/>
                <w:szCs w:val="20"/>
                <w:color w:val="auto"/>
              </w:rPr>
            </w:pPr>
          </w:p>
        </w:tc>
      </w:tr>
      <w:tr>
        <w:trPr>
          <w:trHeight w:val="47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41"/>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1.2.  General; References to Eastern Time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1.3.  Divisions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1.4.  Rates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1.5.  Financial Attributes of Unconsolidated Affiliates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4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Article II. Credit Facility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41"/>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2.2.  Term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2.3.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2.4.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2.5.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2.6.  Rates and Payment of Interest on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2.7.  Number of Interest Periods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2.8.  Repayment of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2.9.  Optional Prepayments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2.10.  Continuation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2.11.  Conversion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2.12.  Notes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2.13.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2.14.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2.15.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2.16.  Joint and Several Liability of the Borrowers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2.17.  Borrower Representative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2.18.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2.19.  Additional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2.20.  Funds Transfer Disbursements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4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Article III. Payments, Fees and Other General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41"/>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3.1.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3.2.  Pro Rata Treatment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3.3.  Sharing of Payments,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3.4.  Several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3.5.  Fees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3.6.  Computations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3.7.  Usury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3.8.  Statements of Account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8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3.9.  Defaulting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140"/>
          </w:cols>
          <w:pgMar w:left="340" w:top="1440" w:right="419" w:bottom="1440" w:gutter="0" w:footer="0" w:header="0"/>
        </w:sectPr>
      </w:pPr>
    </w:p>
    <w:bookmarkStart w:id="81" w:name="page82"/>
    <w:bookmarkEnd w:id="8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3.10.  Taxes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45"/>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Article IV. Yield Protection, Etc.</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41"/>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4.1.  Additional Costs; Capital Adequacy</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4.2.  Suspension of SOFR Loans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4.3.  Illegality</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4.4.  Compensation</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4.5.  Treatment of Affected Loans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4.6.  Affected Lenders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4.7.  Change of Lending Office</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567"/>
        </w:trPr>
        <w:tc>
          <w:tcPr>
            <w:tcW w:w="5080" w:type="dxa"/>
            <w:vAlign w:val="bottom"/>
          </w:tcPr>
          <w:p>
            <w:pPr>
              <w:spacing w:after="0"/>
              <w:rPr>
                <w:sz w:val="24"/>
                <w:szCs w:val="24"/>
                <w:color w:val="auto"/>
              </w:rPr>
            </w:pPr>
          </w:p>
        </w:tc>
        <w:tc>
          <w:tcPr>
            <w:tcW w:w="606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 i -</w:t>
            </w:r>
          </w:p>
        </w:tc>
      </w:tr>
      <w:tr>
        <w:trPr>
          <w:trHeight w:val="77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Article V. Conditions Precedent</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41"/>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5.1.  Initial Conditions Precedent.</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5.2.  Conditions Precedent to All Loans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45"/>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Article VI. Representations and Warranties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41"/>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6.1.  Representations and Warranties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6.2.  Survival of Representations and Warranties, Etc.</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45"/>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Article VII. Affirmative Covenants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41"/>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7.1.  Preservation of Existence and Similar Matters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7.2.  Compliance with Applicable Law</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7.3.  Maintenance of Property</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7.4.  Conduct of Business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7.5.  Insurance</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7.6.  Payment of Taxes and Claims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7.7.  Books and Records; Inspections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7.8.  Use of Proceeds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7.9.  Environmental Matters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7.10.  Further Assurances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7.11.  REIT Status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7.12.  Exchange Listing</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45"/>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Information</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41"/>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8.1.  Quarterly Financial Statements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8.2.  Year-End Statements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8.3.  Compliance Certificate</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8.4.  Other Information</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ectPr>
          <w:pgSz w:w="11900" w:h="16838" w:orient="portrait"/>
          <w:cols w:equalWidth="0" w:num="1">
            <w:col w:w="11140"/>
          </w:cols>
          <w:pgMar w:left="340" w:top="1440" w:right="419" w:bottom="1440" w:gutter="0" w:footer="0" w:header="0"/>
        </w:sectPr>
      </w:pPr>
    </w:p>
    <w:bookmarkStart w:id="82" w:name="page83"/>
    <w:bookmarkEnd w:id="8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8.5.  Electronic Delivery of Certain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8.6.  Public/Private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8.7.  USA Patriot Act Notice; Compliance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4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Article IX. Negative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41"/>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9.1.  Financial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9.2.  Liens; Negative Pledge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9.3.  Merger, Consolidation, Sales of Assets and Other Arrangements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9.4.  Plans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9.5.  Fiscal Year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9.6.  Modifications of Organizational Documents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9.7.  Restrictions on Activities of SL Green Management Corp.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9.8.  Transactions with Affiliates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9.9.  Derivatives Contracts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9.10.  Outbound Investment Status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4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Article X.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41"/>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10.1.  Events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10.2.  Remedies Upon Event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10.3.  Remedies Upon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10.4.  Marshaling; Payments Set Aside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10.5.  Allocation of Proceeds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10.6.  [Reserved]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10.7.  Performance by Administrative Agent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567"/>
        </w:trPr>
        <w:tc>
          <w:tcPr>
            <w:tcW w:w="900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 ii -</w:t>
            </w:r>
          </w:p>
        </w:tc>
        <w:tc>
          <w:tcPr>
            <w:tcW w:w="2140" w:type="dxa"/>
            <w:vAlign w:val="bottom"/>
          </w:tcPr>
          <w:p>
            <w:pPr>
              <w:spacing w:after="0"/>
              <w:rPr>
                <w:sz w:val="24"/>
                <w:szCs w:val="24"/>
                <w:color w:val="auto"/>
              </w:rPr>
            </w:pPr>
          </w:p>
        </w:tc>
      </w:tr>
      <w:tr>
        <w:trPr>
          <w:trHeight w:val="77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10.8.  Rights Cumulative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45"/>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Article XI. The Administrative Agent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41"/>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11.1.  Appointment and Authorization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11.2.  Wells Fargo as Lender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11.3.  Approvals of Lenders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11.4.  Notice of Events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11.5.  Administrative Agent’s Reliance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11.6.  Indemnification of Administrative Agent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11.7.  Lender Credit Decision, Etc.</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11.8.  Successor Administrative Agent and Successor Sustainability Structuring Agent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11.9.  Titled Agents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11.10.  Specified Derivatives Contracts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11.11.  Erroneous Payments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11.12.  Sustainability Structuring Agent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ectPr>
          <w:pgSz w:w="11900" w:h="16838" w:orient="portrait"/>
          <w:cols w:equalWidth="0" w:num="1">
            <w:col w:w="11140"/>
          </w:cols>
          <w:pgMar w:left="340" w:top="1440" w:right="419" w:bottom="1440" w:gutter="0" w:footer="0" w:header="0"/>
        </w:sectPr>
      </w:pPr>
    </w:p>
    <w:bookmarkStart w:id="83" w:name="page84"/>
    <w:bookmarkEnd w:id="83"/>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8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41"/>
        </w:trPr>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12.1.  Notices</w:t>
            </w:r>
          </w:p>
        </w:tc>
        <w:tc>
          <w:tcPr>
            <w:tcW w:w="8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12.2.  Expenses</w:t>
            </w:r>
          </w:p>
        </w:tc>
        <w:tc>
          <w:tcPr>
            <w:tcW w:w="8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12.3.  Setoff</w:t>
            </w:r>
          </w:p>
        </w:tc>
        <w:tc>
          <w:tcPr>
            <w:tcW w:w="8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12.4.  Litigation; Jurisdiction; Other Matters; Waivers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12.5.  Successors and Assigns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12.6.  Amendments and Waivers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12.7.  Nonliability of Administrative Agent, Sustainability Structuring Agent and Lenders; No Advisory or Fiduciary Responsibility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12.8.  Confidentiality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12.9.  Indemnification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12.10.  Termination; Survival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12.11.  Severability of Provisions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12.12.  GOVERNING LAW</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12.13.  Counterparts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12.14.  Obligations with Respect to Loan Parties and Subsidiaries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12.15.  Independence of 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12.16.  Limitation of Liability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12.17.  Entire Agreement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12.18.  Construction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12.19.  Headings</w:t>
            </w:r>
          </w:p>
        </w:tc>
        <w:tc>
          <w:tcPr>
            <w:tcW w:w="8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12.20.  New York Mortgage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12.21.  [Reserved]</w:t>
            </w:r>
          </w:p>
        </w:tc>
        <w:tc>
          <w:tcPr>
            <w:tcW w:w="8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12.22.  Acknowledgement and Consent to Bail-In of Affected Financial Institutions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12.23.  Acknowledgement Regarding Any Supported QFCs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567"/>
        </w:trPr>
        <w:tc>
          <w:tcPr>
            <w:tcW w:w="2200" w:type="dxa"/>
            <w:vAlign w:val="bottom"/>
          </w:tcPr>
          <w:p>
            <w:pPr>
              <w:spacing w:after="0"/>
              <w:rPr>
                <w:sz w:val="24"/>
                <w:szCs w:val="24"/>
                <w:color w:val="auto"/>
              </w:rPr>
            </w:pPr>
          </w:p>
        </w:tc>
        <w:tc>
          <w:tcPr>
            <w:tcW w:w="84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 iii -</w:t>
            </w:r>
          </w:p>
        </w:tc>
        <w:tc>
          <w:tcPr>
            <w:tcW w:w="540" w:type="dxa"/>
            <w:vAlign w:val="bottom"/>
          </w:tcPr>
          <w:p>
            <w:pPr>
              <w:spacing w:after="0"/>
              <w:rPr>
                <w:sz w:val="24"/>
                <w:szCs w:val="24"/>
                <w:color w:val="auto"/>
              </w:rPr>
            </w:pPr>
          </w:p>
        </w:tc>
      </w:tr>
      <w:tr>
        <w:trPr>
          <w:trHeight w:val="76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Commitments</w:t>
            </w:r>
          </w:p>
        </w:tc>
        <w:tc>
          <w:tcPr>
            <w:tcW w:w="54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SCHEDULE 1.1</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York Mortgages</w:t>
            </w:r>
          </w:p>
        </w:tc>
        <w:tc>
          <w:tcPr>
            <w:tcW w:w="540" w:type="dxa"/>
            <w:vAlign w:val="bottom"/>
          </w:tcPr>
          <w:p>
            <w:pPr>
              <w:spacing w:after="0"/>
              <w:rPr>
                <w:sz w:val="19"/>
                <w:szCs w:val="19"/>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SCHEDULE 6.1.(b)</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Structure</w:t>
            </w:r>
          </w:p>
        </w:tc>
        <w:tc>
          <w:tcPr>
            <w:tcW w:w="5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SCHEDULE 6.1.(f)</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5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SCHEDULE 6.1.(g)</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Indebtedness</w:t>
            </w:r>
          </w:p>
        </w:tc>
        <w:tc>
          <w:tcPr>
            <w:tcW w:w="5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SCHEDULE 6.1.(i)</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540" w:type="dxa"/>
            <w:vAlign w:val="bottom"/>
          </w:tcPr>
          <w:p>
            <w:pPr>
              <w:spacing w:after="0"/>
              <w:rPr>
                <w:sz w:val="19"/>
                <w:szCs w:val="19"/>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SCHEDULE 6.1.(r)</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Affiliate Transactions</w:t>
            </w:r>
          </w:p>
        </w:tc>
        <w:tc>
          <w:tcPr>
            <w:tcW w:w="540" w:type="dxa"/>
            <w:vAlign w:val="bottom"/>
          </w:tcPr>
          <w:p>
            <w:pPr>
              <w:spacing w:after="0"/>
              <w:rPr>
                <w:sz w:val="19"/>
                <w:szCs w:val="19"/>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SCHEDULE 6.1.(z)</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Eligible Properties, Fund Investments and Structured Finance Investments</w:t>
            </w:r>
          </w:p>
        </w:tc>
        <w:tc>
          <w:tcPr>
            <w:tcW w:w="540" w:type="dxa"/>
            <w:vAlign w:val="bottom"/>
          </w:tcPr>
          <w:p>
            <w:pPr>
              <w:spacing w:after="0"/>
              <w:rPr>
                <w:sz w:val="20"/>
                <w:szCs w:val="20"/>
                <w:color w:val="auto"/>
              </w:rPr>
            </w:pPr>
          </w:p>
        </w:tc>
      </w:tr>
      <w:tr>
        <w:trPr>
          <w:trHeight w:val="562"/>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Assignment and Assumption Agreement</w:t>
            </w:r>
          </w:p>
        </w:tc>
        <w:tc>
          <w:tcPr>
            <w:tcW w:w="54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540" w:type="dxa"/>
            <w:vAlign w:val="bottom"/>
          </w:tcPr>
          <w:p>
            <w:pPr>
              <w:spacing w:after="0"/>
              <w:rPr>
                <w:sz w:val="19"/>
                <w:szCs w:val="19"/>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5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540" w:type="dxa"/>
            <w:vAlign w:val="bottom"/>
          </w:tcPr>
          <w:p>
            <w:pPr>
              <w:spacing w:after="0"/>
              <w:rPr>
                <w:sz w:val="19"/>
                <w:szCs w:val="19"/>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Notice of Continuation</w:t>
            </w:r>
          </w:p>
        </w:tc>
        <w:tc>
          <w:tcPr>
            <w:tcW w:w="540" w:type="dxa"/>
            <w:vAlign w:val="bottom"/>
          </w:tcPr>
          <w:p>
            <w:pPr>
              <w:spacing w:after="0"/>
              <w:rPr>
                <w:sz w:val="20"/>
                <w:szCs w:val="20"/>
                <w:color w:val="auto"/>
              </w:rPr>
            </w:pPr>
          </w:p>
        </w:tc>
      </w:tr>
    </w:tbl>
    <w:p>
      <w:pPr>
        <w:sectPr>
          <w:pgSz w:w="11900" w:h="16838" w:orient="portrait"/>
          <w:cols w:equalWidth="0" w:num="1">
            <w:col w:w="11140"/>
          </w:cols>
          <w:pgMar w:left="340" w:top="1440" w:right="419" w:bottom="1440" w:gutter="0" w:footer="0" w:header="0"/>
        </w:sectPr>
      </w:pPr>
    </w:p>
    <w:bookmarkStart w:id="84" w:name="page85"/>
    <w:bookmarkEnd w:id="84"/>
    <w:p>
      <w:pPr>
        <w:spacing w:after="0" w:line="18" w:lineRule="exact"/>
        <w:rPr>
          <w:sz w:val="20"/>
          <w:szCs w:val="20"/>
          <w:color w:val="auto"/>
        </w:rPr>
      </w:pPr>
    </w:p>
    <w:p>
      <w:pPr>
        <w:ind w:left="20"/>
        <w:spacing w:after="0" w:line="285" w:lineRule="auto"/>
        <w:rPr>
          <w:sz w:val="20"/>
          <w:szCs w:val="20"/>
          <w:color w:val="auto"/>
        </w:rPr>
      </w:pPr>
      <w:r>
        <w:rPr>
          <w:rFonts w:ascii="Times New Roman" w:cs="Times New Roman" w:eastAsia="Times New Roman" w:hAnsi="Times New Roman"/>
          <w:sz w:val="17"/>
          <w:szCs w:val="17"/>
          <w:color w:val="auto"/>
        </w:rPr>
        <w:t>EXHIBIT F EXHIBIT G EXHIBIT H EXHIBIT I EXHIBIT J EXHIBIT K EXHIBIT L EXHIBIT M EXHIBIT N EXHIBIT O EXHIBIT P EXHIBIT Q EXHIBIT R EXHIBIT S EXHIBITS T-1 – 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Opinion of Counsel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Disbursement Instruction Agreement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of U.S. Tax Compliance Certificates</w:t>
      </w:r>
    </w:p>
    <w:p>
      <w:pPr>
        <w:spacing w:after="0" w:line="200" w:lineRule="exact"/>
        <w:rPr>
          <w:sz w:val="20"/>
          <w:szCs w:val="20"/>
          <w:color w:val="auto"/>
        </w:rPr>
      </w:pPr>
    </w:p>
    <w:p>
      <w:pPr>
        <w:sectPr>
          <w:pgSz w:w="11900" w:h="16838" w:orient="portrait"/>
          <w:cols w:equalWidth="0" w:num="2">
            <w:col w:w="1560" w:space="700"/>
            <w:col w:w="8980"/>
          </w:cols>
          <w:pgMar w:left="320" w:top="1440" w:right="339" w:bottom="1440" w:gutter="0" w:footer="0" w:header="0"/>
        </w:sectPr>
      </w:pP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 iv -</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TERM LOAN AGREEMENT (this “Agreement”) dated as of March 18, 2026 by and among SL GREEN REALTY CORP., a corporation formed under the laws of the State of Maryland (the “Parent”) and SL GREEN OPERATING PARTNERSHIP, L.P., a limited partnership formed under the laws of the State of Delaware (“SLGOP”; together with the Parent, each individually a “Borrower” and collectively, the “Borrowers”), each of the financial institutions initially a signatory hereto together with their successors and assignees under Section 12.5. (the “Lenders”), WELLS FARGO BANK, NATIONAL ASSOCIATION, as Administrative Agent (the “Administrative Agent”), with WELLS FARGO SECURITIES, LLC, JPMORGAN CHASE BANK, N.A., TD SECURITIES (USA) INC., BOFA SECURITIES, INC., BMO CAPITAL MARKETS CORP., and MANUFACTURERS AND TRADERS TRUST COMPANY, as Joint Lead Arrangers (the “Lead Arrangers”), WELLS FARGO SECURITIES, LLC, JPMORGAN CHASE BANK, N.A., TD SECURITIES (USA) INC., and BOFA SECURITIES, INC., as Joint Bookrunners (the “Bookrunners”), JPMORGAN CHASE BANK, N.A., as Syndication Agent (the “Syndication Agent”) and TD BANK, N.A., BANK OF AMERICA, N.A., BANK OF MONTREAL and MANUFACTURERS AND TRADERS TRUST COMPANY, as co-Documentation Agents (the “Documentation Agents”).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Administrative Agent and the Lenders desire to make available to the Borrowers a term loan facility in the aggregate principal amount of $750,000,000, on the terms and conditions contained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parties hereto,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terms defined elsewhere herein, the following terms shall have the following meanings for the purposes of this Agreement:</w:t>
      </w:r>
    </w:p>
    <w:p>
      <w:pPr>
        <w:spacing w:after="0" w:line="22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1031 Property</w:t>
      </w:r>
      <w:r>
        <w:rPr>
          <w:rFonts w:ascii="Times New Roman" w:cs="Times New Roman" w:eastAsia="Times New Roman" w:hAnsi="Times New Roman"/>
          <w:sz w:val="18"/>
          <w:szCs w:val="18"/>
          <w:color w:val="auto"/>
        </w:rPr>
        <w:t>” means property held by a “qualified intermediary” (a “QI”), as defined in the Treasury Regulations promulgated pursuant to Section 1031 of the Internal Revenue Code, or an “exchange accommodation titleholder” (an “EAT”), as defined in Internal Revenue Service Revenue Procedure 2000-37, as modified by Internal Revenue Procedure 2004-51, (or in either case, by one or more Wholly Owned Subsidiaries thereof, singly</w:t>
      </w:r>
    </w:p>
    <w:p>
      <w:pPr>
        <w:sectPr>
          <w:pgSz w:w="11900" w:h="16838" w:orient="portrait"/>
          <w:cols w:equalWidth="0" w:num="1">
            <w:col w:w="11240"/>
          </w:cols>
          <w:pgMar w:left="320" w:top="1440" w:right="339" w:bottom="1440" w:gutter="0" w:footer="0" w:header="0"/>
          <w:type w:val="continuous"/>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or as tenants in common) which is a single purpose entity and has entered into an “exchange agreement” or a “qualified exchange accommodation agreement” with a Borrower or a Wholly Owned Subsidiary in connection with the acquisition (or possible disposition) of such property by a Borrower or a Wholly Owned Subsidiary pursuant to, and qualifying for tax treatment under, Section 1031 of the Internal Revenue Code.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Costs</w:t>
      </w:r>
      <w:r>
        <w:rPr>
          <w:rFonts w:ascii="Times New Roman" w:cs="Times New Roman" w:eastAsia="Times New Roman" w:hAnsi="Times New Roman"/>
          <w:sz w:val="18"/>
          <w:szCs w:val="18"/>
          <w:color w:val="auto"/>
        </w:rPr>
        <w:t>” has the meaning given that term in Section 4.1.(b).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Loans</w:t>
      </w:r>
      <w:r>
        <w:rPr>
          <w:rFonts w:ascii="Times New Roman" w:cs="Times New Roman" w:eastAsia="Times New Roman" w:hAnsi="Times New Roman"/>
          <w:sz w:val="18"/>
          <w:szCs w:val="18"/>
          <w:color w:val="auto"/>
        </w:rPr>
        <w:t>” has the meaning given that term in Section 2.19.</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with respect to a Person for any given period, the EBITDA of such Person and its Subsidiaries determined on a consolidated basis for such period adjusted to remove any impact from straight line rent leveling adjustments required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Wells Fargo Bank, National Association, as contractual representative of the Lenders under this Agreement, or any successor Administrative Agent appointed pursuant to Section 11.8.</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the Administrative Questionnaire completed by each Lender and delivered to the Administrative Agent in a form supplied by the Administrative Agent to the Lenders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has the meaning given that term in Section 4.6.</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given that term in the introductory paragraph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means the date as of which this Agreement is dated.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Annualization Period</w:t>
      </w:r>
      <w:r>
        <w:rPr>
          <w:rFonts w:ascii="Times New Roman" w:cs="Times New Roman" w:eastAsia="Times New Roman" w:hAnsi="Times New Roman"/>
          <w:sz w:val="18"/>
          <w:szCs w:val="18"/>
          <w:color w:val="auto"/>
        </w:rPr>
        <w:t>” means the period of three fiscal quarters of the Parent immediately following (a) in the case of a Newly-Acquired Property, the period of six fiscal quarters commencing with the fiscal quarter in which such Newly-Acquired Property was acquired, and (b) in the case of a Transition Asset, the last day of the fiscal quarter in which such Property ceased to be a Transition Asset</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Annualized</w:t>
      </w:r>
      <w:r>
        <w:rPr>
          <w:rFonts w:ascii="Times New Roman" w:cs="Times New Roman" w:eastAsia="Times New Roman" w:hAnsi="Times New Roman"/>
          <w:sz w:val="18"/>
          <w:szCs w:val="18"/>
          <w:color w:val="auto"/>
        </w:rPr>
        <w:t xml:space="preserve">” means, with respect to a Newly-Acquired Property or a Transition Asset, (a) for the first fiscal quarter immediately following the Annualization Period for such Property, Unencumbered Adjusted NOI or EBITDA, as applicable, for such Property for such fiscal quarter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4,</w:t>
      </w:r>
    </w:p>
    <w:p>
      <w:pPr>
        <w:spacing w:after="0" w:line="1" w:lineRule="exact"/>
        <w:rPr>
          <w:sz w:val="20"/>
          <w:szCs w:val="20"/>
          <w:color w:val="auto"/>
        </w:rPr>
      </w:pPr>
    </w:p>
    <w:p>
      <w:pPr>
        <w:jc w:val="both"/>
        <w:ind w:firstLine="8"/>
        <w:spacing w:after="0" w:line="253" w:lineRule="auto"/>
        <w:tabs>
          <w:tab w:leader="none" w:pos="2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second fiscal quarter immediately following such Annualization Period, the sum of Unencumbered Adjusted NOI or EBITDA, as applicable, for such Property for such fiscal quarter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fiscal quarter immediately preceding such fiscal quarter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2 and (c) for the third fiscal quarter immediately following such Annualization Period, the sum of Unencumbered Adjusted NOI or EBITDA, as applicable, for such Property for such fiscal quarter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two fiscal quarters immediately preceding such fiscal quarter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4/3rds.</w:t>
      </w:r>
    </w:p>
    <w:p>
      <w:pPr>
        <w:spacing w:after="0" w:line="18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Applicable Laws of any jurisdiction concerning or relating to bribery or corruption, including without limitation, the Foreign Corrupt Practices Act of 1977.</w:t>
      </w:r>
    </w:p>
    <w:p>
      <w:pPr>
        <w:sectPr>
          <w:pgSz w:w="11900" w:h="16838" w:orient="portrait"/>
          <w:cols w:equalWidth="0" w:num="1">
            <w:col w:w="11240"/>
          </w:cols>
          <w:pgMar w:left="320" w:top="1417" w:right="339" w:bottom="1440" w:gutter="0" w:footer="0" w:header="0"/>
        </w:sectPr>
      </w:pPr>
    </w:p>
    <w:bookmarkStart w:id="86" w:name="page87"/>
    <w:bookmarkEnd w:id="8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means any and all Applicable Laws related to the financing of terrorism or money laundering, including without limitation, any applicable provision of the Patriot Act and The Currency and Foreign Transactions Reporting Act (also known as the “Bank Secrecy Act,” 31 U.S.C. §§ 5311-5330 and 12 U.S.C. §§ 1818(s), 1820(b) and 1951-1959).</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the percentage rate set forth in the table below corresponding to the level (each a “Level”) into which the Parent’s Credit Rating (or if the Parent shall cease to have a Credit Rating but one of the other Borrowers shall have a Credit Rating, then such other Borrower (the Parent or such other Borrower, as applicable, being referred to as the “Rated Borrower”)) then falls. As of the Agreement Date, the Applicable Margins are determined based on Level 3 in the table set forth below. Any change in the applicable Credit Ratings which would cause the Applicable Margins to move to a different Level shall be effective as of the effective date of the change in the Rated Borrower’s Credit Rating. The Rated Borrower shall have not less than two Credit Ratings at all times, one of which shall be from S&amp;P or Moody’s. In the event that the Rated Borrower receives only two Credit Ratings, and such Credit Ratings are not equivalent, the Applicable Margin shall be the higher of the two Credit Ratings. In the event that Rated Borrower receives more than two Credit Ratings, and such Credit Ratings are not all equivalent, the Applicable Margin shall be (A) if the difference between the highest and the lowest such Credit Ratings is one ratings category (e.g. Baa2 by Moody’s and BBB- by S&amp;P or Fitch), the Applicable Margin shall be the rate per annum that would be applicable if the highest of the Credit Ratings were used; and (B) if the difference between the highest and the lowest such Credit Ratings is two ratings categories (e.g. Baa2 by Moody’s and Ba1 by S&amp;P or Fitch) or more, the Applicable Margin shall be the rate per annum that would be applicable if the average of the two highest Credit Ratings were used, provided that if such average is not a recognized rating category (i.e., the difference between the Credit Ratings is an even number of ratings categories), then the Applicable Margin shall be based on the lower of the two highest Credit Ratings. During any period in which the Rated Borrower does not have at least two Credit Ratings or at least one Credit Rating is not from S&amp;P or Moody’s, the Applicable Margins shall be determined based on Level 6 in the table set forth below.</w:t>
      </w:r>
    </w:p>
    <w:p>
      <w:pPr>
        <w:spacing w:after="0" w:line="212" w:lineRule="exact"/>
        <w:rPr>
          <w:sz w:val="20"/>
          <w:szCs w:val="20"/>
          <w:color w:val="auto"/>
        </w:rPr>
      </w:pPr>
    </w:p>
    <w:tbl>
      <w:tblPr>
        <w:tblLayout w:type="fixed"/>
        <w:tblInd w:w="650" w:type="dxa"/>
        <w:tblCellMar>
          <w:top w:w="0" w:type="dxa"/>
          <w:left w:w="0" w:type="dxa"/>
          <w:bottom w:w="0" w:type="dxa"/>
          <w:right w:w="0" w:type="dxa"/>
        </w:tblCellMar>
      </w:tblPr>
      <w:tr>
        <w:trPr>
          <w:trHeight w:val="257"/>
        </w:trPr>
        <w:tc>
          <w:tcPr>
            <w:tcW w:w="9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360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Rated Borrower’s Credit Rating</w:t>
            </w:r>
          </w:p>
        </w:tc>
        <w:tc>
          <w:tcPr>
            <w:tcW w:w="216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vMerge w:val="continue"/>
          </w:tcPr>
          <w:p>
            <w:pPr>
              <w:spacing w:after="0"/>
              <w:rPr>
                <w:sz w:val="15"/>
                <w:szCs w:val="15"/>
                <w:color w:val="auto"/>
              </w:rPr>
            </w:pPr>
          </w:p>
        </w:tc>
        <w:tc>
          <w:tcPr>
            <w:tcW w:w="3600" w:type="dxa"/>
            <w:vAlign w:val="bottom"/>
            <w:tcBorders>
              <w:right w:val="single" w:sz="8" w:color="auto"/>
            </w:tcBorders>
          </w:tcPr>
          <w:p>
            <w:pPr>
              <w:ind w:left="660"/>
              <w:spacing w:after="0" w:line="176" w:lineRule="exact"/>
              <w:rPr>
                <w:sz w:val="20"/>
                <w:szCs w:val="20"/>
                <w:color w:val="auto"/>
              </w:rPr>
            </w:pPr>
            <w:r>
              <w:rPr>
                <w:rFonts w:ascii="Times New Roman" w:cs="Times New Roman" w:eastAsia="Times New Roman" w:hAnsi="Times New Roman"/>
                <w:sz w:val="18"/>
                <w:szCs w:val="18"/>
                <w:b w:val="1"/>
                <w:bCs w:val="1"/>
                <w:color w:val="auto"/>
              </w:rPr>
              <w:t>(S&amp;P/Moody’s or equivalent)</w:t>
            </w:r>
          </w:p>
        </w:tc>
        <w:tc>
          <w:tcPr>
            <w:tcW w:w="21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for Loans that are</w:t>
            </w:r>
          </w:p>
        </w:tc>
        <w:tc>
          <w:tcPr>
            <w:tcW w:w="23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 Loans that are</w:t>
            </w:r>
          </w:p>
        </w:tc>
        <w:tc>
          <w:tcPr>
            <w:tcW w:w="0" w:type="dxa"/>
            <w:vAlign w:val="bottom"/>
          </w:tcPr>
          <w:p>
            <w:pPr>
              <w:spacing w:after="0"/>
              <w:rPr>
                <w:sz w:val="1"/>
                <w:szCs w:val="1"/>
                <w:color w:val="auto"/>
              </w:rPr>
            </w:pPr>
          </w:p>
        </w:tc>
      </w:tr>
      <w:tr>
        <w:trPr>
          <w:trHeight w:val="270"/>
        </w:trPr>
        <w:tc>
          <w:tcPr>
            <w:tcW w:w="920" w:type="dxa"/>
            <w:vAlign w:val="bottom"/>
            <w:tcBorders>
              <w:left w:val="single" w:sz="8" w:color="auto"/>
              <w:right w:val="single" w:sz="8" w:color="auto"/>
            </w:tcBorders>
          </w:tcPr>
          <w:p>
            <w:pPr>
              <w:spacing w:after="0"/>
              <w:rPr>
                <w:sz w:val="23"/>
                <w:szCs w:val="23"/>
                <w:color w:val="auto"/>
              </w:rPr>
            </w:pPr>
          </w:p>
        </w:tc>
        <w:tc>
          <w:tcPr>
            <w:tcW w:w="360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SOFR Loans</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BBB/Baa2 (or equivalent) or better</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0.95%</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23"/>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BBB-/Baa3 (or equivalent)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0" w:type="dxa"/>
            <w:vAlign w:val="bottom"/>
          </w:tcPr>
          <w:p>
            <w:pPr>
              <w:spacing w:after="0"/>
              <w:rPr>
                <w:sz w:val="1"/>
                <w:szCs w:val="1"/>
                <w:color w:val="auto"/>
              </w:rPr>
            </w:pPr>
          </w:p>
        </w:tc>
      </w:tr>
      <w:tr>
        <w:trPr>
          <w:trHeight w:val="223"/>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BB+/Ba1 (or equivalent)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0.45%</w:t>
            </w:r>
          </w:p>
        </w:tc>
        <w:tc>
          <w:tcPr>
            <w:tcW w:w="0" w:type="dxa"/>
            <w:vAlign w:val="bottom"/>
          </w:tcPr>
          <w:p>
            <w:pPr>
              <w:spacing w:after="0"/>
              <w:rPr>
                <w:sz w:val="1"/>
                <w:szCs w:val="1"/>
                <w:color w:val="auto"/>
              </w:rPr>
            </w:pPr>
          </w:p>
        </w:tc>
      </w:tr>
      <w:tr>
        <w:trPr>
          <w:trHeight w:val="223"/>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BB/Ba2 (or equivalent)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0.70%</w:t>
            </w:r>
          </w:p>
        </w:tc>
        <w:tc>
          <w:tcPr>
            <w:tcW w:w="0" w:type="dxa"/>
            <w:vAlign w:val="bottom"/>
          </w:tcPr>
          <w:p>
            <w:pPr>
              <w:spacing w:after="0"/>
              <w:rPr>
                <w:sz w:val="1"/>
                <w:szCs w:val="1"/>
                <w:color w:val="auto"/>
              </w:rPr>
            </w:pPr>
          </w:p>
        </w:tc>
      </w:tr>
      <w:tr>
        <w:trPr>
          <w:trHeight w:val="223"/>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BB-/Ba3 (or equivalent)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1.95%</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0.95%</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B+/B1 or lower</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any entity that administers or manages a Lender.</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means the Persons identified as such in the introductory paragraph hereof and shall include each such Person’s successors and permitted assigns.</w:t>
      </w:r>
    </w:p>
    <w:p>
      <w:pPr>
        <w:sectPr>
          <w:pgSz w:w="11900" w:h="16838" w:orient="portrait"/>
          <w:cols w:equalWidth="0" w:num="1">
            <w:col w:w="11240"/>
          </w:cols>
          <w:pgMar w:left="320" w:top="1413" w:right="339" w:bottom="1440" w:gutter="0" w:footer="0" w:header="0"/>
        </w:sectPr>
      </w:pPr>
    </w:p>
    <w:bookmarkStart w:id="87" w:name="page88"/>
    <w:bookmarkEnd w:id="87"/>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means an Assignment and Assumption Agreement among a Lender, an Eligible Assignee and the Administrative Agent, substantially in the form of Exhibit A.</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4.2(b)(iv).</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Avoidance Provisions</w:t>
      </w:r>
      <w:r>
        <w:rPr>
          <w:rFonts w:ascii="Times New Roman" w:cs="Times New Roman" w:eastAsia="Times New Roman" w:hAnsi="Times New Roman"/>
          <w:sz w:val="18"/>
          <w:szCs w:val="18"/>
          <w:color w:val="auto"/>
        </w:rPr>
        <w:t>” has the meaning given that term in Section 2.16.(d).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the Bankruptcy Code of 1978.</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at any time, the highest of (a) the Prime Rate, (b) the Federal Funds Rate plus 0.50% and (c) Daily Simple SOFR in effect on such day plus 1.00%; each change in the Base Rate shall take effect simultaneously with the corresponding change or changes in the Prime Rate, the Federal Funds Rate or Daily Simple SOFR, as applicable (provided that clause (c) shall not be applicable during any period in which Daily Simple SOFR is unavailable or unascertainable). Notwithstanding the foregoing, in no event shall the Base Rate be less than 1.00%.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 Loan (or any portion thereof) bearing interest at a rate based on the Base Rate.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Daily Simple SOFR or the Term SOFR Reference Rate; provided that if a Benchmark Transition Event has occurred with respect to Daily Simple SOFR or the Term SOFR Reference Rate or the then-current Benchmark, then “Benchmark” means the applicable Benchmark Replacement to the extent that such Benchmark Replacement has replaced such prior benchmark rate pursuant to Section 4.2(b)(i).</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ectPr>
          <w:pgSz w:w="11900" w:h="16838" w:orient="portrait"/>
          <w:cols w:equalWidth="0" w:num="1">
            <w:col w:w="11240"/>
          </w:cols>
          <w:pgMar w:left="320" w:top="1440" w:right="339" w:bottom="1440" w:gutter="0" w:footer="0" w:header="0"/>
        </w:sectPr>
      </w:pPr>
    </w:p>
    <w:bookmarkStart w:id="88" w:name="page89"/>
    <w:bookmarkEnd w:id="8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w:t>
      </w:r>
    </w:p>
    <w:p>
      <w:pPr>
        <w:sectPr>
          <w:pgSz w:w="11900" w:h="16838" w:orient="portrait"/>
          <w:cols w:equalWidth="0" w:num="1">
            <w:col w:w="11240"/>
          </w:cols>
          <w:pgMar w:left="320" w:top="1413" w:right="339" w:bottom="1440" w:gutter="0" w:footer="0" w:header="0"/>
        </w:sectPr>
      </w:pPr>
    </w:p>
    <w:bookmarkStart w:id="89" w:name="page90"/>
    <w:bookmarkEnd w:id="89"/>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33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the period (if any) (x) beginning at the time that a Benchmark Replacement Date has occurred if, at such time, no Benchmark Replacement has replaced the then-current Benchmark for all purposes hereunder and under any Loan Document in accordance with Section 4.2(b)(i) and (y) ending at the time that a Benchmark Replacement has replaced the then-current Benchmark for all purposes hereunder and under any Loan Document in accordance with Section 4.2(b)(i).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Arrangement</w:t>
      </w:r>
      <w:r>
        <w:rPr>
          <w:rFonts w:ascii="Times New Roman" w:cs="Times New Roman" w:eastAsia="Times New Roman" w:hAnsi="Times New Roman"/>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Bookrunner</w:t>
      </w:r>
      <w:r>
        <w:rPr>
          <w:rFonts w:ascii="Times New Roman" w:cs="Times New Roman" w:eastAsia="Times New Roman" w:hAnsi="Times New Roman"/>
          <w:sz w:val="18"/>
          <w:szCs w:val="18"/>
          <w:color w:val="auto"/>
        </w:rPr>
        <w:t>” means each Person identified as such in the introductory paragraph hereof and shall include each such Person’s successor and permitted assigns.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 hereof and shall include each Borrower’s successors and permitted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has the meaning given that term in Section 2.17.</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legal holiday) on which banks in San Francisco, California and New York, New York, are open for the conduct of their commercial banking business. Unless specifically referenced in this Agreement as a Business Day, all references to “days” shall be to calendar days.</w:t>
      </w:r>
    </w:p>
    <w:p>
      <w:pPr>
        <w:sectPr>
          <w:pgSz w:w="11900" w:h="16838" w:orient="portrait"/>
          <w:cols w:equalWidth="0" w:num="1">
            <w:col w:w="11240"/>
          </w:cols>
          <w:pgMar w:left="320" w:top="1417" w:right="339" w:bottom="1440" w:gutter="0" w:footer="0" w:header="0"/>
        </w:sectPr>
      </w:pPr>
    </w:p>
    <w:bookmarkStart w:id="90" w:name="page91"/>
    <w:bookmarkEnd w:id="90"/>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Rate</w:t>
      </w:r>
      <w:r>
        <w:rPr>
          <w:rFonts w:ascii="Times New Roman" w:cs="Times New Roman" w:eastAsia="Times New Roman" w:hAnsi="Times New Roman"/>
          <w:sz w:val="18"/>
          <w:szCs w:val="18"/>
          <w:color w:val="auto"/>
        </w:rPr>
        <w:t>” means 6.0%.</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- 6 -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obligations under a lease that are required to be in accordance with GAAP recorded on both the balance sheet and income statement as a “finance lease” (as defined in Accounting Standard Codification 842 and any successor pronouncements (“ASC 842”)); provided that, in no event shall any obligations under a “straight-line” lease or any lease that would be categorized as an “operating lease” in accordance with ASC 842 be considered Capitalized Lease Obligations.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 securities issued, guaranteed or insured by the United States of America or any of its agencies with maturities of not more than one year from the date acquired; (b) marketable direct obligations issued by any state of the United States of America or any political subdivision of any such state or any public instrumentality thereof with maturities of not more than one year from the date acquired, so long as such obligations have one of the two highest ratings obtainable from any two of S&amp;P, Moody’s or Fitch; (c)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(d) reverse repurchase agreements with terms of not more than seven days from the date acquired, for securities of the type described in clause</w:t>
      </w:r>
    </w:p>
    <w:p>
      <w:pPr>
        <w:spacing w:after="0" w:line="3" w:lineRule="exact"/>
        <w:rPr>
          <w:sz w:val="20"/>
          <w:szCs w:val="20"/>
          <w:color w:val="auto"/>
        </w:rPr>
      </w:pPr>
    </w:p>
    <w:p>
      <w:pPr>
        <w:jc w:val="both"/>
        <w:ind w:firstLine="8"/>
        <w:spacing w:after="0" w:line="253"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entered into only with commercial banks having the qualifications described in clause (c) above; (e)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(f) investments in money market funds registered under the Investment Company Act of 1940, as amended, which have net assets of at least $500,000,000 and substantially all of whose assets consist of securities and other obligations of the type described in clauses (a) through (e) above.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either of the following: (i) any person or group is or becomes the beneficial owner, directly or indirectly, of more than 50% of the total voting power of the then outstanding voting stock of the Parent; or (ii) during any period of 12 consecutive months, individuals who at the beginning of any such 12-month period constituted the Board of Directors of the Parent (together with any new directors whose election by such Board or whose nomination for election by the shareholders of the Parent was approved by a vote of a majority of the directors then still in office who were either directors at the beginning of such period or whose election or nomination for election was previously so approved) cease for any reason to constitute at least a majority of the Board of Directors of the Parent.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when used with respect to a Loan, refers to whether such Loan is a Closing Date Loan or an Extended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Loans</w:t>
      </w:r>
      <w:r>
        <w:rPr>
          <w:rFonts w:ascii="Times New Roman" w:cs="Times New Roman" w:eastAsia="Times New Roman" w:hAnsi="Times New Roman"/>
          <w:sz w:val="18"/>
          <w:szCs w:val="18"/>
          <w:color w:val="auto"/>
        </w:rPr>
        <w:t>” means an advance made by the Lenders on the Effective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as to each Lender, such Lender’s obligation to make Loans on the Effective Date in an amount up to, but not exceeding, the amount set forth for such Lender on Schedule I as such Lender’s “Commitment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has the meaning given that term in Section 8.3.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4.4.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 is reasonably necessary in connection with the administration of this Agreement and the other Loan Documents).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Continuation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Continued</w:t>
      </w:r>
      <w:r>
        <w:rPr>
          <w:rFonts w:ascii="Times New Roman" w:cs="Times New Roman" w:eastAsia="Times New Roman" w:hAnsi="Times New Roman"/>
          <w:sz w:val="18"/>
          <w:szCs w:val="18"/>
          <w:color w:val="auto"/>
        </w:rPr>
        <w:t>” each refers to the continuation of a SOFR Loan from one Interest Period to another Interest Period pursuant to Section 2.10.</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each refers to the conversion of a Loan of one Type into a Loan of another Type pursuant to Section 2.11.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Event</w:t>
      </w:r>
      <w:r>
        <w:rPr>
          <w:rFonts w:ascii="Times New Roman" w:cs="Times New Roman" w:eastAsia="Times New Roman" w:hAnsi="Times New Roman"/>
          <w:sz w:val="18"/>
          <w:szCs w:val="18"/>
          <w:color w:val="auto"/>
        </w:rPr>
        <w:t>” means the making (or deemed making) of a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Rating</w:t>
      </w:r>
      <w:r>
        <w:rPr>
          <w:rFonts w:ascii="Times New Roman" w:cs="Times New Roman" w:eastAsia="Times New Roman" w:hAnsi="Times New Roman"/>
          <w:sz w:val="18"/>
          <w:szCs w:val="18"/>
          <w:color w:val="auto"/>
        </w:rPr>
        <w:t>” means the rating assigned by a Rating Agency to the senior unsecured long term Indebtedness of a Person.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 (a “SOFR Rate Day”), a rate per annum equal to the greater of (a) SOFR for the day (such day, a “SOFR Determination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by 5:00 p.m. on the second (2nd) U.S. Government Securities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U.S. Government Securities Business Day for which such SOFR was published on the SOFR Administrator’s Website; provided further that SOFR as determined pursuant to this proviso shall be utilized for purposes of calculation of Daily Simple SOFR for no more than three (3) consecutive SOFR Rate Days and (b) the Floor. Any change in Daily Simple SOFR due to a change in SOFR shall be effective from and including the effective date of such change in SOFR without notice to the Borrower.</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 Loan</w:t>
      </w:r>
      <w:r>
        <w:rPr>
          <w:rFonts w:ascii="Times New Roman" w:cs="Times New Roman" w:eastAsia="Times New Roman" w:hAnsi="Times New Roman"/>
          <w:sz w:val="18"/>
          <w:szCs w:val="18"/>
          <w:color w:val="auto"/>
        </w:rPr>
        <w:t>” means any Loan bearing interest at a rate based on Daily Simple SOFR (other than the Daily Simple SOFR component of the definition of Base Rate).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of the events specified in Section 10.1., whether or not there has been satisfied any requirement for the giving of notice, the lapse of time, or both.</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subject to Section 3.9.(f), any Lender that (a) has failed to (i) fund all or any portion of its Loans within 2 Business Days of the date such Loans were required to be funded hereunder unless such Lender notifies the Administrative Agent and the Borrower Representative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2 Business Days of the date when due, (b) has notified the Borrower Representative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3 Business Days after written request by the Administrative Agent or the Borrower Representative, to confirm in writing to the Administrative Agent and the Borrower Representative that it will comply with its prospective funding obligations hereunder (provided that such Lender shall cease to be a Defaulting Lender pursuant to this clause (c) upon receipt of such written confirmation by the Administrative Agent and the Borrower Representative),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3.9.(f)) upon delivery of written notice of such determination to the Borrower Representative and each Lender.</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- 9 -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Contract</w:t>
      </w:r>
      <w:r>
        <w:rPr>
          <w:rFonts w:ascii="Times New Roman" w:cs="Times New Roman" w:eastAsia="Times New Roman" w:hAnsi="Times New Roman"/>
          <w:sz w:val="18"/>
          <w:szCs w:val="18"/>
          <w:color w:val="auto"/>
        </w:rPr>
        <w:t>” means (a) any transaction (including any master agreement, confirmation or other agreement with respect to any such transaction) now existing or hereafter entered into by any Borrower or any of its Subsidiaries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w:t>
      </w:r>
    </w:p>
    <w:p>
      <w:pPr>
        <w:sectPr>
          <w:pgSz w:w="11900" w:h="16838" w:orient="portrait"/>
          <w:cols w:equalWidth="0" w:num="1">
            <w:col w:w="11240"/>
          </w:cols>
          <w:pgMar w:left="320" w:top="1440" w:right="339" w:bottom="1440" w:gutter="0" w:footer="0" w:header="0"/>
        </w:sectPr>
      </w:pPr>
    </w:p>
    <w:bookmarkStart w:id="93" w:name="page94"/>
    <w:bookmarkEnd w:id="93"/>
    <w:p>
      <w:pPr>
        <w:jc w:val="both"/>
        <w:spacing w:after="0" w:line="256" w:lineRule="auto"/>
        <w:rPr>
          <w:sz w:val="20"/>
          <w:szCs w:val="20"/>
          <w:color w:val="auto"/>
        </w:rPr>
      </w:pPr>
      <w:r>
        <w:rPr>
          <w:rFonts w:ascii="Times New Roman" w:cs="Times New Roman" w:eastAsia="Times New Roman" w:hAnsi="Times New Roman"/>
          <w:sz w:val="18"/>
          <w:szCs w:val="18"/>
          <w:color w:val="auto"/>
        </w:rPr>
        <w:t>or sale of a security, commodity or other financial instrument or interest (including any option with respect to any of these transactions) or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and (b) any combination of these transactions.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Support Document</w:t>
      </w:r>
      <w:r>
        <w:rPr>
          <w:rFonts w:ascii="Times New Roman" w:cs="Times New Roman" w:eastAsia="Times New Roman" w:hAnsi="Times New Roman"/>
          <w:sz w:val="18"/>
          <w:szCs w:val="18"/>
          <w:color w:val="auto"/>
        </w:rPr>
        <w:t>”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Termination Value</w:t>
      </w:r>
      <w:r>
        <w:rPr>
          <w:rFonts w:ascii="Times New Roman" w:cs="Times New Roman" w:eastAsia="Times New Roman" w:hAnsi="Times New Roman"/>
          <w:sz w:val="18"/>
          <w:szCs w:val="18"/>
          <w:color w:val="auto"/>
        </w:rPr>
        <w:t>” means, in respect of any one or more Derivatives Contracts, after taking into account the effect of any legally enforceable netting agreement or provision relating thereto, (a) for any date on or after the date such Derivatives Contracts have been terminated or closed out, the termination amount or value determined in accordance therewith, and (b) for any date prior to the date such Derivatives Contracts have been terminated or closed out, the then-current mark-to-market value for such Derivatives Contracts, determined based upon one or more mid-market quotations or estimates provided by any recognized dealer in Derivatives Contracts (which may include the Administrative Agent, any Lender, any Specified Derivatives Provider or any Affiliate of any of them).</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Property</w:t>
      </w:r>
      <w:r>
        <w:rPr>
          <w:rFonts w:ascii="Times New Roman" w:cs="Times New Roman" w:eastAsia="Times New Roman" w:hAnsi="Times New Roman"/>
          <w:sz w:val="18"/>
          <w:szCs w:val="18"/>
          <w:color w:val="auto"/>
        </w:rPr>
        <w:t>” means a Property currently under development that has not achieved an Occupancy Rate of 85.0% or more or, subject to the last sentence of this definition, on which the improvements (other than tenant improvements on unoccupied space) related to the development of such Property have not been completed. The term “Development Property” shall include real property of the type described in the immediately preceding sentence that satisfies both of the following conditions: (i) it is to be (but has not yet been) acquired by a Borrower, any Subsidiary or any Unconsolidated Affiliate upon completion of construction pursuant to a contract in which the seller of such real property is required to develop or renovate prior to, and as a condition precedent to, such acquisition and (ii) a third party is developing such property using the proceeds of a loan that is Guaranteed by, or is otherwise recourse to a Borrower, any Subsidiary or any Unconsolidated Affiliate. A Development Property on which all improvements (other than tenant improvements on unoccupied space) related to the development of such Property have been completed for at least 12 months shall cease to constitute a Development Property notwithstanding the fact that such Property has not achieved an Occupancy Rate of at least 85.0%.</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Instruction Agreement</w:t>
      </w:r>
      <w:r>
        <w:rPr>
          <w:rFonts w:ascii="Times New Roman" w:cs="Times New Roman" w:eastAsia="Times New Roman" w:hAnsi="Times New Roman"/>
          <w:sz w:val="18"/>
          <w:szCs w:val="18"/>
          <w:color w:val="auto"/>
        </w:rPr>
        <w:t>” means a form substantially in the form of Exhibit S to be delivered to the Administrative Agent pursuant to Section 5.1.(a), as the same may be amended, restated or modified from time to time with the prior written approval of the Administrative Agent.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Documentation Agents</w:t>
      </w:r>
      <w:r>
        <w:rPr>
          <w:rFonts w:ascii="Times New Roman" w:cs="Times New Roman" w:eastAsia="Times New Roman" w:hAnsi="Times New Roman"/>
          <w:sz w:val="18"/>
          <w:szCs w:val="18"/>
          <w:color w:val="auto"/>
        </w:rPr>
        <w:t>” means the Persons identified as such in the introductory paragraph hereof and shall include each such Person’s successors and permitted assigns.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- 10 -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and is subject to consolidated supervision with its parent.</w:t>
      </w:r>
    </w:p>
    <w:p>
      <w:pPr>
        <w:sectPr>
          <w:pgSz w:w="11900" w:h="16838" w:orient="portrait"/>
          <w:cols w:equalWidth="0" w:num="1">
            <w:col w:w="11240"/>
          </w:cols>
          <w:pgMar w:left="320" w:top="1417" w:right="339" w:bottom="1440" w:gutter="0" w:footer="0" w:header="0"/>
        </w:sectPr>
      </w:pPr>
    </w:p>
    <w:bookmarkStart w:id="94" w:name="page95"/>
    <w:bookmarkEnd w:id="94"/>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EAT</w:t>
      </w:r>
      <w:r>
        <w:rPr>
          <w:rFonts w:ascii="Times New Roman" w:cs="Times New Roman" w:eastAsia="Times New Roman" w:hAnsi="Times New Roman"/>
          <w:sz w:val="18"/>
          <w:szCs w:val="18"/>
          <w:color w:val="auto"/>
        </w:rPr>
        <w:t>” has the meaning given that term in the definition of 1031 Property.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with respect to a Person for any period and without duplication, the sum of net income (loss) of such Person (including, when calculating EBITDA with respect to the Parent and its Subsidiaries, net income of SUMMIT One Vanderbilt Operator and SEV Operator) for such period determined on a consolidated basis excluding the following (but only to the extent included in determining net income (loss) for such period):</w:t>
      </w:r>
    </w:p>
    <w:p>
      <w:pPr>
        <w:jc w:val="both"/>
        <w:ind w:right="20" w:firstLine="8"/>
        <w:spacing w:after="0" w:line="250" w:lineRule="auto"/>
        <w:tabs>
          <w:tab w:leader="none" w:pos="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(ii) interest expense; (iii) income tax expense; (iv) extraordinary or nonrecurring items, including without limitation, gains and losses from the sale of Properties or other investments; (v) non-cash items; and (vi) equity in net income (loss) of its Unconsolidated Affiliates. For purposes of this definition, nonrecurring items shall be deemed to include (x) gains and losses on early extinguishment of Indebtedness,</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other restructuring charges and (z) transaction costs of acquisitions, dispositions, investments, or debt or equity financings (whether or not consummated) not permitted to be capitalized pursuant to GAAP.</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later of (a) the Agreement Date and (b) the date on which all of the conditions precedent set forth in Section 5.1. shall have been fulfilled or waived by all of the Lenders.</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1031 Property</w:t>
      </w:r>
      <w:r>
        <w:rPr>
          <w:rFonts w:ascii="Times New Roman" w:cs="Times New Roman" w:eastAsia="Times New Roman" w:hAnsi="Times New Roman"/>
          <w:sz w:val="18"/>
          <w:szCs w:val="18"/>
          <w:color w:val="auto"/>
        </w:rPr>
        <w:t>” means a 1031 Property which satisfies all of the following requirements: (a) such 1031 Property is fully developed as an office, retail or multifamily property; (b) a Borrower, any Subsidiary or any Unconsolidated Affiliate leases such 1031 Property from the applicable QI or EAT (or Wholly Owned Subsidiary(ies) thereof, as applicable) and a Borrower, any Subsidiary or any Unconsolidated Affiliate manages such 1031 Property; (c) a Borrower, any Subsidiary or any Unconsolidated Affiliate is obligated to purchase such 1031 Property (or Wholly Owned Subsidiary(ies) of the applicable QI or EAT that owns such 1031 Property) from the applicable QI or EAT and the applicable QI or EAT is obligated to sell such 1031 Property (or Wholly Owned Subsidiary(ies) thereof that owns such 1031 Property, as applicable) to a Borrower, any Subsidiary or any Unconsolidated Affiliate; provided, however that in the case of a disposition of a 1031 Property by a Borrower, any Subsidiary or any Unconsolidated Affiliate (a “Relinquished Property”), a Borrower, any Subsidiary or any Unconsolidated Affiliate shall not be obligated to repurchase such 1031 Property (or Wholly Owned Subsidiary(ies) thereof that owns such 1031 Property, as applicable) from the applicable QI or EAT (or Wholly Owned Subsidiary(ies) thereof that owns such 1031 Property, as applicable) and the applicable QI or EAT (or Wholly Owned Subsidiary(ies) thereof that owns such 1031 Property, as applicable) shall not be obligated to resell such 1031 Property (or Wholly Owned Subsidiary(ies) thereof that owns such 1031 Property, as applicable) to a Borrower, any Subsidiary or any Unconsolidated Affiliate unless such 1031 Property (or Wholly Owned Subsidiary(ies) thereof that owns such 1031 Property, as applicable) is not transferred or assigned, within 180 days of its acquisition by the applicable QI or EAT (or Wholly Owned Subsidiary(ies) thereof that owns such 1031 Property, as applicable), to a Person other than a Borrower, any Subsidiary or any Unconsolidated Affiliate; (d) the applicable QI or EAT (or Wholly Owned Subsidiary(ies) thereof that owns such 1031 Property, as applicable) acquired such 1031 Property with the proceeds of a loan made by a Borrower, any Subsidiary or any Unconsolidated Affiliate, which loan is secured either by a Mortgage on such 1031 Property or a pledge of all of the Equity Interests of the applicable QI or EAT (or Wholly Owned Subsidiary(ies) thereof that owns such 1031 Property, as applicable); (e) neither such 1031 Property, nor, if such 1031 Property is owned or leased by a Subsidiary or Unconsolidated Affiliate, any of a Borrower’s direct or indirect ownership interest in such Subsidiary or any Unconsolidated Affiliate therein, is subject to any Lien (other than (i) Permitted Liens and (ii) the Lien of a Mortgage or pledge referred to in the immediately preceding clause (d)) or a Negative Pledge; and (f) such 1031 Property is free of all structural defects or major architectural deficiencies, title defects, environmental conditions or other adverse matters except for defects, deficiencies, conditions or other matters individually or collectively which</w:t>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18"/>
          <w:szCs w:val="18"/>
          <w:color w:val="auto"/>
        </w:rPr>
        <w:t>are not material to the profitable operation of such 1031 Property. In no event shall a 1031 Property qualify as an Eligible 1031 Property for a period in excess of 180 consecutive days. For purposes of determining Total Asset Value, such 1031 Property shall be deemed to have been owned or leased by any applicable Borrower, any Subsidiary or any Unconsolidated Affiliate from the date acquired by the applicable QI or EAT (or Wholly Owned Subsidiary(ies) thereof that owns such 1031 Property, as applicable).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- 11 -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means (a) a Lender, (b) an Affiliate of a Lender, (c) an Approved Fund and (d) any other Person (other than a natural person or holding company, investment vehicle or trust for, or owned and operated for the primary benefit of a natural person) approved by the Administrative Agent (such approval not to be unreasonably withheld or delayed).</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Property</w:t>
      </w:r>
      <w:r>
        <w:rPr>
          <w:rFonts w:ascii="Times New Roman" w:cs="Times New Roman" w:eastAsia="Times New Roman" w:hAnsi="Times New Roman"/>
          <w:sz w:val="18"/>
          <w:szCs w:val="18"/>
          <w:color w:val="auto"/>
        </w:rPr>
        <w:t>” means a Property which satisfies all of the following requirements: (a) such Property is fully developed as an office, retail or multifamily Property; (b) such Property is owned in fee simple, or leased under a Ground Lease, by a Borrower, any Subsidiary or any Unconsolidated Affiliate; (c) such Property is located in a State of the United States of America or in the District of Columbia; (d) neither such Property, nor, if such Property is owned or leased by a Subsidiary or Unconsolidated Affiliate, any of a Borrower’s direct or indirect ownership interest in such Subsidiary or Unconsolidated Affiliate, is subject to (i) any Lien other than Permitted Liens or (ii) any Negative Pledge; (e) regardless of whether such Property is owned or leased by a Borrower, any Subsidiary or any Unconsolidated Affiliate, a Borrower has the right directly, or indirectly through a Subsidiary or an Unconsolidated Affiliate, to take the following actions without the need to obtain the consent of any Person: (i) to create Liens on such Property as security for Indebtedness of such Borrower, such Subsidiary or such Unconsolidated Affiliate, as applicable, and (ii) to sell, transfer or otherwise dispose of such Property and (f)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 Eligible 1031 Property shall also constitute an Eligible Property.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any analogous or comparable state or local laws, regulations or ordinances that concern Hazardous Materials or protection of the environment.</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- 12 -</w:t>
      </w:r>
    </w:p>
    <w:p>
      <w:pPr>
        <w:spacing w:after="0" w:line="200" w:lineRule="exact"/>
        <w:rPr>
          <w:sz w:val="20"/>
          <w:szCs w:val="20"/>
          <w:color w:val="auto"/>
        </w:rPr>
      </w:pPr>
    </w:p>
    <w:p>
      <w:pPr>
        <w:spacing w:after="0" w:line="31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in effect from time to time.</w:t>
      </w:r>
    </w:p>
    <w:p>
      <w:pPr>
        <w:sectPr>
          <w:pgSz w:w="11900" w:h="16838" w:orient="portrait"/>
          <w:cols w:equalWidth="0" w:num="1">
            <w:col w:w="11240"/>
          </w:cols>
          <w:pgMar w:left="320" w:top="1417" w:right="339" w:bottom="1440" w:gutter="0" w:footer="0" w:header="0"/>
        </w:sectPr>
      </w:pPr>
    </w:p>
    <w:bookmarkStart w:id="96" w:name="page97"/>
    <w:bookmarkEnd w:id="96"/>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imposition of any liability under Title IV of ERISA, other than for PBGC premiums due but not delinquent under Section 4007 of ERISA, upon any member of the ERISA Group or the imposition of any Lien in favor of the PBGC under Title IV of ERISA; or (j) a determination that a Plan is, or is reasonably expected to be, in “at risk” status (within the meaning of Section 430 of the Internal Revenue Code or Section 303 of ERISA).</w:t>
      </w:r>
    </w:p>
    <w:p>
      <w:pPr>
        <w:spacing w:after="0" w:line="19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Group</w:t>
      </w:r>
      <w:r>
        <w:rPr>
          <w:rFonts w:ascii="Times New Roman" w:cs="Times New Roman" w:eastAsia="Times New Roman" w:hAnsi="Times New Roman"/>
          <w:sz w:val="18"/>
          <w:szCs w:val="18"/>
          <w:color w:val="auto"/>
        </w:rPr>
        <w:t>” means the Parent, any Subsidiary and all members of a controlled group of corporations and all trades or businesses (whether or not incorporated) under common control, which, together with the Parent or any Subsidiary, are treated as a single employer under Section 414 of the Internal Revenue Code.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has the meaning assigned thereto in Section 11.11(a).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has the meaning assigned thereto in Section 11.11(d).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Impacted Class</w:t>
      </w:r>
      <w:r>
        <w:rPr>
          <w:rFonts w:ascii="Times New Roman" w:cs="Times New Roman" w:eastAsia="Times New Roman" w:hAnsi="Times New Roman"/>
          <w:sz w:val="18"/>
          <w:szCs w:val="18"/>
          <w:color w:val="auto"/>
        </w:rPr>
        <w:t>” has the meaning assigned thereto in Section 11.11(d).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has the meaning assigned thereto in Section 11.11(d).</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- 13 -</w:t>
      </w:r>
    </w:p>
    <w:p>
      <w:pPr>
        <w:spacing w:after="0" w:line="200" w:lineRule="exact"/>
        <w:rPr>
          <w:sz w:val="20"/>
          <w:szCs w:val="20"/>
          <w:color w:val="auto"/>
        </w:rPr>
      </w:pPr>
    </w:p>
    <w:p>
      <w:pPr>
        <w:spacing w:after="0" w:line="33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of the events specified in Section 10.1.; provided that any requirement for notice or lapse of time or any other condition has been satisfied.</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Loan Party, any Specified Derivatives Obligations if, and to the extent that, all or a portion of the liability of such Loan Party for or the Guarantee of such Loan Party of, or the grant by such Loan Party of a Lien to secure, such Specified Derivatives Obligation (or any liability or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liability for or the Guarantee of such Loan</w:t>
      </w:r>
    </w:p>
    <w:p>
      <w:pPr>
        <w:sectPr>
          <w:pgSz w:w="11900" w:h="16838" w:orient="portrait"/>
          <w:cols w:equalWidth="0" w:num="1">
            <w:col w:w="11240"/>
          </w:cols>
          <w:pgMar w:left="320" w:top="1440"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8"/>
          <w:szCs w:val="18"/>
          <w:color w:val="auto"/>
        </w:rPr>
        <w:t>Party or the grant of such Lien becomes effective with respect to such Specified Derivatives Obligation (such determination being made after giving effect to any applicable keepwell, support or other agreement for the benefit of the applicable Loan Party). If a Specified Derivatives Obligation arises under a master agreement governing more than one swap, such exclusion shall apply only to the portion of such Specified Derivatives Obligation that is attributable to swaps for which such Guarantee or Lien is or becomes illegal for the reasons identified in the immediately preceding sentence of this definition.</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8"/>
        <w:spacing w:after="0" w:line="251" w:lineRule="auto"/>
        <w:tabs>
          <w:tab w:leader="none" w:pos="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pursuant to an Applicable Law in effect on the date (which date shall not be earlier than the Effective Date) on which (i) such Lender acquires such interest in such Loan (other than pursuant to an assignment request by the Borrower Representative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means that certain Third Amended and Restated Credit Agreement dated as of December 6, 2021, by and among the Borrowers, the financial institutions from time to time party thereto, Wells Fargo Bank, National Association, as administrative agent, and the other parties thereto, as amended by that certain First Amendment to Third Amended and Restated Credit Agreement dated as of the date hereof and as further amended by any amendment, restatement, modification, refinancing, refunding, renewal, replacement or extension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Loans</w:t>
      </w:r>
      <w:r>
        <w:rPr>
          <w:rFonts w:ascii="Times New Roman" w:cs="Times New Roman" w:eastAsia="Times New Roman" w:hAnsi="Times New Roman"/>
          <w:sz w:val="18"/>
          <w:szCs w:val="18"/>
          <w:color w:val="auto"/>
        </w:rPr>
        <w:t>” means Loans, the maturity of which shall have been extended pursuant to Section 12.6.(e).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has the meaning given that term in Section 12.6.(e)(i).</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- 14 -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means an amendment to this Agreement (which may, at the option of the Administrative Agent and the Borrowers, be in the form an amendment and restatement of this Agreement) among the Loan Parties, the applicable extending Lenders and the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has the meaning given that term in Section 12.6.(e)(i).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1471(b)(l) of the Internal Revenue Code and any fiscal or regulatory legislation, rules or practices adopted pursuant to any intergovernmental agreement, treaty or convention among Governmental Authorities and implementing such Sections of the Internal Revenue Code.</w:t>
      </w:r>
    </w:p>
    <w:p>
      <w:pPr>
        <w:sectPr>
          <w:pgSz w:w="11900" w:h="16838" w:orient="portrait"/>
          <w:cols w:equalWidth="0" w:num="1">
            <w:col w:w="11240"/>
          </w:cols>
          <w:pgMar w:left="320" w:top="1417" w:right="339" w:bottom="1440" w:gutter="0" w:footer="0" w:header="0"/>
        </w:sectPr>
      </w:pPr>
    </w:p>
    <w:bookmarkStart w:id="98" w:name="page99"/>
    <w:bookmarkEnd w:id="9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(i) the fee letter dated as of February 24, 2026, by and among the Borrowers, Wells Fargo and Wells Fargo Securities, LLC and (ii) each other fee letter entered into by and between the Borrowers and an Arranger in connection with the facilities provided hereunder.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the fees and commissions provided for or referred to in Section 3.5. and any other fees payable by any Borrower hereunder, under any other Loan Document or under any Fee Letter.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xml:space="preserve">” means, with respect to a Person and for a given period, the sum of (a) the Interest Expense of such Person for such period, </w:t>
      </w:r>
      <w:r>
        <w:rPr>
          <w:rFonts w:ascii="Times New Roman" w:cs="Times New Roman" w:eastAsia="Times New Roman" w:hAnsi="Times New Roman"/>
          <w:sz w:val="18"/>
          <w:szCs w:val="18"/>
          <w:u w:val="single" w:color="auto"/>
          <w:color w:val="auto"/>
        </w:rPr>
        <w:t>plus</w:t>
      </w:r>
    </w:p>
    <w:p>
      <w:pPr>
        <w:spacing w:after="0" w:line="31" w:lineRule="exact"/>
        <w:rPr>
          <w:sz w:val="20"/>
          <w:szCs w:val="20"/>
          <w:color w:val="auto"/>
        </w:rPr>
      </w:pPr>
    </w:p>
    <w:p>
      <w:pPr>
        <w:jc w:val="both"/>
        <w:ind w:firstLine="8"/>
        <w:spacing w:after="0" w:line="255" w:lineRule="auto"/>
        <w:tabs>
          <w:tab w:leader="none" w:pos="2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all regularly scheduled principal payments on Indebtedness payable by such Person during such period (excluding balloon, bullet or similar payments of principal due upon the stated maturity of Indebtedness), plus (c) the aggregate amount of all Preferred Dividends paid by such Person during such period.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equal to 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or holding company, investment vehicle or trust for, or owned and operated for the primary benefit of a natural person) that is (or will be) engaged in making, purchasing, holding or otherwise investing in commercial loans and similar extensions of credit in the ordinary course of its business.</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- 15 -</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Investments</w:t>
      </w:r>
      <w:r>
        <w:rPr>
          <w:rFonts w:ascii="Times New Roman" w:cs="Times New Roman" w:eastAsia="Times New Roman" w:hAnsi="Times New Roman"/>
          <w:sz w:val="18"/>
          <w:szCs w:val="18"/>
          <w:color w:val="auto"/>
        </w:rPr>
        <w:t>” means, collectively, Investments directly or indirectly in Equity Interests of, and indebtedness issued by, investment funds.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Investment Value</w:t>
      </w:r>
      <w:r>
        <w:rPr>
          <w:rFonts w:ascii="Times New Roman" w:cs="Times New Roman" w:eastAsia="Times New Roman" w:hAnsi="Times New Roman"/>
          <w:sz w:val="18"/>
          <w:szCs w:val="18"/>
          <w:color w:val="auto"/>
        </w:rPr>
        <w:t>” means (a) for the purpose of determining Total Asset Value an amount equal to a Borrower’s pro rata share of the value (as determined in accordance with GAAP) of each Fund Investment and (b) for the purpose of determining Unencumbered Asset Value, an amount equal to a Borrower’s pro rata share of the value (as determined in accordance with GAAP) of each Fund Investment (i) that is owned by a Borrower or a Wholly Owned Subsidiary, (ii) that is not subject to any Lien or Negative Pledge, (iii) that, if owned by a Subsidiary, no Borrower’s direct or indirect ownership interest in such Subsidiary is subject to any Lien or Negative Pledge, (iv) with respect to which a Borrower has a right, directly or indirectly through a Subsidiary, to create Liens on such Fund Investment as security for Indebtedness of such Borrower and to sell, transfer or otherwise dispose of such Fund Investment, in the case, without the consent of any Person and (v) with respect to which no investment fund obligor is more than 60 days past due on payment obligations (including any required distributions thereof) thereunder.</w:t>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means all authorizations, consents, approvals, licenses and exemptions of, registrations and filings with, and reports to, all Governmental Authorities.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Ground Lease</w:t>
      </w:r>
      <w:r>
        <w:rPr>
          <w:rFonts w:ascii="Times New Roman" w:cs="Times New Roman" w:eastAsia="Times New Roman" w:hAnsi="Times New Roman"/>
          <w:sz w:val="18"/>
          <w:szCs w:val="18"/>
          <w:color w:val="auto"/>
        </w:rPr>
        <w:t>” means a ground lease containing the following terms and conditions: (a) a remaining term (inclusive of any unexercised extension options that may be exercised by a Borrower or Subsidiary without the consent of the lessor) of 30 years or more from the Agreement Date;</w:t>
      </w:r>
    </w:p>
    <w:p>
      <w:pPr>
        <w:spacing w:after="0" w:line="1" w:lineRule="exact"/>
        <w:rPr>
          <w:sz w:val="20"/>
          <w:szCs w:val="20"/>
          <w:color w:val="auto"/>
        </w:rPr>
      </w:pPr>
    </w:p>
    <w:p>
      <w:pPr>
        <w:jc w:val="both"/>
        <w:ind w:firstLine="8"/>
        <w:spacing w:after="0" w:line="252" w:lineRule="auto"/>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Each of the ground leases associated with the properties located at (i) 1185 Avenue of the Americas, New York, New York, the term of which expires in the year 2043, and (ii) 711 Third Avenue, New York, New York, the term of which expires in the year 2033, will not be subject to the requirement of clause (a) of this definition.</w:t>
      </w:r>
    </w:p>
    <w:p>
      <w:pPr>
        <w:spacing w:after="0" w:line="228" w:lineRule="exact"/>
        <w:rPr>
          <w:rFonts w:ascii="Times New Roman" w:cs="Times New Roman" w:eastAsia="Times New Roman" w:hAnsi="Times New Roman"/>
          <w:sz w:val="18"/>
          <w:szCs w:val="18"/>
          <w:color w:val="auto"/>
        </w:rPr>
      </w:pPr>
    </w:p>
    <w:p>
      <w:pPr>
        <w:ind w:left="5520" w:hanging="104"/>
        <w:spacing w:after="0"/>
        <w:tabs>
          <w:tab w:leader="none" w:pos="55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Guaranteed</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as applied to any obligation means and includes: (a) a guaranty (other than by endorsement of negotiable instruments for collection in the ordinary course of business), directly or indirectly, in any manner, of any part or all of such obligation, including without limitation, becoming jointly and severally in respect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means, collectively, (a) the Obligations and (b) all existing or future payment and other obligations owing by any Loan Party under any Specified Derivatives Contract (other than any Excluded Swap Obligation).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all or any of the following: (a) substances that are defined or listed in, or otherwise classified pursuant to, any applicable Environmental Laws as “hazardous substances”, “hazardous</w:t>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56" w:lineRule="auto"/>
        <w:rPr>
          <w:sz w:val="20"/>
          <w:szCs w:val="20"/>
          <w:color w:val="auto"/>
        </w:rPr>
      </w:pPr>
      <w:r>
        <w:rPr>
          <w:rFonts w:ascii="Times New Roman" w:cs="Times New Roman" w:eastAsia="Times New Roman" w:hAnsi="Times New Roman"/>
          <w:sz w:val="18"/>
          <w:szCs w:val="18"/>
          <w:color w:val="auto"/>
        </w:rPr>
        <w:t>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 Person, at the time of computation thereof, all of the following (without duplication): (a) all obligations of such Person in respect of money borrowed or for the deferred purchase price of property or services (excluding trade debt incurred in the ordinary course of business); (b) all obligations of such Person,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for services rendered; (c) Capitalized Lease Obligations of such Person; (d) all reimbursement obligations (contingent or otherwise) of such Person under or in respect of any letters of credit or acceptances (whether or not the same have been presented for payment); (e) [reserved];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[reserved]; (h) net obligations under any Derivatives Contract not entered into as a hedge against interest rate risk in respect of existing Indebtedness, in an amount equal to the Derivatives Termination Value thereof at such time (but in no event less than zero); (i) all Indebtedness of other Persons which such Person has guaranteed or is otherwise recourse to such Person, including by virtue of being jointly and severally liable for the Indebtedness of such other Person (except for guaranties of customary exceptions for fraud, misapplication of funds, environmental indemnities, voluntary bankruptcy, collusive involuntary bankruptcy and other similar customary exceptions to non-recourse liability); and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Indebtedness of the Borrowers and their respective Subsidiaries shall exclude (A) subscription facilities incurred by Fund Investments so long as the Borrowers and their Subsidiaries are not direct obligors with respect thereto and (B) the following but only to the extent the outstanding principal amount of the following Indebtedness does not exceed $100,000,000 in the aggregate at the time of determination: (a) Indebtedness of SLGOP in respect of the Junior Subordinated Indenture and (b) Indebtedness of any Borrower in respect of any other debt securities (and guarantees, if any, in respect of such debt securities) issued to any trust other than the Trust (or a trustee of any such trust), or to any partnership or other entity affiliated with such Borrower that is a financing vehicle of such Borrower (a “financing entity”) in connection with the issuance by such financing entity of equity securities or other securities pursuant to an instrument that ranks pari passu with or junior in right of payment to the Junior Subordinated Indenture so long as the maturity of the Indebtedness of such Borrower referred to in this clause (b) is after the latest of the Maturity Date and the maturity date with respect to any other Class of Loans created hereunder. All Loans to a Borrower shall constitute Indebtedness of each other Borrower.</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- 17 -</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Indemnifiable Amounts</w:t>
      </w:r>
      <w:r>
        <w:rPr>
          <w:rFonts w:ascii="Times New Roman" w:cs="Times New Roman" w:eastAsia="Times New Roman" w:hAnsi="Times New Roman"/>
          <w:sz w:val="18"/>
          <w:szCs w:val="18"/>
          <w:color w:val="auto"/>
        </w:rPr>
        <w:t>” has the meaning given that term in Section 11.6.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Costs</w:t>
      </w:r>
      <w:r>
        <w:rPr>
          <w:rFonts w:ascii="Times New Roman" w:cs="Times New Roman" w:eastAsia="Times New Roman" w:hAnsi="Times New Roman"/>
          <w:sz w:val="18"/>
          <w:szCs w:val="18"/>
          <w:color w:val="auto"/>
        </w:rPr>
        <w:t>” has the meaning given that term in Section 12.9.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given that term in Section 12.9.</w:t>
      </w:r>
    </w:p>
    <w:p>
      <w:pPr>
        <w:sectPr>
          <w:pgSz w:w="11900" w:h="16838" w:orient="portrait"/>
          <w:cols w:equalWidth="0" w:num="1">
            <w:col w:w="11240"/>
          </w:cols>
          <w:pgMar w:left="320" w:top="1417" w:right="339" w:bottom="1440" w:gutter="0" w:footer="0" w:header="0"/>
        </w:sectPr>
      </w:pPr>
    </w:p>
    <w:bookmarkStart w:id="101" w:name="page102"/>
    <w:bookmarkEnd w:id="10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of the Borrowers or any other Loan Party under any Loan Document and (b) to the extent not otherwise described in the immediately preceding clause (a), Other Taxes.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Indemnity Proceeding</w:t>
      </w:r>
      <w:r>
        <w:rPr>
          <w:rFonts w:ascii="Times New Roman" w:cs="Times New Roman" w:eastAsia="Times New Roman" w:hAnsi="Times New Roman"/>
          <w:sz w:val="18"/>
          <w:szCs w:val="18"/>
          <w:color w:val="auto"/>
        </w:rPr>
        <w:t>” has the meaning given that term in Section 12.9.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has the meaning given that term in Section 12.8.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Materials</w:t>
      </w:r>
      <w:r>
        <w:rPr>
          <w:rFonts w:ascii="Times New Roman" w:cs="Times New Roman" w:eastAsia="Times New Roman" w:hAnsi="Times New Roman"/>
          <w:sz w:val="18"/>
          <w:szCs w:val="18"/>
          <w:color w:val="auto"/>
        </w:rPr>
        <w:t>” has the meaning given that term in Section 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has the meaning given that term in Section 6.1.(s).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with respect to a Person and for a given period, without duplication, total interest expense of such Person and its Subsidiaries, including capitalized interest not funded under a construction loan interest reserve account, determined on a consolidated basis in accordance with GAAP for such period.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with respect to each SOFR Loan, each period commencing on the date such SOFR Loan is made, or in the case of the Continuation of a SOFR Loan the last day of the preceding Interest Period for such Loan, and ending on the numerically corresponding day in the first or third calendar month thereafter, in each case, as the Borrower Representative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- 18 -</w:t>
      </w:r>
    </w:p>
    <w:p>
      <w:pPr>
        <w:spacing w:after="0" w:line="200" w:lineRule="exact"/>
        <w:rPr>
          <w:sz w:val="20"/>
          <w:szCs w:val="20"/>
          <w:color w:val="auto"/>
        </w:rPr>
      </w:pPr>
    </w:p>
    <w:p>
      <w:pPr>
        <w:spacing w:after="0" w:line="3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(i) if any Interest Period for a Loan would otherwise end after the Maturity Date, such Interest Period shall end on the Maturity Date; (ii) each Interest Period that would otherwise end on a day which is not a Business Day shall end on the immediately following Business Day (or, if such immediately following Business Day falls in the next calendar month, on the immediately preceding Business Day), (iii) no tenor that has been removed from this definition pursuant to Section 4.2(b)(iv) shall be available for specification in any Notice of Borrowing or Notice of Conversion or Notice of Continuation, (iv) solely for purposes of the initial Interest Period, such Interest Period shall be deemed to commence on the Effective Date and end on March 31, 2026 and (v) solely in the case of the incurrence of Additional Loans pursuant to Section 2.19, the initial Interest Period of such Loans may have a duration separately agreed to among the Borrowers, the Administrative Agent and the Lenders providing such Additional Loans.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Any commitment to make an Investment in any other Person, as well as any option of another Person to require an Investment in such Person, shall constitute an Investment but only in an amount equal to the stated or determinable amount thereof and only to the extent that all conditions to such Investment have been satisfied or waived.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ectPr>
          <w:pgSz w:w="11900" w:h="16838" w:orient="portrait"/>
          <w:cols w:equalWidth="0" w:num="1">
            <w:col w:w="11240"/>
          </w:cols>
          <w:pgMar w:left="320" w:top="1413"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Credit Rating of BBB- or higher from S&amp;P, Baa3 or higher from Moody’s or BBB- or higher from Fitch.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means the International Standby Practices (1998 Revision, effective January 1, 1999), International Chamber of Commerce Publication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590.</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Subordinated Indenture</w:t>
      </w:r>
      <w:r>
        <w:rPr>
          <w:rFonts w:ascii="Times New Roman" w:cs="Times New Roman" w:eastAsia="Times New Roman" w:hAnsi="Times New Roman"/>
          <w:sz w:val="18"/>
          <w:szCs w:val="18"/>
          <w:color w:val="auto"/>
        </w:rPr>
        <w:t>” means that certain Junior Subordinated Indenture dated as of June 30, 2005 by and between SLGOP and JPMorgan Chase Bank, National Association, as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KPIs</w:t>
      </w:r>
      <w:r>
        <w:rPr>
          <w:rFonts w:ascii="Times New Roman" w:cs="Times New Roman" w:eastAsia="Times New Roman" w:hAnsi="Times New Roman"/>
          <w:sz w:val="18"/>
          <w:szCs w:val="18"/>
          <w:color w:val="auto"/>
        </w:rPr>
        <w:t>” means as provided in Section 12.6(f).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KPI Metrics</w:t>
      </w:r>
      <w:r>
        <w:rPr>
          <w:rFonts w:ascii="Times New Roman" w:cs="Times New Roman" w:eastAsia="Times New Roman" w:hAnsi="Times New Roman"/>
          <w:sz w:val="18"/>
          <w:szCs w:val="18"/>
          <w:color w:val="auto"/>
        </w:rPr>
        <w:t>” means as provided in Section 12.6(f).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KPI Metrics Amendment</w:t>
      </w:r>
      <w:r>
        <w:rPr>
          <w:rFonts w:ascii="Times New Roman" w:cs="Times New Roman" w:eastAsia="Times New Roman" w:hAnsi="Times New Roman"/>
          <w:sz w:val="18"/>
          <w:szCs w:val="18"/>
          <w:color w:val="auto"/>
        </w:rPr>
        <w:t>” means as provided in Section 12.6(f).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KPI Metrics Applicable Rate Adjustments</w:t>
      </w:r>
      <w:r>
        <w:rPr>
          <w:rFonts w:ascii="Times New Roman" w:cs="Times New Roman" w:eastAsia="Times New Roman" w:hAnsi="Times New Roman"/>
          <w:sz w:val="18"/>
          <w:szCs w:val="18"/>
          <w:color w:val="auto"/>
        </w:rPr>
        <w:t>” means as provided in Section 12.6(f).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KPI Metrics Pricing Provisions</w:t>
      </w:r>
      <w:r>
        <w:rPr>
          <w:rFonts w:ascii="Times New Roman" w:cs="Times New Roman" w:eastAsia="Times New Roman" w:hAnsi="Times New Roman"/>
          <w:sz w:val="18"/>
          <w:szCs w:val="18"/>
          <w:color w:val="auto"/>
        </w:rPr>
        <w:t>” means as provided in Section 12.6(f).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Arranger</w:t>
      </w:r>
      <w:r>
        <w:rPr>
          <w:rFonts w:ascii="Times New Roman" w:cs="Times New Roman" w:eastAsia="Times New Roman" w:hAnsi="Times New Roman"/>
          <w:sz w:val="18"/>
          <w:szCs w:val="18"/>
          <w:color w:val="auto"/>
        </w:rPr>
        <w:t>” means each Person identified as such in the introductory paragraph hereof and shall include each such Person’s successor and permitted assigns.</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- 19 -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each financial institution from time to time party hereto as a “Lender” together with its respective successors and permitted assigns; provided, however, that the term “Lender”, except as otherwise expressly provided herein, shall exclude any Lender (or its Affiliates) in its capacity as a Specified Derivatives Provider.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Parties</w:t>
      </w:r>
      <w:r>
        <w:rPr>
          <w:rFonts w:ascii="Times New Roman" w:cs="Times New Roman" w:eastAsia="Times New Roman" w:hAnsi="Times New Roman"/>
          <w:sz w:val="18"/>
          <w:szCs w:val="18"/>
          <w:color w:val="auto"/>
        </w:rPr>
        <w:t>” means, collectively, the Administrative Agent, the Lenders, the Specified Derivatives Providers, each co-agent or sub-agent appointed by the Administrative Agent from time to time pursuant to Section 11.5., any other holder from time to time of any of any Obligations and, in each case, their respective successors and permitted assigns.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has the meaning given that term in the definition of the term “Applicable Margin.”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UCC or its equivalent as in effect in an applicable jurisdiction or (ii) in connection with a sale or</w:t>
      </w:r>
    </w:p>
    <w:p>
      <w:pPr>
        <w:sectPr>
          <w:pgSz w:w="11900" w:h="16838" w:orient="portrait"/>
          <w:cols w:equalWidth="0" w:num="1">
            <w:col w:w="11240"/>
          </w:cols>
          <w:pgMar w:left="320" w:top="1413" w:right="339" w:bottom="1440" w:gutter="0" w:footer="0" w:header="0"/>
        </w:sectPr>
      </w:pPr>
    </w:p>
    <w:bookmarkStart w:id="103" w:name="page104"/>
    <w:bookmarkEnd w:id="103"/>
    <w:p>
      <w:pPr>
        <w:jc w:val="center"/>
        <w:ind w:right="860"/>
        <w:spacing w:after="0"/>
        <w:rPr>
          <w:sz w:val="20"/>
          <w:szCs w:val="20"/>
          <w:color w:val="auto"/>
        </w:rPr>
      </w:pPr>
      <w:r>
        <w:rPr>
          <w:rFonts w:ascii="Times New Roman" w:cs="Times New Roman" w:eastAsia="Times New Roman" w:hAnsi="Times New Roman"/>
          <w:sz w:val="18"/>
          <w:szCs w:val="18"/>
          <w:color w:val="auto"/>
        </w:rPr>
        <w:t>other disposition of accounts or other assets not prohibited by this Agreement in a transaction not otherwise constituting or giving rise to a Lien.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loan made by a Lender as described in Section 2.2.(a) or an Additional Loan made pursuant to Section 2.19.</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w:t>
      </w:r>
      <w:r>
        <w:rPr>
          <w:rFonts w:ascii="Times New Roman" w:cs="Times New Roman" w:eastAsia="Times New Roman" w:hAnsi="Times New Roman"/>
          <w:sz w:val="18"/>
          <w:szCs w:val="18"/>
          <w:color w:val="auto"/>
        </w:rPr>
        <w:t>” means this Agreement, each Note, the New York Mortgages, and each other document or instrument now or hereafter executed and delivered by a Loan Party in connection with, pursuant to or relating to this Agreement (other than the Fee Letters and any Specified Derivatives Contract).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means each Borrower.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Mandatorily Redeemable Stock</w:t>
      </w:r>
      <w:r>
        <w:rPr>
          <w:rFonts w:ascii="Times New Roman" w:cs="Times New Roman" w:eastAsia="Times New Roman" w:hAnsi="Times New Roman"/>
          <w:sz w:val="18"/>
          <w:szCs w:val="18"/>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at the option of the issuer of such Equity Interest), (b) is convertible into or exchangeable or exercisable for Indebtedness or Mandatorily Redeemable Stock, or (c) is redeemable at the option of the holder thereof, in whole or part (other than an Equity Interest which is redeemable solely in exchange for common stock or other equivalent common Equity Interests), in each case on or prior to the latest of the Maturity Date and the maturity date with respect to any other Class of Loans created hereunder.</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- 20 -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the securities owned by the Borrower or any of its Subsidiaries which are publicly traded on a nationally-recognized exchange or in the over-the-counter markets.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materially adverse effect on (a) the business, assets, liabilities, financial condition or results of operations of any Borrower and its respective Subsidiaries taken as a whole, (b) the ability of any Borrower or any other Loan Party to perform its obligations under any Loan Document or Fee Letter to which it is a party, (c) the validity or enforceability of any of the Loan Documents, (d) the rights and remedies of the Lenders and the Administrative Agent under any of the Loan Documents or (e) the timely payment of the principal of or interest on the Loans or other amounts payable in connection therewith.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has the meaning given that term in Section 10.1.(d)(i).</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Subsidiary</w:t>
      </w:r>
      <w:r>
        <w:rPr>
          <w:rFonts w:ascii="Times New Roman" w:cs="Times New Roman" w:eastAsia="Times New Roman" w:hAnsi="Times New Roman"/>
          <w:sz w:val="18"/>
          <w:szCs w:val="18"/>
          <w:color w:val="auto"/>
        </w:rPr>
        <w:t>” means any Subsidiary to which more than seven and one-half of one percent (7.5%) of Total Asset Value is attributable on an individual basis.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June 30, 2031, as the same may be extended in accordance with the terms of Section 12.6(e).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Receivable</w:t>
      </w:r>
      <w:r>
        <w:rPr>
          <w:rFonts w:ascii="Times New Roman" w:cs="Times New Roman" w:eastAsia="Times New Roman" w:hAnsi="Times New Roman"/>
          <w:sz w:val="18"/>
          <w:szCs w:val="18"/>
          <w:color w:val="auto"/>
        </w:rPr>
        <w:t>” means a promissory note secured by a Mortgage of which a Borrower, a Subsidiary or an Unconsolidated Affiliate is the holder and retains the rights of collection of all payments thereunder.</w:t>
      </w:r>
    </w:p>
    <w:p>
      <w:pPr>
        <w:sectPr>
          <w:pgSz w:w="11900" w:h="16838" w:orient="portrait"/>
          <w:cols w:equalWidth="0" w:num="1">
            <w:col w:w="11240"/>
          </w:cols>
          <w:pgMar w:left="320" w:top="1417" w:right="339" w:bottom="1440" w:gutter="0" w:footer="0" w:header="0"/>
        </w:sectPr>
      </w:pPr>
    </w:p>
    <w:bookmarkStart w:id="104" w:name="page105"/>
    <w:bookmarkEnd w:id="104"/>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Negative Pledge</w:t>
      </w:r>
      <w:r>
        <w:rPr>
          <w:rFonts w:ascii="Times New Roman" w:cs="Times New Roman" w:eastAsia="Times New Roman" w:hAnsi="Times New Roman"/>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Operating Income</w:t>
      </w:r>
      <w:r>
        <w:rPr>
          <w:rFonts w:ascii="Times New Roman" w:cs="Times New Roman" w:eastAsia="Times New Roman" w:hAnsi="Times New Roman"/>
          <w:sz w:val="18"/>
          <w:szCs w:val="18"/>
          <w:color w:val="auto"/>
        </w:rPr>
        <w:t>” means, for any Property and for a given period, the sum of the following (without duplication and determined on a consistent basis with prior periods): (a) rents and other revenues recognized in accordance with GAAP from such Property (including proceeds of rent loss or business interruption insurance but excluding pre-paid rents and revenues and security deposits except to the extent applied in satisfaction of tenants’ obligations for rent) minus (b) all expenses recognized in accordance with GAAP (excluding interest but including an appropriate accrual for property taxes and insurance) related to the ownership, operation or maintenance of such Property, including but not limited to property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any Borrower and its Subsidiaries and any property management fees) minus (c) the actual property management fee paid during such period.</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- 21 -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York Mortgages</w:t>
      </w:r>
      <w:r>
        <w:rPr>
          <w:rFonts w:ascii="Times New Roman" w:cs="Times New Roman" w:eastAsia="Times New Roman" w:hAnsi="Times New Roman"/>
          <w:sz w:val="18"/>
          <w:szCs w:val="18"/>
          <w:color w:val="auto"/>
        </w:rPr>
        <w:t>” means each of the Mortgages described on Schedule 1.1. and any additional Mortgages encumbering real property located in the State of New York, in each case which have been assigned from time to time pursuant to Section 12.20.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Newly-Acquired Property</w:t>
      </w:r>
      <w:r>
        <w:rPr>
          <w:rFonts w:ascii="Times New Roman" w:cs="Times New Roman" w:eastAsia="Times New Roman" w:hAnsi="Times New Roman"/>
          <w:sz w:val="18"/>
          <w:szCs w:val="18"/>
          <w:color w:val="auto"/>
        </w:rPr>
        <w:t>” means an Eligible Property acquired during the period of six fiscal quarters of the Parent most recently ended.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w:t>
      </w:r>
      <w:r>
        <w:rPr>
          <w:rFonts w:ascii="Times New Roman" w:cs="Times New Roman" w:eastAsia="Times New Roman" w:hAnsi="Times New Roman"/>
          <w:sz w:val="18"/>
          <w:szCs w:val="18"/>
          <w:color w:val="auto"/>
        </w:rPr>
        <w:t>r” means any Lender that does not approve any consent, waiver or amendment that (i) requires the approval of such Lender in accordance with the terms of Section 12.6.(b) and (ii) has been approved by the Requisite Lenders.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 Indebtedness</w:t>
      </w:r>
      <w:r>
        <w:rPr>
          <w:rFonts w:ascii="Times New Roman" w:cs="Times New Roman" w:eastAsia="Times New Roman" w:hAnsi="Times New Roman"/>
          <w:sz w:val="18"/>
          <w:szCs w:val="18"/>
          <w:color w:val="auto"/>
        </w:rPr>
        <w:t>” means, with respect to a Person, (a) Indebtedness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jc w:val="both"/>
        <w:ind w:firstLine="8"/>
        <w:spacing w:after="0" w:line="271" w:lineRule="auto"/>
        <w:tabs>
          <w:tab w:leader="none" w:pos="2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Person is a Single Asset Entity, any Secured Indebtedness of such Person (other than Indebtedness described in the immediately following clause (c)), or (c) if such Person is a Single Asset Holding Company or SL Green Funding (in either case, a “Holdco”), any Indebtedness (“Holdco Indebtedness”) of such Holdco resulting from a Guarantee of, or Lien securing, Indebtedness of a Single Asset Entity that is a Subsidiary of such Holdco, so long as, in the case of a Single Asset Holding Company, either (i) recourse for payment of such Holdco Indebtedness (except for customary exceptions for fraud, misapplication of funds, environmental indemnities, voluntary bankruptcy, collusive involuntary bankruptcy and other similar customary exceptions to</w:t>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nonrecourse liability) is contractually limited to the Equity Interests held by such Single Asset Holding Company in such Single Asset Entity or (ii) such Single Asset Holding Company has no assets other than Equity Interests in such Single Asset Entity and cash and other assets of nominal value incidental to the ownership of the such Single Asset Entity.</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a promissory note of the Borrowers substantially in the form of Exhibit J, payable to a Lender or its registered assignees in a principal amount equal to the amount of such Lender’s Loan.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means a notice substantially in the form of Exhibit D (or such other form reasonably acceptable to the Administrative Agent and containing the information required in such Exhibit) to be delivered to the Administrative Agent pursuant to Section 2.2.(b) evidencing a Borrower’s request for a borrowing of Loans.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Continuation</w:t>
      </w:r>
      <w:r>
        <w:rPr>
          <w:rFonts w:ascii="Times New Roman" w:cs="Times New Roman" w:eastAsia="Times New Roman" w:hAnsi="Times New Roman"/>
          <w:sz w:val="18"/>
          <w:szCs w:val="18"/>
          <w:color w:val="auto"/>
        </w:rPr>
        <w:t>” means a notice substantially in the form of Exhibit E (or such other form reasonably acceptable to the Administrative Agent and containing the information required in such Exhibit) to be delivered to the Administrative Agent pursuant to Section 2.10. evidencing a Borrower’s request for the Continuation of a SOFR Loan.</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- 22 -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means a notice substantially in the form of Exhibit F (or such other form reasonably acceptable to the Administrative Agent and containing the information required in such Exhibit) to be delivered to the Administrative Agent pursuant to Section 2.11. evidencing a Borrower’s request for the Conversion of a Loan from one Type to another Type.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individually and collectively: (a) the aggregate principal balance of, and all accrued and unpaid interest on, all Loans; and</w:t>
      </w:r>
    </w:p>
    <w:p>
      <w:pPr>
        <w:spacing w:after="0" w:line="31" w:lineRule="exact"/>
        <w:rPr>
          <w:sz w:val="20"/>
          <w:szCs w:val="20"/>
          <w:color w:val="auto"/>
        </w:rPr>
      </w:pPr>
    </w:p>
    <w:p>
      <w:pPr>
        <w:jc w:val="both"/>
        <w:ind w:firstLine="8"/>
        <w:spacing w:after="0" w:line="253" w:lineRule="auto"/>
        <w:tabs>
          <w:tab w:leader="none" w:pos="2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indebtedness, liabilities, obligations, covenants and duties of the Borrowers and the other Loan Parties owing to the Administrative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Occupancy Rate</w:t>
      </w:r>
      <w:r>
        <w:rPr>
          <w:rFonts w:ascii="Times New Roman" w:cs="Times New Roman" w:eastAsia="Times New Roman" w:hAnsi="Times New Roman"/>
          <w:sz w:val="18"/>
          <w:szCs w:val="18"/>
          <w:color w:val="auto"/>
        </w:rPr>
        <w:t>” means, with respect to a Property at any time, the ratio, expressed as a percentage, of (a) the net rentable square footage of such Property actually occupied by non-Affiliate tenants paying rent at rates not materially less than rates generally prevailing at the time the applicable lease was entered into, pursuant to binding leases as to which no default in the payment of fixed or basic rent has occurred and has continued unremedied for 60 or more days to (b) the aggregate net rentable square footage of such Property. For the purposes of the definition of “Occupancy Rate”, a tenant shall be deemed to actually occupy a Property notwithstanding a temporary cessation of operations for renovation, repairs or other temporary reason, or for the purpose of completing tenant build out or that is otherwise scheduled to be open for business within 90 days of such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documentary, intangible, recording, filing or similar Taxes that arise from any payment made under, from the execution, delivery, performance, enforcement or</w:t>
      </w:r>
    </w:p>
    <w:p>
      <w:pPr>
        <w:sectPr>
          <w:pgSz w:w="11900" w:h="16838" w:orient="portrait"/>
          <w:cols w:equalWidth="0" w:num="1">
            <w:col w:w="11240"/>
          </w:cols>
          <w:pgMar w:left="320" w:top="1417" w:right="3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from the receipt or perfection of a security interest under, or otherwise with respect to, any Loan Document, except any such Taxes that are Other Connection Taxes imposed with respect to an assignment (other than an assignment made pursuant to Section 4.6.).</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Rate</w:t>
      </w:r>
      <w:r>
        <w:rPr>
          <w:rFonts w:ascii="Times New Roman" w:cs="Times New Roman" w:eastAsia="Times New Roman" w:hAnsi="Times New Roman"/>
          <w:sz w:val="18"/>
          <w:szCs w:val="18"/>
          <w:color w:val="auto"/>
        </w:rPr>
        <w:t>” means, for any day, the greater of (a) the Federal Funds Rate and (b) an overnight rate determined by the Administrative Agent in accordance with banking industry rules on interbank compensation.</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- 23 -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Ownership Share</w:t>
      </w:r>
      <w:r>
        <w:rPr>
          <w:rFonts w:ascii="Times New Roman" w:cs="Times New Roman" w:eastAsia="Times New Roman" w:hAnsi="Times New Roman"/>
          <w:sz w:val="18"/>
          <w:szCs w:val="18"/>
          <w:color w:val="auto"/>
        </w:rPr>
        <w:t>” means, with respect to any Unconsolidated Affiliate of a Person, the greater of (a) such Person’s relative nominal direct and indirect ownership interest (expressed as a percentage) in such Unconsolidated Affiliate or (b) subject to compliance with the following paragraph,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Unconsolidated Affiliate.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given that term in the introductory paragraph hereof and shall include the Parent’s successors and permitted assigns.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Indebtedness</w:t>
      </w:r>
      <w:r>
        <w:rPr>
          <w:rFonts w:ascii="Times New Roman" w:cs="Times New Roman" w:eastAsia="Times New Roman" w:hAnsi="Times New Roman"/>
          <w:sz w:val="18"/>
          <w:szCs w:val="18"/>
          <w:color w:val="auto"/>
        </w:rPr>
        <w:t>” means Indebtedness (a) owing by one or more of the Loan Parties; (b) evidenced by documents, instruments and agreements containing terms, conditions, representations, covenants and events of default substantially the same as, or less restrictive than, but in no event more restrictive when taken as a whole than, those contained in this Agreement and the other Loan Documents; (c) that is not Secured Indebtedness; and (d) that ranks pari passu with the Indebtedness owing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given that term in Section 12.5.(d).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given that term in Section 12.5.(d).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has the meaning given that term in Section 11.11.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any successor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with respect to any asset or property of a Person, (a)(i) Liens securing taxes, assessments and other charges or levies imposed by any Governmental Authority (excluding, other than for purposes of Sections 6.1.(f) and 9.2.,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workers’ compensation,</w:t>
      </w:r>
    </w:p>
    <w:p>
      <w:pPr>
        <w:sectPr>
          <w:pgSz w:w="11900" w:h="16838" w:orient="portrait"/>
          <w:cols w:equalWidth="0" w:num="1">
            <w:col w:w="11240"/>
          </w:cols>
          <w:pgMar w:left="320" w:top="1417" w:right="339" w:bottom="1440" w:gutter="0" w:footer="0" w:header="0"/>
        </w:sectPr>
      </w:pPr>
    </w:p>
    <w:bookmarkStart w:id="107" w:name="page108"/>
    <w:bookmarkEnd w:id="107"/>
    <w:p>
      <w:pPr>
        <w:jc w:val="both"/>
        <w:spacing w:after="0" w:line="254" w:lineRule="auto"/>
        <w:rPr>
          <w:sz w:val="20"/>
          <w:szCs w:val="20"/>
          <w:color w:val="auto"/>
        </w:rPr>
      </w:pPr>
      <w:r>
        <w:rPr>
          <w:rFonts w:ascii="Times New Roman" w:cs="Times New Roman" w:eastAsia="Times New Roman" w:hAnsi="Times New Roman"/>
          <w:sz w:val="18"/>
          <w:szCs w:val="18"/>
          <w:color w:val="auto"/>
        </w:rPr>
        <w:t>unemployment insurance or similar Applicable Laws; (c) Liens consisting of encumbrances in the nature of zoning restrictions, easements, and rights or restrictions of record on the use of real property, which do not materially detract from the value of such property or impair the intended use thereof in the business of such Person; (d) the rights of tenants under leases or subleases not interfering with the ordinary conduct of business of such Person; (e) (i) Liens in favor of the Administrative Agent for its benefit and the benefit of the other Lender Parties and (ii) any Liens securing the Existing Credit Agreement pursuant to Section 12.20 (or any replacement) thereof; (f) Liens securing judgments not constituting an Event of Default under Section 10.1.(h); (g) Liens</w:t>
      </w:r>
    </w:p>
    <w:p>
      <w:pPr>
        <w:spacing w:after="0" w:line="3" w:lineRule="exact"/>
        <w:rPr>
          <w:sz w:val="20"/>
          <w:szCs w:val="20"/>
          <w:color w:val="auto"/>
        </w:rPr>
      </w:pPr>
    </w:p>
    <w:p>
      <w:pPr>
        <w:jc w:val="both"/>
        <w:ind w:firstLine="8"/>
        <w:spacing w:after="0" w:line="251" w:lineRule="auto"/>
        <w:tabs>
          <w:tab w:leader="none" w:pos="2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a collection bank arising under Section 4-210 of the UCC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(including the right of set-off) and which are within the general parameters customary in the banking industry; (h) Liens (i) on earnest money deposits in connection with purchases and sales of properties, (ii) on cash advances in favor of the seller of any property to be acquired in an Investment permitted pursuant to this Agreement, or (iii) consisting of an agreement to dispose of any property; (i) Liens in favor of any Borrower or any of its Subsidiaries; (j) Liens arising from precautionary UCC financing statement filings regarding leases entered into by any Borrower or any of its Subsidiaries in the ordinary course of business; (k) Liens deemed to exist in connection with Investments in repurchase agreements permitted under this Agreement; (l) Liens encumbering reasonable customary initial deposits and margin deposits and similar Liens attaching to commodity trading accounts or other brokerage accounts incurred in the ordinary course of business and not for speculative purposes; and (m) other Liens not specifically listed above securing obligations in an aggregate principal amount not to exceed $10,000,000;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Liens described in the foregoing clauses (e)(ii) and (g) through (m) shall constitute Permitted Liens solely for purposes of Sections 6.1.(f) and 9.2.</w:t>
      </w:r>
    </w:p>
    <w:p>
      <w:pPr>
        <w:spacing w:after="0" w:line="232" w:lineRule="exact"/>
        <w:rPr>
          <w:rFonts w:ascii="Times New Roman" w:cs="Times New Roman" w:eastAsia="Times New Roman" w:hAnsi="Times New Roman"/>
          <w:sz w:val="18"/>
          <w:szCs w:val="18"/>
          <w:color w:val="auto"/>
        </w:rPr>
      </w:pPr>
    </w:p>
    <w:p>
      <w:pPr>
        <w:ind w:left="5520" w:hanging="104"/>
        <w:spacing w:after="0"/>
        <w:tabs>
          <w:tab w:leader="none" w:pos="55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xml:space="preserve">” means, in respect of any principal of any Loan, the rate otherwise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additional two percent (2.0%) per annum and with respect to any other Obligation, a rate per annum equal to the Base Rate as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Loans that are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two percent (2.0%).</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Dividends</w:t>
      </w:r>
      <w:r>
        <w:rPr>
          <w:rFonts w:ascii="Times New Roman" w:cs="Times New Roman" w:eastAsia="Times New Roman" w:hAnsi="Times New Roman"/>
          <w:sz w:val="18"/>
          <w:szCs w:val="18"/>
          <w:color w:val="auto"/>
        </w:rPr>
        <w:t>” means, as to any Person, for any period and without duplication, all Restricted Payments paid during such period on Preferred Equity Interests issued by such Person. Preferred Dividends shall not include dividends or distributions (a) paid or payable solely in Equity Interests (other than Mandatorily Redeemable Stock) payable to holders of that class of Equity Interests, (b) paid or payable to such Person, or</w:t>
      </w:r>
    </w:p>
    <w:p>
      <w:pPr>
        <w:ind w:firstLine="8"/>
        <w:spacing w:after="0" w:line="260" w:lineRule="auto"/>
        <w:tabs>
          <w:tab w:leader="none" w:pos="2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constituting or resulting in the redemption of Preferred Equity Interests, other than scheduled redemptions not constituting balloon, bullet or similar redemptions in full.</w:t>
      </w:r>
    </w:p>
    <w:p>
      <w:pPr>
        <w:spacing w:after="0" w:line="17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Equity Interests</w:t>
      </w:r>
      <w:r>
        <w:rPr>
          <w:rFonts w:ascii="Times New Roman" w:cs="Times New Roman" w:eastAsia="Times New Roman" w:hAnsi="Times New Roman"/>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ectPr>
          <w:pgSz w:w="11900" w:h="16838" w:orient="portrait"/>
          <w:cols w:equalWidth="0" w:num="1">
            <w:col w:w="11240"/>
          </w:cols>
          <w:pgMar w:left="320" w:top="1417" w:right="339" w:bottom="1440" w:gutter="0" w:footer="0" w:header="0"/>
        </w:sectPr>
      </w:pPr>
    </w:p>
    <w:bookmarkStart w:id="108" w:name="page109"/>
    <w:bookmarkEnd w:id="108"/>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means the office of the Administrative Agent located at Wells Fargo Bank, National Association, Real Estate Banking, 550 South Tryon Street,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Charlotte, NC 28202, or any other subsequent office that the Administrative Agent shall have specified as the Principal Office by written notice to the Borrower Representative and the Lenders.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- 25 -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with respect to a Lender, the ratio, expressed as a percentage of (a) the outstanding principal amount of such Lender’s Loan to (b) the outstanding principal amount of all Loans.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 parcel (or group of related parcels) of real property owned or leased by a Borrower, any Subsidiary or any Unconsolidated Affiliate.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QI</w:t>
      </w:r>
      <w:r>
        <w:rPr>
          <w:rFonts w:ascii="Times New Roman" w:cs="Times New Roman" w:eastAsia="Times New Roman" w:hAnsi="Times New Roman"/>
          <w:sz w:val="18"/>
          <w:szCs w:val="18"/>
          <w:color w:val="auto"/>
        </w:rPr>
        <w:t>” has the meaning given that term in the definition of 1031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Forward Equity Contract</w:t>
      </w:r>
      <w:r>
        <w:rPr>
          <w:rFonts w:ascii="Times New Roman" w:cs="Times New Roman" w:eastAsia="Times New Roman" w:hAnsi="Times New Roman"/>
          <w:sz w:val="18"/>
          <w:szCs w:val="18"/>
          <w:color w:val="auto"/>
        </w:rPr>
        <w:t>” means a forward equity contract with respect to common Equity Interests of the REIT, entered into by the REIT and a Person (other than the Borrower, its Subsidiaries or their respective Affiliates); provided that, Qualified Forward Equity Contract shall exclude each forward equity contract, if any, with respect to which any of the following apply (x) the REIT or the counterparty would not reasonably be expected (as determined in good faith by the General Partner), for any reason, to be able to fulfill its obligations thereunder prior to the Maturity Date, (y) the REIT no longer intends to issue shares sufficient to realize such proceeds or (z) the REIT does not intend to contribute the net cash proceeds received in connection with any such forward equity contracts to the Borrower or its Subsidiaries.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Plan</w:t>
      </w:r>
      <w:r>
        <w:rPr>
          <w:rFonts w:ascii="Times New Roman" w:cs="Times New Roman" w:eastAsia="Times New Roman" w:hAnsi="Times New Roman"/>
          <w:sz w:val="18"/>
          <w:szCs w:val="18"/>
          <w:color w:val="auto"/>
        </w:rPr>
        <w:t>” means a Benefit Arrangement that is intended to be tax-qualified under Section 401(a) of the Internal Revenue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Rated Borrower</w:t>
      </w:r>
      <w:r>
        <w:rPr>
          <w:rFonts w:ascii="Times New Roman" w:cs="Times New Roman" w:eastAsia="Times New Roman" w:hAnsi="Times New Roman"/>
          <w:sz w:val="18"/>
          <w:szCs w:val="18"/>
          <w:color w:val="auto"/>
        </w:rPr>
        <w:t>” has the meaning given that term in the definition of the term “Applicable Margin”.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means S&amp;P, Moody’s or Fitch.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given that term in Section 12.5.(c).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Change</w:t>
      </w:r>
      <w:r>
        <w:rPr>
          <w:rFonts w:ascii="Times New Roman" w:cs="Times New Roman" w:eastAsia="Times New Roman" w:hAnsi="Times New Roman"/>
          <w:sz w:val="18"/>
          <w:szCs w:val="18"/>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 Notwithstanding anything herein to the contrary: (a) 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w:t>
      </w:r>
    </w:p>
    <w:p>
      <w:pPr>
        <w:sectPr>
          <w:pgSz w:w="11900" w:h="16838" w:orient="portrait"/>
          <w:cols w:equalWidth="0" w:num="1">
            <w:col w:w="11240"/>
          </w:cols>
          <w:pgMar w:left="320" w:top="1440" w:right="339" w:bottom="1440" w:gutter="0" w:footer="0" w:header="0"/>
        </w:sectPr>
      </w:pPr>
    </w:p>
    <w:bookmarkStart w:id="109" w:name="page110"/>
    <w:bookmarkEnd w:id="109"/>
    <w:p>
      <w:pPr>
        <w:ind w:right="20"/>
        <w:spacing w:after="0" w:line="282" w:lineRule="auto"/>
        <w:rPr>
          <w:sz w:val="20"/>
          <w:szCs w:val="20"/>
          <w:color w:val="auto"/>
        </w:rPr>
      </w:pPr>
      <w:r>
        <w:rPr>
          <w:rFonts w:ascii="Times New Roman" w:cs="Times New Roman" w:eastAsia="Times New Roman" w:hAnsi="Times New Roman"/>
          <w:sz w:val="18"/>
          <w:szCs w:val="18"/>
          <w:color w:val="auto"/>
        </w:rPr>
        <w:t>States or foreign regulatory authorities, in each case pursuant to Basel III, shall in each case be deemed to be a “Regulatory Change”, regardless of the date enacted, adopted or issued.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REIT</w:t>
      </w:r>
      <w:r>
        <w:rPr>
          <w:rFonts w:ascii="Times New Roman" w:cs="Times New Roman" w:eastAsia="Times New Roman" w:hAnsi="Times New Roman"/>
          <w:sz w:val="18"/>
          <w:szCs w:val="18"/>
          <w:color w:val="auto"/>
        </w:rPr>
        <w:t>” means a Person qualifying for treatment as a “real estate investment trust” under the Internal Revenue Code.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shareholders, directors, officers, employees, agents, counsel, other advisors and representatives of such Person and of such Person’s Affiliates.</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- 26 -</w:t>
      </w:r>
    </w:p>
    <w:p>
      <w:pPr>
        <w:spacing w:after="0" w:line="200" w:lineRule="exact"/>
        <w:rPr>
          <w:sz w:val="20"/>
          <w:szCs w:val="20"/>
          <w:color w:val="auto"/>
        </w:rPr>
      </w:pPr>
    </w:p>
    <w:p>
      <w:pPr>
        <w:spacing w:after="0" w:line="33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FRB or the Federal Reserve Bank of New York, or a committee officially endorsed or convened by the FRB or the Federal Reserve Bank of New York, or any successor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Lenders</w:t>
      </w:r>
      <w:r>
        <w:rPr>
          <w:rFonts w:ascii="Times New Roman" w:cs="Times New Roman" w:eastAsia="Times New Roman" w:hAnsi="Times New Roman"/>
          <w:sz w:val="18"/>
          <w:szCs w:val="18"/>
          <w:color w:val="auto"/>
        </w:rPr>
        <w:t>” means, as of any date, Lenders having more than 50.0% of the outstanding principal amount of all Loans; provided that</w:t>
      </w:r>
    </w:p>
    <w:p>
      <w:pPr>
        <w:spacing w:after="0" w:line="31" w:lineRule="exact"/>
        <w:rPr>
          <w:sz w:val="20"/>
          <w:szCs w:val="20"/>
          <w:color w:val="auto"/>
        </w:rPr>
      </w:pPr>
    </w:p>
    <w:p>
      <w:pPr>
        <w:ind w:firstLine="8"/>
        <w:spacing w:after="0" w:line="260" w:lineRule="auto"/>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such percentage at any given time, all then existing Defaulting Lenders will be disregarded and excluded, and (y) at all times when two or more Lenders (excluding Defaulting Lenders) are party to this Agreement, the term “Requisite Lenders” shall in no event mean less than two Lenders.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Indebtedness</w:t>
      </w:r>
      <w:r>
        <w:rPr>
          <w:rFonts w:ascii="Times New Roman" w:cs="Times New Roman" w:eastAsia="Times New Roman" w:hAnsi="Times New Roman"/>
          <w:sz w:val="18"/>
          <w:szCs w:val="18"/>
          <w:color w:val="auto"/>
        </w:rPr>
        <w:t>” means Indebtedness of the type described in clause (a), (b), (c) or (f) of the definition thereof or of the type described in clause (i) or (j) of the definition thereof entered into with respect to Indebtedness of the type described in clauses (a), (b), (c) or (f) of the definition thereof (other than Nonrecourse Indebtedness and Indebtedness of a Subsidiary owing to a Borrower).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with respect to any Loan Party, the chairman, the chief executive officer, the chief operating officer, the chief financial officer, the treasurer, the general counsel, any executive vice president and any senior vice president of such Loan Party, and with respect to any Subsidiary (other than a Loan Party), the chief executive officer, the chief operating officer and the chief financial officer.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 any dividend or other distribution, direct or indirect, on account of any Equity Interest of the Parent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Parent or any of its Subsidiaries now or hereafter outstanding; and (c) any payment made to retire, or to obtain the surrender of, any outstanding warrants, options or other rights to acquire any Equity Interests of the Parent or any of its Subsidiaries now or hereafter outstanding.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territory or region which is, or whose government is, the subject or target of any Sanctions (including, without limitation, at the time of this agreement, the Crimea, Zaporizhzhia and Kherson Regions of Ukraine, the so-called Donetsk People’s Republic or Luhansk People’s Republic regions of Ukraine, Cuba, Iran, and North Korea).</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any Governmental Authority of the United States of America, including without limitation, OFAC or the U.S. Department of State, or by the United Nations Security Council, His Majesty’s Treasury, the European Union or any other Governmental Authority, (b) any Person located, operating, organized or resident in a</w:t>
      </w:r>
    </w:p>
    <w:p>
      <w:pPr>
        <w:sectPr>
          <w:pgSz w:w="11900" w:h="16838" w:orient="portrait"/>
          <w:cols w:equalWidth="0" w:num="1">
            <w:col w:w="11240"/>
          </w:cols>
          <w:pgMar w:left="320" w:top="1417" w:right="339" w:bottom="1440" w:gutter="0" w:footer="0" w:header="0"/>
        </w:sectPr>
      </w:pPr>
    </w:p>
    <w:bookmarkStart w:id="110" w:name="page111"/>
    <w:bookmarkEnd w:id="110"/>
    <w:p>
      <w:pPr>
        <w:jc w:val="both"/>
        <w:spacing w:after="0" w:line="282" w:lineRule="auto"/>
        <w:rPr>
          <w:sz w:val="20"/>
          <w:szCs w:val="20"/>
          <w:color w:val="auto"/>
        </w:rPr>
      </w:pPr>
      <w:r>
        <w:rPr>
          <w:rFonts w:ascii="Times New Roman" w:cs="Times New Roman" w:eastAsia="Times New Roman" w:hAnsi="Times New Roman"/>
          <w:sz w:val="18"/>
          <w:szCs w:val="18"/>
          <w:color w:val="auto"/>
        </w:rPr>
        <w:t>Sanctioned Country, (c) an agency of the government of a Sanctioned Country or (d) any Person Controlled by any Person or agency described in any of the preceding clauses (a) through (c).</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sanctions or trade embargoes imposed, administered or enforced by any Governmental Authority of the United States of America, including without limitation, OFAC or the U.S. Department of State, or by the United Nations Security Council, His Majesty’s Treasury, the European Union or any other Governmental Authority.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- 27 -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means, with respect to a Person as of a given date, the aggregate principal amount of all Indebtedness of such Person outstanding on such date that is secured in any manner by any Lien on any property, including any Nonrecourse Indebtedness of such Person that is secured only by a pledge of Equity Interests, but excluding, for the avoidance of doubt, the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together with all rules and regulations issued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 Operator</w:t>
      </w:r>
      <w:r>
        <w:rPr>
          <w:rFonts w:ascii="Times New Roman" w:cs="Times New Roman" w:eastAsia="Times New Roman" w:hAnsi="Times New Roman"/>
          <w:sz w:val="18"/>
          <w:szCs w:val="18"/>
          <w:color w:val="auto"/>
        </w:rPr>
        <w:t>” means Summit Entertainment Venture LLC, a Delaware limited liability company and its direct and indirect Subsidiaries so long as Summit Entertainment Venture LLC and/or such Subsidiaries are (i) Subsidiaries of the Parent and (ii) own SEV Investments.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 Investments</w:t>
      </w:r>
      <w:r>
        <w:rPr>
          <w:rFonts w:ascii="Times New Roman" w:cs="Times New Roman" w:eastAsia="Times New Roman" w:hAnsi="Times New Roman"/>
          <w:sz w:val="18"/>
          <w:szCs w:val="18"/>
          <w:color w:val="auto"/>
        </w:rPr>
        <w:t>” means Investments that are comprised of the ownership, management, and strategic development of immersive and experiential consumer offerings, including consulting services, food and beverage programming, and the creation of proprietary software and technology intellectual property; provided that, for purposes of calculating SEV Value included in Unencumbered Asset Value (i) such Investment shall not be subject to any Lien or Negative Pledge, (ii) if such Investment is owned by a Subsidiary, no Borrower’s direct or indirect ownership interest in such Subsidiary is subject to any Lien or Negative Pledge, (iii) a Borrower has a right, directly or indirectly through a Subsidiary, to create Liens on such Investment as security for Indebtedness of such Borrower and to sell, transfer or otherwise dispose of such Investment, without the consent of any Person and (iv) with respect to which Investment no obligor, if applicable, is more than 60 days past due on payment obligations (including any required distributions thereof) thereunder. For the avoidance of doubt, no SEV Investment shall constitute a Newly-Acquired Property, a Transition Asset, a Development Property or a “property acquired during the six fiscal quarters most recently ended” or similar terms as used in the Loan Documents.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 Value</w:t>
      </w:r>
      <w:r>
        <w:rPr>
          <w:rFonts w:ascii="Times New Roman" w:cs="Times New Roman" w:eastAsia="Times New Roman" w:hAnsi="Times New Roman"/>
          <w:sz w:val="18"/>
          <w:szCs w:val="18"/>
          <w:color w:val="auto"/>
        </w:rPr>
        <w:t>” means, for any date of determination, EBITDA of the SEV Operator generated from the ownership of SEV Investments for the immediately preceding period of four consecutive fiscal quarters (excluding EBITDA contributions from SEV Investments, which the Borrower has elected to value pursuant to the proviso to this definition), divided by 10.0%; provided that, with respect to any SEV Investment that has been held by the SEV Operator less than two years prior to such date of determination, the Borrower may elect to include in the SEV Value the book value of such SEV Investment determined in accordance with GAAP (notwithstanding this proviso, once the Borrower elects to determine the value of any SEV Investment as its EBITDA contribution divided by the 10.0%, such election shall be irrevocable).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Single Asset Entity</w:t>
      </w:r>
      <w:r>
        <w:rPr>
          <w:rFonts w:ascii="Times New Roman" w:cs="Times New Roman" w:eastAsia="Times New Roman" w:hAnsi="Times New Roman"/>
          <w:sz w:val="18"/>
          <w:szCs w:val="18"/>
          <w:color w:val="auto"/>
        </w:rPr>
        <w:t>” means a Person (other than an individual) that (a) only owns either (x) a single Property or (y) Structured Finance Investments, and in either case, cash and other assets of nominal value incidental to such Person’s ownership of such Property or such Structured Finance Investments, as the case may be; (b) is engaged only in the business of owning, developing and/or leasing such Property or owning and/or servicing such Structured Finance Investment, as the case may be; and (c) receives substantially all of its gross revenues from such Property or Structured Finance Investments, as the case may be. In addition, if the assets of a Person consist solely of (i) Equity Interests in one or more other Single Asset Entities owning Properties and not Structured Finance Investments and (ii) cash and other assets of nominal value incidental to such Person’s ownership of the other Single</w:t>
      </w:r>
    </w:p>
    <w:p>
      <w:pPr>
        <w:sectPr>
          <w:pgSz w:w="11900" w:h="16838" w:orient="portrait"/>
          <w:cols w:equalWidth="0" w:num="1">
            <w:col w:w="11240"/>
          </w:cols>
          <w:pgMar w:left="320" w:top="1417" w:right="3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Asset Entities, such Person shall also be deemed to be a Single Asset Entity for purposes of this Agreement (such an entity, a “Single Asset Holding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Single Asset Holding Company</w:t>
      </w:r>
      <w:r>
        <w:rPr>
          <w:rFonts w:ascii="Times New Roman" w:cs="Times New Roman" w:eastAsia="Times New Roman" w:hAnsi="Times New Roman"/>
          <w:sz w:val="18"/>
          <w:szCs w:val="18"/>
          <w:color w:val="auto"/>
        </w:rPr>
        <w:t>” has the meaning given that term in the definition of Single Asset Entity.</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- 28 -</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SLGOP</w:t>
      </w:r>
      <w:r>
        <w:rPr>
          <w:rFonts w:ascii="Times New Roman" w:cs="Times New Roman" w:eastAsia="Times New Roman" w:hAnsi="Times New Roman"/>
          <w:sz w:val="18"/>
          <w:szCs w:val="18"/>
          <w:color w:val="auto"/>
        </w:rPr>
        <w:t>” has the meaning given that term in the introductory paragraph hereof and shall include SLGOP’s successors and permitted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SL Green Funding</w:t>
      </w:r>
      <w:r>
        <w:rPr>
          <w:rFonts w:ascii="Times New Roman" w:cs="Times New Roman" w:eastAsia="Times New Roman" w:hAnsi="Times New Roman"/>
          <w:sz w:val="18"/>
          <w:szCs w:val="18"/>
          <w:color w:val="auto"/>
        </w:rPr>
        <w:t>” means SL Green Funding LLC, a New York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Determination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Daily Simple SOFR Loan or a Term SOFR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Contract</w:t>
      </w:r>
      <w:r>
        <w:rPr>
          <w:rFonts w:ascii="Times New Roman" w:cs="Times New Roman" w:eastAsia="Times New Roman" w:hAnsi="Times New Roman"/>
          <w:sz w:val="18"/>
          <w:szCs w:val="18"/>
          <w:color w:val="auto"/>
        </w:rPr>
        <w:t>” means any Derivatives Contract, together with any Derivatives Support Document relating thereto, that is made or entered into at any time, or in effect at any time now or hereafter, whether as a result of an assignment or transfer or otherwise, between a Loan Party and any Specified Derivatives Provider.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Obligations</w:t>
      </w:r>
      <w:r>
        <w:rPr>
          <w:rFonts w:ascii="Times New Roman" w:cs="Times New Roman" w:eastAsia="Times New Roman" w:hAnsi="Times New Roman"/>
          <w:sz w:val="18"/>
          <w:szCs w:val="18"/>
          <w:color w:val="auto"/>
        </w:rPr>
        <w:t>” means all indebtedness, liabilities, obligations, covenants and duties of any Loan Party or its Subsidiaries under or in respect of any Specified Derivatives Contract, whether direct or indirect, absolute or contingent, due or not due, liquidated or unliquidated, and whether or not evidenced by any written confirmation.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Provider</w:t>
      </w:r>
      <w:r>
        <w:rPr>
          <w:rFonts w:ascii="Times New Roman" w:cs="Times New Roman" w:eastAsia="Times New Roman" w:hAnsi="Times New Roman"/>
          <w:sz w:val="18"/>
          <w:szCs w:val="18"/>
          <w:color w:val="auto"/>
        </w:rPr>
        <w:t>” means any Person that (a) at the time it enters into a Specified Derivatives Contract with a Loan Party, is a Lender or an Affiliate of a Lender or (b) at the time it (or its Affiliate) becomes a Lender or the Administrative Agent (including on the Effective Date), is a party to a Specified Derivatives Contract with a Loan Party, in each case in its capacity as a party to such Specified Derivatives Contract.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or any successor.</w:t>
      </w:r>
    </w:p>
    <w:p>
      <w:pPr>
        <w:sectPr>
          <w:pgSz w:w="11900" w:h="16838" w:orient="portrait"/>
          <w:cols w:equalWidth="0" w:num="1">
            <w:col w:w="11240"/>
          </w:cols>
          <w:pgMar w:left="320" w:top="1417" w:right="339" w:bottom="1440" w:gutter="0" w:footer="0" w:header="0"/>
        </w:sectPr>
      </w:pPr>
    </w:p>
    <w:bookmarkStart w:id="112" w:name="page113"/>
    <w:bookmarkEnd w:id="112"/>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- 29 -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Structured Finance Investments</w:t>
      </w:r>
      <w:r>
        <w:rPr>
          <w:rFonts w:ascii="Times New Roman" w:cs="Times New Roman" w:eastAsia="Times New Roman" w:hAnsi="Times New Roman"/>
          <w:sz w:val="18"/>
          <w:szCs w:val="18"/>
          <w:color w:val="auto"/>
        </w:rPr>
        <w:t>” means, collectively, Investments directly or indirectly in (i) Indebtedness secured by Mortgages and Indebtedness in the form of mezzanine loans, (ii) preferred equity Investments (including preferred limited partnership interests) in entities owning (or leasing pursuant to a Ground Lease) real estate properties, (iii) certificates, notes or similar instruments issued by vehicles holding promissory notes secured by a Mortgage and (iv) securitizations (including any transaction which is a “securitisation” as defined in the EU Securitisation Regulation) or other obligation issued by a special purpose vehicle and secured directly by, referenced to, or representing ownership of, a pool of receivables or other financial assets of any obligor, including collateralized debt obligations and mortgaged-backed securities, any finance lease, debt securities, equity securities or composite or combination securities; including synthetic securities that provide synthetic credit exposure to any such receivables or assets, that entitle the holders thereof to receive payments that (A) depend on the cash flow from a portfolio consisting primarily of ownership interests in any such receivables or assets or (B) are subject to losses owing to credit events (howsoever defined) under credit derivative transactions with respect to any such receivables or assets.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Structured Finance Value</w:t>
      </w:r>
      <w:r>
        <w:rPr>
          <w:rFonts w:ascii="Times New Roman" w:cs="Times New Roman" w:eastAsia="Times New Roman" w:hAnsi="Times New Roman"/>
          <w:sz w:val="18"/>
          <w:szCs w:val="18"/>
          <w:color w:val="auto"/>
        </w:rPr>
        <w:t>” means (a) for the purpose of determining Total Asset Value, an amount equal to the value (as determined in accordance with GAAP) of each Structured Finance Investment and (b) for the purpose of determining Unencumbered Asset Value, an amount equal to the value (as determined in accordance with GAAP) of each Structured Finance Investment (i) that is owned by a Borrower or a Wholly Owned Subsidiary,</w:t>
      </w:r>
    </w:p>
    <w:p>
      <w:pPr>
        <w:jc w:val="both"/>
        <w:ind w:firstLine="8"/>
        <w:spacing w:after="0" w:line="253" w:lineRule="auto"/>
        <w:tabs>
          <w:tab w:leader="none" w:pos="2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any Lien or Negative Pledge, (iii) that if owned by a Subsidiary, no Borrower’s direct or indirect ownership interest in such Subsidiary is subject to any Lien or Negative Pledge, (iv) with respect to which a Borrower has a right, directly or indirectly through a Subsidiary, to create Liens on such Structured Finance Investment as security for Indebtedness of such Borrower and to sell, transfer or otherwise dispose of such Structured Finance Investment, in the case, without the consent of any Person and (v) in respect of which no obligor is more than 60 days past due in respect of its payment obligations thereunder.</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for any Person, any corporation, partnership, limited liability company or other entity of which at least a majority of the Equity Interests having by the terms thereof ordinary voting power to elect a majority of the board of directors or other individuals performing similar functions of such corporation, partnership, limited liability company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SUMMIT One Vanderbilt</w:t>
      </w:r>
      <w:r>
        <w:rPr>
          <w:rFonts w:ascii="Times New Roman" w:cs="Times New Roman" w:eastAsia="Times New Roman" w:hAnsi="Times New Roman"/>
          <w:sz w:val="18"/>
          <w:szCs w:val="18"/>
          <w:color w:val="auto"/>
        </w:rPr>
        <w:t>” means the Property comprising the Summit observatory located at the Property known as One Vanderbilt. For the avoidance of doubt, SUMMIT One Vanderbilt shall not constitute a Newly-Acquired Property, a Transition Asset, a Development Property or a “property acquired during the six fiscal quarters most recently ended” or similar terms as used in the Loan Documents.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SUMMIT One Vanderbilt Operator</w:t>
      </w:r>
      <w:r>
        <w:rPr>
          <w:rFonts w:ascii="Times New Roman" w:cs="Times New Roman" w:eastAsia="Times New Roman" w:hAnsi="Times New Roman"/>
          <w:sz w:val="18"/>
          <w:szCs w:val="18"/>
          <w:color w:val="auto"/>
        </w:rPr>
        <w:t>” means Summit OVA Tenant LLC d/b/a Summit One Vanderbilt, a Subsidiary of the Parent, which operates SUMMIT One Vanderbilt.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SUMMIT One Vanderbilt Value</w:t>
      </w:r>
      <w:r>
        <w:rPr>
          <w:rFonts w:ascii="Times New Roman" w:cs="Times New Roman" w:eastAsia="Times New Roman" w:hAnsi="Times New Roman"/>
          <w:sz w:val="18"/>
          <w:szCs w:val="18"/>
          <w:color w:val="auto"/>
        </w:rPr>
        <w:t>” means, at a given time, EBITDA of the SUMMIT One Vanderbilt Operator for the immediately preceding period of four consecutive fiscal quarters divided by the Capitalization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Adjustment Limitations</w:t>
      </w:r>
      <w:r>
        <w:rPr>
          <w:rFonts w:ascii="Times New Roman" w:cs="Times New Roman" w:eastAsia="Times New Roman" w:hAnsi="Times New Roman"/>
          <w:sz w:val="18"/>
          <w:szCs w:val="18"/>
          <w:color w:val="auto"/>
        </w:rPr>
        <w:t>” means as set forth in Section 12.6(f).</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240"/>
          </w:cols>
          <w:pgMar w:left="320" w:top="1440" w:right="339" w:bottom="1440" w:gutter="0" w:footer="0" w:header="0"/>
        </w:sectPr>
      </w:pPr>
    </w:p>
    <w:bookmarkStart w:id="113" w:name="page114"/>
    <w:bookmarkEnd w:id="11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Linked Loan Principles</w:t>
      </w:r>
      <w:r>
        <w:rPr>
          <w:rFonts w:ascii="Times New Roman" w:cs="Times New Roman" w:eastAsia="Times New Roman" w:hAnsi="Times New Roman"/>
          <w:sz w:val="18"/>
          <w:szCs w:val="18"/>
          <w:color w:val="auto"/>
        </w:rPr>
        <w:t>” means the Sustainability Linked Loan Principles (as published in March, 2025 by the Loan Market Association, Asia Pacific Loan Market Association and Loan Syndications &amp; Trading Association).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Structuring Agent</w:t>
      </w:r>
      <w:r>
        <w:rPr>
          <w:rFonts w:ascii="Times New Roman" w:cs="Times New Roman" w:eastAsia="Times New Roman" w:hAnsi="Times New Roman"/>
          <w:sz w:val="18"/>
          <w:szCs w:val="18"/>
          <w:color w:val="auto"/>
        </w:rPr>
        <w:t>” means Wells Fargo Securities, LLC as sustainability structuring agent under this agreement, or any successor Sustainability Structuring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Agent</w:t>
      </w:r>
      <w:r>
        <w:rPr>
          <w:rFonts w:ascii="Times New Roman" w:cs="Times New Roman" w:eastAsia="Times New Roman" w:hAnsi="Times New Roman"/>
          <w:sz w:val="18"/>
          <w:szCs w:val="18"/>
          <w:color w:val="auto"/>
        </w:rPr>
        <w:t>” means the Person identified as such in the introductory paragraph hereof and shall include such Person’s successors and permitted assigns.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that if Term SOFR determined as provided above (including pursuant to the proviso) shall ever be less than the Floor, then Term SOFR shall be deemed to be the Floor.</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means a Loan that bears interest at a rate based on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Titled Agents</w:t>
      </w:r>
      <w:r>
        <w:rPr>
          <w:rFonts w:ascii="Times New Roman" w:cs="Times New Roman" w:eastAsia="Times New Roman" w:hAnsi="Times New Roman"/>
          <w:sz w:val="18"/>
          <w:szCs w:val="18"/>
          <w:color w:val="auto"/>
        </w:rPr>
        <w:t>” means each of the Lead Arrangers, the Bookrunners, the Syndication Agents, the Documentation Agents and the Sustainability Structuring Agent.</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- 31 -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 Value</w:t>
      </w:r>
      <w:r>
        <w:rPr>
          <w:rFonts w:ascii="Times New Roman" w:cs="Times New Roman" w:eastAsia="Times New Roman" w:hAnsi="Times New Roman"/>
          <w:sz w:val="18"/>
          <w:szCs w:val="18"/>
          <w:color w:val="auto"/>
        </w:rPr>
        <w:t>” means, with respect to a Person, at a given time, the sum (without duplication) of all of the following of such Person and its Subsidiaries determined on a consolidated basis in accordance with GAAP applied on a consistent basis: (a) cash and Cash Equivalents (other than tenant deposits and other cash and Cash Equivalents that are subject to a Lien or a Negative Pledge or the disposition of which is restricted in any way); plus</w:t>
      </w: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(i) EBITDA of such Person and its Subsidiaries for the immediately preceding period of four consecutive fiscal quarters, divided by</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8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Rate; provided that, for the Annualization Period for a Newly-Acquired Property or Transition Asset, the EBITDA attributable to such Newly-Acquired Property or such Transition Asset, as applicable, shall be determined on an Annualized basis; plus (c) the GAAP book value of Properties acquired during the six fiscal quarters most recently ended; plus (d) the GAAP book value of all Development Properties; plus (e) the GAAP book value of Unimproved Land, Mortgage Receivables and other promissory notes plus (f) the sum of the Structured Finance Value and the Fund Investment Value; plus (g) the</w:t>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52" w:lineRule="auto"/>
        <w:rPr>
          <w:sz w:val="20"/>
          <w:szCs w:val="20"/>
          <w:color w:val="auto"/>
        </w:rPr>
      </w:pPr>
      <w:r>
        <w:rPr>
          <w:rFonts w:ascii="Times New Roman" w:cs="Times New Roman" w:eastAsia="Times New Roman" w:hAnsi="Times New Roman"/>
          <w:sz w:val="18"/>
          <w:szCs w:val="18"/>
          <w:color w:val="auto"/>
        </w:rPr>
        <w:t>GAAP book value of Transition Assets; plus (h) sum of the SUMMIT One Vanderbilt Value and the SEV Value as of such date; plus (i) mark-to-market value of Marketable Securities (provided that such Marketable Securities must not be subject to any lock-up or other transfer restrictions) and the aggregate positive amount of net cash proceeds that would be due to such Person from all Qualified Forward Equity Contracts that have not yet settled as of such date, calculated as if such Qualified Forward Equity Contracts were settled by such Person’s delivery of its common shares as of, and such net cash proceeds were actually received on, the last day of the applicable calculation period; plus (j) the GAAP book value of Investments in Unconsolidated Affiliates (for the avoidance of doubt, assets owned by Unconsolidated Affiliates which are described in clauses (a) – (i) above shall not separately be included in the calculation of Total Asset Value). EBITDA attributable to (s) SUMMIT One Vanderbilt Operator, (t) SEV Operator, (u) Properties acquired or disposed of during the six fiscal quarters ending immediately prior to any date of determination of Total Asset Value, (v) Properties that were Development Properties at the end of such fiscal quarter, (w) Mortgage Receivables or other promissory notes, (x) Structured Finance Investments or Fund Investments, (y) Transition Assets or (z) Marketable Securities or forward equity trades, shall not be included in the calculation of Total Asset Value under clause (b) above. Notwithstanding the foregoing (I) if the contribution from clause (f) above should exceed 20% of Total Asset Value, such excess shall be excluded from the calculation of Total Asset Value, (II) if the contribution from clause (j) above should exceed 35% of Total Asset Value, such excess shall be excluded from the calculation of Total Asset Value, (III) if the contribution from SEV Value should exceed 5% of Total Asset Value, such excess shall be excluded from the calculation of Total Asset Value and (IV) if the contribution from (A) Unimproved Land, (B) Equity Interests in Persons (other than consolidated Subsidiaries and Unconsolidated Affiliates), (C) Mortgage Receivables in favor of such Person or any of its Subsidiaries (valued based on aggregate book value), (D) Structured Finance Value and Fund Investment Value, (E) Investments in Properties that are not (1) office Properties or (2) retail or multifamily Properties that are located in New York City, (F) the SEV Value and (G) the aggregate amount of the costs incurred with respect to (1) any Property of such Person or any of its Subsidiaries that is under construction (including any Development Property) and (2) any Transition Asset of such Person or any of its Subsidiaries, in each case determined on the basis of “construction-in-process” in accordance with GAAP, if applicable, and if not applicable, by the GAAP book value of such Property, in the aggregate for clauses (A) – (G) should exceed 40% of Total Asset Value, such excess shall be excluded from the calculation of Total Asset Value.</w:t>
      </w:r>
    </w:p>
    <w:p>
      <w:pPr>
        <w:spacing w:after="0" w:line="18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Indebtedness</w:t>
      </w:r>
      <w:r>
        <w:rPr>
          <w:rFonts w:ascii="Times New Roman" w:cs="Times New Roman" w:eastAsia="Times New Roman" w:hAnsi="Times New Roman"/>
          <w:sz w:val="18"/>
          <w:szCs w:val="18"/>
          <w:color w:val="auto"/>
        </w:rPr>
        <w:t>” means, with respect to any Person at any time of determination, all Indebtedness of such Person and its Subsidiaries determined on a consolidated basis in accordance with GAAP applied on a consistent basis.</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Asset</w:t>
      </w:r>
      <w:r>
        <w:rPr>
          <w:rFonts w:ascii="Times New Roman" w:cs="Times New Roman" w:eastAsia="Times New Roman" w:hAnsi="Times New Roman"/>
          <w:sz w:val="18"/>
          <w:szCs w:val="18"/>
          <w:color w:val="auto"/>
        </w:rPr>
        <w:t>” means, at any time of determination, either (a) Property that was acquired by a Borrower, a Subsidiary or an Unconsolidated Affiliate within the period of six fiscal quarters most recently ended and when acquired had an Occupancy Rate of less than seventy percent (70.0%) or</w:t>
      </w:r>
    </w:p>
    <w:p>
      <w:pPr>
        <w:spacing w:after="0" w:line="1" w:lineRule="exact"/>
        <w:rPr>
          <w:sz w:val="20"/>
          <w:szCs w:val="20"/>
          <w:color w:val="auto"/>
        </w:rPr>
      </w:pPr>
    </w:p>
    <w:p>
      <w:pPr>
        <w:jc w:val="both"/>
        <w:ind w:firstLine="8"/>
        <w:spacing w:after="0" w:line="252" w:lineRule="auto"/>
        <w:tabs>
          <w:tab w:leader="none" w:pos="26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Property identified by the Borrower Representative in a written notice (which may be by telecopy or electronic mail) to the Administrative Agent on which the existing building is undergoing a renovation or redevelopment that will result in at least thirty percent (30%) of the total gross leasable area of such building being unavailable for occupancy. A Transition Asset of the type described in clause (a) of this definition will cease to be a Transition Asset immediately following the last day of the period of six fiscal quarters commencing with the fiscal quarter in which such Property was acquired, and a Transition Asset of the type described in clause (b) of this definition will cease to be a Transition Asset immediately following the last day of the period of six fiscal quarters commencing with the fiscal quarter in which all improvements related to the renovation or redevelopment were completed. A Transition Asset of the type described in clause (a) of this definition shall in no event be considered to be a Newly-Acquired Property.</w:t>
      </w:r>
    </w:p>
    <w:p>
      <w:pPr>
        <w:spacing w:after="0" w:line="228" w:lineRule="exact"/>
        <w:rPr>
          <w:rFonts w:ascii="Times New Roman" w:cs="Times New Roman" w:eastAsia="Times New Roman" w:hAnsi="Times New Roman"/>
          <w:sz w:val="18"/>
          <w:szCs w:val="18"/>
          <w:color w:val="auto"/>
        </w:rPr>
      </w:pPr>
    </w:p>
    <w:p>
      <w:pPr>
        <w:ind w:left="5520" w:hanging="104"/>
        <w:spacing w:after="0"/>
        <w:tabs>
          <w:tab w:leader="none" w:pos="5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means SL Green Capital Trust I, a Delaware statutory trust.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Type</w:t>
      </w:r>
      <w:r>
        <w:rPr>
          <w:rFonts w:ascii="Times New Roman" w:cs="Times New Roman" w:eastAsia="Times New Roman" w:hAnsi="Times New Roman"/>
          <w:sz w:val="17"/>
          <w:szCs w:val="17"/>
          <w:color w:val="auto"/>
        </w:rPr>
        <w:t>” with respect to any Loan, refers to whether such Loan or portion thereof is a Daily Simple SOFR Loan, a Term SOFR Loan or a Base Rate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ectPr>
          <w:pgSz w:w="11900" w:h="16838" w:orient="portrait"/>
          <w:cols w:equalWidth="0" w:num="1">
            <w:col w:w="11240"/>
          </w:cols>
          <w:pgMar w:left="320" w:top="1417" w:right="339" w:bottom="1440" w:gutter="0" w:footer="0" w:header="0"/>
        </w:sectPr>
      </w:pPr>
    </w:p>
    <w:bookmarkStart w:id="115" w:name="page116"/>
    <w:bookmarkEnd w:id="115"/>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Unconsolidated Affiliate</w:t>
      </w:r>
      <w:r>
        <w:rPr>
          <w:rFonts w:ascii="Times New Roman" w:cs="Times New Roman" w:eastAsia="Times New Roman" w:hAnsi="Times New Roman"/>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Adjusted NOI</w:t>
      </w:r>
      <w:r>
        <w:rPr>
          <w:rFonts w:ascii="Times New Roman" w:cs="Times New Roman" w:eastAsia="Times New Roman" w:hAnsi="Times New Roman"/>
          <w:sz w:val="18"/>
          <w:szCs w:val="18"/>
          <w:color w:val="auto"/>
        </w:rPr>
        <w:t>” means, for any period, Net Operating Income from all Eligible Properties.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Asset Value</w:t>
      </w:r>
      <w:r>
        <w:rPr>
          <w:rFonts w:ascii="Times New Roman" w:cs="Times New Roman" w:eastAsia="Times New Roman" w:hAnsi="Times New Roman"/>
          <w:sz w:val="18"/>
          <w:szCs w:val="18"/>
          <w:color w:val="auto"/>
        </w:rPr>
        <w:t>” means, without duplication (a) the Unencumbered Adjusted NOI (excluding Net Operating Income attributable to</w:t>
      </w:r>
    </w:p>
    <w:p>
      <w:pPr>
        <w:spacing w:after="0" w:line="31" w:lineRule="exact"/>
        <w:rPr>
          <w:sz w:val="20"/>
          <w:szCs w:val="20"/>
          <w:color w:val="auto"/>
        </w:rPr>
      </w:pPr>
    </w:p>
    <w:p>
      <w:pPr>
        <w:jc w:val="both"/>
        <w:ind w:firstLine="8"/>
        <w:spacing w:after="0" w:line="250" w:lineRule="auto"/>
        <w:tabs>
          <w:tab w:leader="none" w:pos="2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Properties, (ii) Transition Assets, (iii) Newly-Acquired Properties, (iv) SUMMIT One Vanderbilt and (v) any Investment owned by the SEV Operator) for the immediately preceding period of four consecutive fiscal quarters divided by the Capitalization Rate; provided that, for the Annualization Period for a Newly-Acquired Property or Transition Asset, the Unencumbered Adjusted NOI for such Newly-Acquired Property or Transition Asset, as applicable, shall be determined on an Annualized basis, plus (b) the GAAP book value of all Eligible Properties acquired during the six fiscal quarters most recently ended, plus (c) the sum of the Structured Finance Value and the Fund Investment Value, plus (d) the GAAP book value of Development Properties or Transition Assets that would be “Eligible Properties” if fully developed; plus (e) the GAAP book value of Mortgage Receivables held by a Borrower, a Subsidiary or an Unconsolidated Affiliate (i) that are not, and if held by a Subsidiary or Unconsolidated Affiliate, no Borrower’s direct or indirect ownership interest in such Subsidiary or Unconsolidated Affiliate is, subject to any Lien (other than Permitted Liens) or any Negative Pledge, and (ii) with respect to which a Borrower has a right, directly or indirectly through a Subsidiary or Unconsolidated Affiliate, to create Liens on such Mortgage Receivables as security for Indebtedness of such Borrower and to sell, transfer or otherwise dispose of such Mortgage Receivable, in each case, without the need to obtain the consent of any Person; plus (f) cash and Cash Equivalents (other than tenant deposits and other cash and Cash Equivalents that are subject to a Lien or a Negative Pledge or the disposition of which is restricted in any way) of the Borrower, any Subsidiary or any Unconsolidated Affiliate, excluding any Subsidiary or Unconsolidated Affiliate whose Equity Interests are subject to a Lien or a Negative Pledge; plus</w:t>
      </w:r>
    </w:p>
    <w:p>
      <w:pPr>
        <w:spacing w:after="0" w:line="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SUMMIT One Vanderbilt Value to the extent that SUMMIT One Vanderbilt qualifies as an “Eligible Property”; plus (h) the SEV Value; plus</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marked-to-market value of Marketable Securities (provided that such Marketable Securities (i) must not be subject to any lock-up or other transfer restrictions, (ii) are not, and if held by a Subsidiary or Unconsolidated Affiliate, no Borrower’s direct or indirect ownership interest in such Subsidiary or Unconsolidated Affiliate is, subject to any Lien (other than Permitted Liens) or any Negative Pledge, and (iii) with respect to which a Borrower has a right, directly or indirectly through a Subsidiary or Unconsolidated Affiliate, to create Liens on such Marketable Security as security for Indebtedness of such Borrower and to sell, transfer or otherwise dispose of such Marketable Security, in each case, without the need to obtain the consent of any Person). For purposes of this definition, to the extent that the percentage of Unencumbered Asset Value attributable to (x) SEV Value would exceed 5% of the Unencumbered Asset Value, (y) (A) assets identified in clauses (c), (d) (not including 760 Madison Avenue, New York, New York), (e), (g) and (h) above,</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Unencumbered Adjusted NOI attributable to Unconsolidated Affiliates and (C) the GAAP book value of Eligible Properties acquired during the six fiscal quarters</w:t>
      </w:r>
    </w:p>
    <w:p>
      <w:pPr>
        <w:sectPr>
          <w:pgSz w:w="11900" w:h="16838" w:orient="portrait"/>
          <w:cols w:equalWidth="0" w:num="1">
            <w:col w:w="11240"/>
          </w:cols>
          <w:pgMar w:left="320" w:top="144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most recently ended and cash and Cash Equivalents which, with respect to this clause (C), are owned by, Unconsolidated Affiliates, would, for clauses</w:t>
      </w:r>
    </w:p>
    <w:p>
      <w:pPr>
        <w:spacing w:after="0" w:line="27" w:lineRule="exact"/>
        <w:rPr>
          <w:sz w:val="20"/>
          <w:szCs w:val="20"/>
          <w:color w:val="auto"/>
        </w:rPr>
      </w:pPr>
    </w:p>
    <w:p>
      <w:pPr>
        <w:jc w:val="both"/>
        <w:ind w:firstLine="8"/>
        <w:spacing w:after="0" w:line="250" w:lineRule="auto"/>
        <w:tabs>
          <w:tab w:leader="none" w:pos="2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in the aggregate exceed 35.0% of Unencumbered Asset Value and/or (z) Properties subject to a Ground Lease (not including each of 1185 Avenue of the Americas, New York, New York, and 711 Third Avenue, New York, New York) would exceed 10% of the Unencumbered Asset Value, then, in the case of each of clauses (x), (y) and (z), such excess shall be excluded from the calculation of Unencumbered Asset Value. Further, no Property (or Net Operating Income attributable to such Property), Structured Finance Investment, Fund Investment, Mortgage Receivable, cash or Cash Equivalent, SUMMIT One Vanderbilt Value, SEV Value or Marketable Security owned or held by, or allocated to the ownership share of, an entity other than a Borrower shall be included in the calculation of Unencumbered Asset Value if such entity, or an entity (other than a Borrower) that has a direct or indirect ownership interest in such entity, is an obligor in respect of any Indebtedness (other than Nonrecourse Indebtedness of the type described in clause (a) of the definition thereof). For the avoidance of doubt, in no event shall (I) any Property (or Net Operating Income attributable to such Property), Structured Finance Investment, Fund Investment, Mortgage Receivable, cash, Cash Equivalent or Marketable Security owned or held by a Single Asset Entity,</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2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SUMMIT One Vanderbilt Value held by the SUMMIT One Vanderbilt Operator, or (III) SEV Value held by a SEV Operator, if, in any such case, such applicable Person is an obligor in respect of any Indebtedness, be included in the calculation of Unencumbered Asset Value.</w:t>
      </w:r>
    </w:p>
    <w:p>
      <w:pPr>
        <w:spacing w:after="0" w:line="221" w:lineRule="exact"/>
        <w:rPr>
          <w:rFonts w:ascii="Times New Roman" w:cs="Times New Roman" w:eastAsia="Times New Roman" w:hAnsi="Times New Roman"/>
          <w:sz w:val="18"/>
          <w:szCs w:val="18"/>
          <w:color w:val="auto"/>
        </w:rPr>
      </w:pPr>
    </w:p>
    <w:p>
      <w:pPr>
        <w:ind w:left="5520" w:hanging="104"/>
        <w:spacing w:after="0"/>
        <w:tabs>
          <w:tab w:leader="none" w:pos="55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Unimproved Land</w:t>
      </w:r>
      <w:r>
        <w:rPr>
          <w:rFonts w:ascii="Times New Roman" w:cs="Times New Roman" w:eastAsia="Times New Roman" w:hAnsi="Times New Roman"/>
          <w:sz w:val="18"/>
          <w:szCs w:val="18"/>
          <w:color w:val="auto"/>
        </w:rPr>
        <w:t>” means land on which no development (other than improvements that are not material and are temporary in nature) has occurred and for which no development is scheduled in the following 12 months.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Unsecured Indebtedness</w:t>
      </w:r>
      <w:r>
        <w:rPr>
          <w:rFonts w:ascii="Times New Roman" w:cs="Times New Roman" w:eastAsia="Times New Roman" w:hAnsi="Times New Roman"/>
          <w:sz w:val="18"/>
          <w:szCs w:val="18"/>
          <w:color w:val="auto"/>
        </w:rPr>
        <w:t>” means, with respect to a Person, Indebtedness of such Person that is not Secured Indebtedness; provided, however, that any Indebtedness that is not Nonrecourse Indebtedness and that is secured only by a pledge of Equity Interests shall be deemed to be Unsecured Indebtedness.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2.2(b), 2.9, 2.10 and 2.11, in each case, such day is also a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given that term in Section 3.10.(g)(ii)(B)(III).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means Wells Fargo Bank, National Association, and its successors and assigns.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- 34 -</w:t>
      </w:r>
    </w:p>
    <w:p>
      <w:pPr>
        <w:spacing w:after="0" w:line="200" w:lineRule="exact"/>
        <w:rPr>
          <w:sz w:val="20"/>
          <w:szCs w:val="20"/>
          <w:color w:val="auto"/>
        </w:rPr>
      </w:pPr>
    </w:p>
    <w:p>
      <w:pPr>
        <w:spacing w:after="0" w:line="31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any Subsidiary of a Person in respect of which all of the Equity Interests (other than, in the case of a corporation, directors’ qualifying shares) are at the time directly or indirectly owned or controlled by such Person or one or more other Wholly Owned Subsidiaries of such Person or by such Person and one or more other Wholly Owned Subsidiaries of such Person. Notwithstanding anything in this definition to the contrary, SLGOP shall be deemed to be a Wholly Owned Subsidiary of the Parent, and SL Green Management Corp. shall be deemed to be a Wholly Owned Subsidiary of SLGOP.</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any liability as a result of a complete or partial withdrawal from a Multiemployer Plan as such terms are defined in Part I of Subtitle E of Title IV of ERISA.</w:t>
      </w:r>
    </w:p>
    <w:p>
      <w:pPr>
        <w:sectPr>
          <w:pgSz w:w="11900" w:h="16838" w:orient="portrait"/>
          <w:cols w:equalWidth="0" w:num="1">
            <w:col w:w="11240"/>
          </w:cols>
          <w:pgMar w:left="320" w:top="1417" w:right="339" w:bottom="1440" w:gutter="0" w:footer="0" w:header="0"/>
        </w:sectPr>
      </w:pPr>
    </w:p>
    <w:bookmarkStart w:id="117" w:name="page118"/>
    <w:bookmarkEnd w:id="117"/>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(a) the Borrower, (b) any other Loan Party or (c) the Administrative Agent, as applicable.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General; References to Eastern Time.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Borrowers or the Requisite Lenders shall so request, the Administrative Agent, the Lenders and the Borrowers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Except as expressly provided otherwise in any Loan Document, (i) any reference to any law shall include all statutory and regulatory provisions consolidating, amending, replacing, supplementing or interpreting such law and any reference to any law or regulation shall, unless otherwise specified, refer to such law or regulation as amended, modified, extended, restated, replaced or supplemented from time to time and (ii) any reference to any Person shall be construed to include such Person’s permitted successors and permitted assigns. Unless explicitly set forth to the contrary, a reference to “Subsidiary” means a Subsidiary of the Parent or a Subsidiary of such Subsidiary, a reference to an “Affiliate” means a reference to an Affiliate of the Parent and a reference to an “Unconsolidated Affiliate” means a reference to an Unconsolidated Affiliate of the Parent. Titles and captions of Articles, Sections, subsections and clauses in this Agreement are for convenience only, and neither limit nor amplify the provisions of this Agreement. Unless otherwise indicated, all references to time are references to Eastern time.</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1240"/>
          </w:cols>
          <w:pgMar w:left="320" w:top="144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Section 1.3. Divisions.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Rates.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Administrative Agent does not warrant or accept any responsibility for, and shall not have any liability with respect to, (a) the continuation of, administration of, submission of, calculation of or any other matter related to SOFR, Daily Simple SOFR,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4.2(b), will be similar to, or produce the same value or economic equivalence of, or have the same volume or liquidity as, SOFR, Daily Simple SOFR,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SOFR, Daily Simple SOFR, the Term SOFR Reference Rate, Term SOFR, any alternative, successor or replacement rate (including any Benchmark Replacement) or any relevant adjustments thereto and such transactions may be adverse to the Borrower . The Administrative Agent may select information sources or services in its reasonable discretion to ascertain SOFR, Daily Simple SOFR, the Term SOFR Reference Rate,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Financial Attributes of Unconsolidated Affiliates.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determining the compliance by the Parent or the Borrowers with any financial covenant contained in any of the Loan Documents only the Ownership Share of the Parent or the Borrower, as applicable, of the financial attributes (including the value of any Property (or Net Operating Income attributable to such Property), EBITDA, Structured Finance Investment, Fund Investment, Mortgage Receivable, cash or Cash Equivalent, SEV Value or SUMMIT One Vanderbilt Value) of an Unconsolidated Affiliate shall be included. For the avoidance of doubt, no Indebtedness of an Unconsolidated Affiliate shall be included in determining the compliance by the Parent or the Borrowers with any financial covenant contained in any of the Loan Documents.</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- 36 -</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Term Loans.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Loans</w:t>
      </w:r>
      <w:r>
        <w:rPr>
          <w:rFonts w:ascii="Times New Roman" w:cs="Times New Roman" w:eastAsia="Times New Roman" w:hAnsi="Times New Roman"/>
          <w:sz w:val="18"/>
          <w:szCs w:val="18"/>
          <w:color w:val="auto"/>
        </w:rPr>
        <w:t>. Subject to the terms and conditions set forth in this Agreement, on the Effective Date, each Lender severally and not jointly agrees to make a Loan to the Borrowers in the principal amount set forth for such Lender on Schedule I as such Lender’s “Commitment Amount”. Upon the funding by each Lender of its Loan</w:t>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82" w:lineRule="auto"/>
        <w:rPr>
          <w:sz w:val="20"/>
          <w:szCs w:val="20"/>
          <w:color w:val="auto"/>
        </w:rPr>
      </w:pPr>
      <w:r>
        <w:rPr>
          <w:rFonts w:ascii="Times New Roman" w:cs="Times New Roman" w:eastAsia="Times New Roman" w:hAnsi="Times New Roman"/>
          <w:sz w:val="18"/>
          <w:szCs w:val="18"/>
          <w:color w:val="auto"/>
        </w:rPr>
        <w:t>on the Effective Date, the Commitment of such Lender shall terminate whether or not the full amount of the Commitments are funded on such date. Any portion of a Loan that is repaid or prepaid may not be reborrowed.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Request for Term Loans</w:t>
      </w:r>
      <w:r>
        <w:rPr>
          <w:rFonts w:ascii="Times New Roman" w:cs="Times New Roman" w:eastAsia="Times New Roman" w:hAnsi="Times New Roman"/>
          <w:sz w:val="18"/>
          <w:szCs w:val="18"/>
          <w:color w:val="auto"/>
        </w:rPr>
        <w:t>. The Borrowers shall deliver to the Administrative Agent a Notice of Borrowing requesting that the Lenders make their respective Loans on the Effective Date (or in the case of Additional Loans, on the date of the funding thereof in accordance with Section 2.19.). Such Notice of Borrowing shall be delivered to the Administrative Agent not later than 12:00 noon Eastern time at least one (1) Business Day prior to a borrowing of Closing Date Loans and other Loans that are to be Base Rate Loans or Daily Simple SOFR Loans and not later than 12:00 noon Eastern time at least three (3) Business Days prior to a borrowing of Loans (other than the Closing Date Loans) that are to be Term SOFR Loans. Such Notice of Borrowing shall specify the aggregate principal amount of the Loans to be borrowed, the Type of the requested Loans and if such Loans are to be Term SOFR Loans, the initial Interest Period for such Loans.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Funding of Term Loans</w:t>
      </w:r>
      <w:r>
        <w:rPr>
          <w:rFonts w:ascii="Times New Roman" w:cs="Times New Roman" w:eastAsia="Times New Roman" w:hAnsi="Times New Roman"/>
          <w:sz w:val="18"/>
          <w:szCs w:val="18"/>
          <w:color w:val="auto"/>
        </w:rPr>
        <w:t>. Promptly after receipt of the Notice of Borrowing under the immediately preceding subsection (b), the Administrative Agent shall notify each Lender of the proposed borrowing. Each Lender shall deposit an amount equal to the Loan to be made by such Lender to the applicable Borrower with the Administrative Agent at the Principal Office, in immediately available funds not later than 12:00 noon Eastern time on the Effective Date. Subject to fulfillment of all applicable conditions set forth herein, the Administrative Agent shall make available to the applicable Borrower in the account specified in the Disbursement Instruction Agreement, not later than 3:00 p.m. Eastern time on the date of the requested borrowing of Loans, the proceeds of such amounts received by the Administrative Agent.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Assumptions Regarding Funding by Lenders</w:t>
      </w:r>
      <w:r>
        <w:rPr>
          <w:rFonts w:ascii="Times New Roman" w:cs="Times New Roman" w:eastAsia="Times New Roman" w:hAnsi="Times New Roman"/>
          <w:sz w:val="18"/>
          <w:szCs w:val="18"/>
          <w:color w:val="auto"/>
        </w:rPr>
        <w:t>. With respect to Loans to be made on the Effective Date, unless the Administrative Agent shall have been notified by any Lender that such Lender will not make available to the Administrative Agent a Loan to be made by such Lender in connection with any borrowing, the Administrative Agent may assume that such Lender will make the proceeds of such Loan available to the Administrative Agent in accordance with this Section, and the Administrative Agent may (but shall not be obligated to), in reliance upon such assumption, make available to the applicable Borrower the amount of such Loan to be provided by such Lender. In such event, if such Lender does not make available to the Administrative Agent the proceeds of such Loan, then such Lender and the Borrowers severally agree to pay to the Administrative Agent on demand the amount of such Loan with interest thereon, for each day from and including the date such Loan is made available to the applicable Borrower but excluding the date of payment to the Administrative Agent, at (i) in the case of a payment to be made by such Lender, the Overnight Rate and (ii) in the case of a payment to be made by a Borrower, the interest rate applicable to Base Rate Loans. If a Borrower and such Lender shall pay the amount of such interest to the Administrative Agent for the same or overlapping period, the Administrative Agent shall promptly remit to such Borrower the amount of such interest paid by the Borrowers for such period. If such Lender pays to the Administrative Agent the amount of such Loan, the amount so paid shall constitute such Lender’s Loan included in the borrowing. Any payment by any Borrower shall be without prejudice to any claim the Borrowers may have against a Lender that shall have failed to make available the proceeds of a Loan to be made by such Lender.</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- 37 -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Rates and Payment of Interest on Loans.</w:t>
      </w:r>
    </w:p>
    <w:p>
      <w:pPr>
        <w:sectPr>
          <w:pgSz w:w="11900" w:h="16838" w:orient="portrait"/>
          <w:cols w:equalWidth="0" w:num="1">
            <w:col w:w="11240"/>
          </w:cols>
          <w:pgMar w:left="320" w:top="1417" w:right="339" w:bottom="1440" w:gutter="0" w:footer="0" w:header="0"/>
        </w:sectPr>
      </w:pPr>
    </w:p>
    <w:bookmarkStart w:id="120" w:name="page121"/>
    <w:bookmarkEnd w:id="1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Rates</w:t>
      </w:r>
      <w:r>
        <w:rPr>
          <w:rFonts w:ascii="Times New Roman" w:cs="Times New Roman" w:eastAsia="Times New Roman" w:hAnsi="Times New Roman"/>
          <w:sz w:val="18"/>
          <w:szCs w:val="18"/>
          <w:color w:val="auto"/>
        </w:rPr>
        <w:t>. Each Borrower jointly and severally promises to pay to the Administrative Agent for the account of each Lender interest on the unpaid principal amount of each Loan made by such Lender to any Borrower for the period from and including the date of the making of such Loan to but excluding the date such Loan shall be paid in full, at the following per annum rates:</w:t>
      </w:r>
    </w:p>
    <w:p>
      <w:pPr>
        <w:spacing w:after="0" w:line="176"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during such periods as such Loan is a Base Rate Loan, at the Base Rate (as in effect from time to time), plus the Applicable Margin for Base Rate Loans;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during such periods as such Loan is a Daily Simple SOFR Loan, at Daily Simple SOFR for such Loan, plus the relevant Applicable Margin for SOFR Loans; and</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during such periods as such Loan is a Term SOFR Loan, at Term SOFR for such Loan for the Interest Period therefor, plus the relevant Applicable Margin for SOFR Loans.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while an Event of Default exists, each Borrower jointly and severally agrees to pay to the Administrative Agent for the account of each Lender, interest at the Post-Default Rate on the outstanding principal amount of any Loan made by such Lender and on any other amount payable by any Borrower hereunder or under the Notes held by such Lender to or for the account of such Lender (including without limitation, accrued but unpaid interest to the extent permitted under Applicable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Interest</w:t>
      </w:r>
      <w:r>
        <w:rPr>
          <w:rFonts w:ascii="Times New Roman" w:cs="Times New Roman" w:eastAsia="Times New Roman" w:hAnsi="Times New Roman"/>
          <w:sz w:val="18"/>
          <w:szCs w:val="18"/>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All determinations by the Administrative Agent of an interest rate hereunder shall be conclusive and binding on the Lenders and the Borrowers for all purposes, absent manifest error.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 SOFR Conforming Changes</w:t>
      </w:r>
      <w:r>
        <w:rPr>
          <w:rFonts w:ascii="Times New Roman" w:cs="Times New Roman" w:eastAsia="Times New Roman" w:hAnsi="Times New Roman"/>
          <w:sz w:val="18"/>
          <w:szCs w:val="18"/>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Representative and the Lenders of the effectiveness of any Conforming Changes in connection with the use or administration of Term SOFR.</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- 38 -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Number of Interest Periods.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may be no more than 2 different Interest Periods for Term SOFR Loans outstanding at the same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Repayment of Loans.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Borrower jointly and severally agrees to repay the entire outstanding principal amount of, and all accrued but unpaid interest on, the Loans on the Maturity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Optional Prepayments.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Section 4.4., any Borrower may prepay the Loans at any time without premium or penalty. The Borrower Representative shall give the Administrative Agent at least two (2) Business Days (or, in the case of SOFR Loans, U.S. Government Securities Business Days) prior notice (which may be by telephone (promptly followed by a written notice), telecopy or electronic mail) of the prepayment of any Loan. Each voluntary</w:t>
      </w:r>
    </w:p>
    <w:p>
      <w:pPr>
        <w:sectPr>
          <w:pgSz w:w="11900" w:h="16838" w:orient="portrait"/>
          <w:cols w:equalWidth="0" w:num="1">
            <w:col w:w="11240"/>
          </w:cols>
          <w:pgMar w:left="320" w:top="1417" w:right="339" w:bottom="1440" w:gutter="0" w:footer="0" w:header="0"/>
        </w:sectPr>
      </w:pPr>
    </w:p>
    <w:bookmarkStart w:id="121" w:name="page122"/>
    <w:bookmarkEnd w:id="121"/>
    <w:p>
      <w:pPr>
        <w:jc w:val="both"/>
        <w:spacing w:after="0" w:line="282" w:lineRule="auto"/>
        <w:rPr>
          <w:sz w:val="20"/>
          <w:szCs w:val="20"/>
          <w:color w:val="auto"/>
        </w:rPr>
      </w:pPr>
      <w:r>
        <w:rPr>
          <w:rFonts w:ascii="Times New Roman" w:cs="Times New Roman" w:eastAsia="Times New Roman" w:hAnsi="Times New Roman"/>
          <w:sz w:val="18"/>
          <w:szCs w:val="18"/>
          <w:color w:val="auto"/>
        </w:rPr>
        <w:t>prepayment of the Loans shall be in an aggregate minimum amount of $1,000,000 and integral multiples of $500,000 in excess thereof (or, if less, the aggregate principal amount of the Loans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Continuation.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So long as no Default or Event of Default exists, any Borrower may on any Business Day, with respect to any Term SOFR Loan, elect to maintain such Term SOFR Loan or any portion thereof as a Term SOFR Loan by selecting a new Interest Period for such Term SOFR Loan. Each Continuation of Term SOFR Loans of the same Class shall be in an aggregate minimum amount of $1,000,000 and integral multiples of $1,000,000 in excess of that amount, and each new Interest Period selected under this Section shall commence on the last day of the immediately preceding Interest Period. Each selection of a new Interest Period shall be made by the Borrower Representative giving to the Administrative Agent a Notice of Continuation not later than 12:00 noon Eastern time on the third U.S. Government Securities Business Day prior to the date of any such Continuation. Such notice of a Continuation shall be by telecopy, electronic mail or other similar form of communication in the form of a Notice of Continuation, specifying (a) the proposed date of such Continuation, (b) the Term SOFR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Borrowers once given. Promptly after receipt of a Notice of Continuation, the Administrative Agent shall notify each applicable Lender of the proposed Continuation. If the Borrower Representative shall fail to select in a timely manner a new Interest Period for any Term SOFR Loan in accordance with this Section, such Loan will automatically, on the last day of the current Interest Period therefor, continue as a Term SOFR Loan with an Interest Period of one month; provided, however that if a Default or Event of Default exists, such Loan will automatically, on the last day of the current Interest Period therefor, Convert into a Base Rate Loan notwithstanding the first sentence of Section 2.11. or such Borrower’s failure to comply with any of the terms of such Section.</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- 39 -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Conversion.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Borrower may on any Business Day, upon the Borrower Representative giving of a Notice of Conversion to the Administrative Agent by telecopy, electronic mail or other similar form of communication, Convert all or a portion of a Loan of one Type into a Loan of another Type; provided, however, a Base Rate Loan may not be Converted into a SOFR Loan if a Default or Event of Default exists. Each Conversion of Base Rate Loans of the same Class into SOFR Loans shall be in an aggregate minimum amount of $1,000,000 and integral multiples of $1,000,000 in excess of that amount. Each such Notice of Conversion shall be given not later than 12:00 noon Eastern time three (3) U.S. Government Securities Business Days prior to the date of any proposed Conversion. Promptly after receipt of a Notice of Conversion, the Administrative Agent shall notify each Lender of the proposed Conversion. Subject to the restrictions specified above, each Notice of Conversion shall be by telecopy, electronic mail or other similar form of communication in the form of a Notice of Conversion specifying (a) the requested date of such Conversion, (b) the Type of Loan to be Converted, (c) the portion of such Type and Class of Loan to be Converted, (d) the Type of Loan such Loan is to be Converted into and (e) if such Conversion is into a Term SOFR Loan, the requested duration of the Interest Period of such Loan. Each Notice of Conversion shall be irrevocable and binding on the Borrowers once given.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2.12.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Notes</w:t>
      </w:r>
      <w:r>
        <w:rPr>
          <w:rFonts w:ascii="Times New Roman" w:cs="Times New Roman" w:eastAsia="Times New Roman" w:hAnsi="Times New Roman"/>
          <w:sz w:val="18"/>
          <w:szCs w:val="18"/>
          <w:color w:val="auto"/>
        </w:rPr>
        <w:t>. Except in the case of a Lender that has requested that it not receive a Note, the Loans made by each Lender shall, in addition to this Agreement, also be evidenced by a Note, payable to such Lender, or its registered assignees, in a principal amount equal to the amount of its Commitment and otherwise duly completed.</w:t>
      </w:r>
    </w:p>
    <w:p>
      <w:pPr>
        <w:sectPr>
          <w:pgSz w:w="11900" w:h="16838" w:orient="portrait"/>
          <w:cols w:equalWidth="0" w:num="1">
            <w:col w:w="11240"/>
          </w:cols>
          <w:pgMar w:left="320" w:top="1417" w:right="339" w:bottom="1440" w:gutter="0" w:footer="0" w:header="0"/>
        </w:sectPr>
      </w:pPr>
    </w:p>
    <w:bookmarkStart w:id="122" w:name="page123"/>
    <w:bookmarkEnd w:id="1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Records</w:t>
      </w:r>
      <w:r>
        <w:rPr>
          <w:rFonts w:ascii="Times New Roman" w:cs="Times New Roman" w:eastAsia="Times New Roman" w:hAnsi="Times New Roman"/>
          <w:sz w:val="18"/>
          <w:szCs w:val="18"/>
          <w:color w:val="auto"/>
        </w:rPr>
        <w:t>. The date, amount, interest rate, Class, Type and duration of Interest Periods (if applicable) of each Loan made by each Lender to any Borrower, and each payment made on account of the principal thereof, shall be recorded by such Lender on its books and such entries shall be binding on such Borrower absent manifest error; provided, however, that (i) the failure of a Lender to make any such record shall not affect the obligations of such Borrower under any of the Loan Documents and (ii) if there is a discrepancy between such records of a Lender and the records maintained by the Administrative Agent pursuant to Sections 3.8. and 12.5.(c), in the absence of manifest error, the records maintained by the Administrative Agent pursuant to Sections 3.8. and 12.5.(c) shall be controlling.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Lost, Stolen, Destroyed or Mutilated Notes</w:t>
      </w:r>
      <w:r>
        <w:rPr>
          <w:rFonts w:ascii="Times New Roman" w:cs="Times New Roman" w:eastAsia="Times New Roman" w:hAnsi="Times New Roman"/>
          <w:sz w:val="18"/>
          <w:szCs w:val="18"/>
          <w:color w:val="auto"/>
        </w:rPr>
        <w:t>. Upon receipt by the Borrower Representative of (i) written notice from a Lender that a Note of such Lender has been lost, stolen, destroyed or mutilated, and (ii)(A) in the case of loss, theft or destruction, an unsecured agreement of indemnity from such Lender in form reasonably satisfactory to the Borrowers, or (B) in the case of mutilation, upon surrender and cancellation of such Note, the Borrowers shall at their own expense execute and deliver to such Lender a new Note dated the date of such lost, stolen, destroyed or mutilated 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- 40 -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2.13.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2.15.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2.16. Joint and Several Liability of the Borrowers.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obligations of each Borrower hereunder and under the other Loan Documents to which any Borrower is a party shall be joint and several, and, accordingly, each Borrower confirms that it is liable for the full amount of the Obligations, regardless of whether incurred by such Borrower or any other Borrower.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Borrower represents and warrants to the Administrative Agent and the Lenders that the Borrowers,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None of the Administrative Agent or any Lender shall be obligated or required before enforcing any Loan Document against a Borrower:</w:t>
      </w:r>
    </w:p>
    <w:p>
      <w:pPr>
        <w:spacing w:after="0" w:line="27" w:lineRule="exact"/>
        <w:rPr>
          <w:sz w:val="20"/>
          <w:szCs w:val="20"/>
          <w:color w:val="auto"/>
        </w:rPr>
      </w:pPr>
    </w:p>
    <w:p>
      <w:pPr>
        <w:jc w:val="both"/>
        <w:ind w:firstLine="8"/>
        <w:spacing w:after="0" w:line="253" w:lineRule="auto"/>
        <w:tabs>
          <w:tab w:leader="none" w:pos="2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pursue any right or remedy it may have against any other Borrower or any other Person or commence any suit or other proceeding against any other Borrower or any other Person in any court or other tribunal; (b) to make any claim in a liquidation or bankruptcy of any other Borrower or any other Person; or (c) to make demand of any other Borrower or any other Person or to enforce or seek to enforce or realize upon any collateral security held by the Administrative Agent or any Lender which may secure any of the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It is the intent of each Borrower, the Administrative Agent and the Lenders that in any proceeding of the types described in Sections 10.1.</w:t>
      </w:r>
    </w:p>
    <w:p>
      <w:pPr>
        <w:spacing w:after="0" w:line="27" w:lineRule="exact"/>
        <w:rPr>
          <w:sz w:val="20"/>
          <w:szCs w:val="20"/>
          <w:color w:val="auto"/>
        </w:rPr>
      </w:pPr>
    </w:p>
    <w:p>
      <w:pPr>
        <w:jc w:val="both"/>
        <w:ind w:firstLine="8"/>
        <w:spacing w:after="0" w:line="252" w:lineRule="auto"/>
        <w:tabs>
          <w:tab w:leader="none" w:pos="2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10.1.(f), a Borrower’s maximum obligation hereunder shall equal, but not exceed, the maximum amount which would not otherwise cause the obligations of such Borrower hereunder to be avoidable or unenforceable against such Borrower in such proceeding as a result of Applicable Law, including without limitation, (i) Section 548 of the Bankruptcy Code and (ii) any state fraudulent transfer or fraudulent conveyance act or statute applied in such proceeding, whether by virtue of Section 544 of the Bankruptcy Code or otherwise. The Applicable Laws under which the possible avoidance or unenforceability of the obligations of such Borrower hereunder shall be determined in any such proceeding are referred to as the “Avoidance Provisions”. Accordingly, to the extent that the obligations of a Borrower hereunder would otherwise be subject to avoidance</w:t>
      </w:r>
    </w:p>
    <w:p>
      <w:pPr>
        <w:sectPr>
          <w:pgSz w:w="11900" w:h="16838" w:orient="portrait"/>
          <w:cols w:equalWidth="0" w:num="1">
            <w:col w:w="11240"/>
          </w:cols>
          <w:pgMar w:left="320" w:top="1417" w:right="339" w:bottom="1440" w:gutter="0" w:footer="0" w:header="0"/>
        </w:sectPr>
      </w:pPr>
    </w:p>
    <w:bookmarkStart w:id="123" w:name="page124"/>
    <w:bookmarkEnd w:id="123"/>
    <w:p>
      <w:pPr>
        <w:jc w:val="both"/>
        <w:spacing w:after="0" w:line="256" w:lineRule="auto"/>
        <w:rPr>
          <w:sz w:val="20"/>
          <w:szCs w:val="20"/>
          <w:color w:val="auto"/>
        </w:rPr>
      </w:pPr>
      <w:r>
        <w:rPr>
          <w:rFonts w:ascii="Times New Roman" w:cs="Times New Roman" w:eastAsia="Times New Roman" w:hAnsi="Times New Roman"/>
          <w:sz w:val="18"/>
          <w:szCs w:val="18"/>
          <w:color w:val="auto"/>
        </w:rPr>
        <w:t>under the Avoidance Provisions, the maximum Obligations for which such Borrower shall be liable hereunder shall be reduced to that amount which, as of the time any of the Obligations are deemed to have been incurred under the Avoidance Provisions, would not cause the obligations of such Borrower hereunder, to be subject to avoidance under the Avoidance Provisions. This subsection is intended solely to preserve the rights of the Administrative Agent and the Lenders hereunder to the maximum extent that would not cause the obligations of any Borrower hereunder to be subject to avoidance under the Avoidance Provisions, and no Borrower or any other Person shall have any right or claim under this Section that would not otherwise be available to such Person under the Avoidance Provisions.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To the extent that any Borrower shall be required hereunder to pay any portion of the Obligations exceeding the greater of (a) the amount of the value actually received by such Borrower and its Subsidiaries from the Loans and other Obligations and (b) the amount such Borrower would otherwise have paid if such Borrower had paid the aggregate amount of Obligations (excluding the amount paid by any other Person) in the same proportion as such Borrower’s net worth on the date enforcement is sought hereunder bears to the aggregate net worth of all of the Borrowers on such date, then such Borrower shall be reimbursed by each other Borrower for the amount of such excess pro rata, based on the respective net worth of such other Borrower on such date.</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- 41 -</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Each Borrower assumes all responsibility for being and keeping itself informed of the financial condition of the other Borrowers, and of all other circumstances bearing upon the risk of nonpayment of any of the Obligations and the nature, scope and extent of the risks that such Borrower assumes and incurs hereunder, and agrees that none of the Administrative Agent or any Lender shall have any duty whatsoever to advise any Borrower of information regarding such circumstances or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2.17. Borrower Representative.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Borrower hereby appoints the Parent to act as its agent for all purposes under the Loan Documents (including, without limitation, with respect to all matters related to the borrowing and repayment of Loans and the giving and receiving of notices under or in respect of the Loan Documents) (in such capacity, the “Borrower Representative”). Each Borrower acknowledges and agrees that (i) the Borrower Representative may execute such documents as the Borrower Representative deems appropriate in its sole discretion, and with respect to any such document executed by only the Borrower Representative, each Borrower shall be bound by and obligated by all of the terms of any such document, (ii) any notice or other communication delivered by the Administrative Agent or any Lender hereunder to the Borrower Representative shall be deemed to have been delivered to each Borrower and (iii) the Administrative Agent and the Lenders shall accept (and shall be permitted to rely on) any document or agreement executed by the Borrowers or the Borrower Representative. Each Borrower agrees that any action taken by the Borrower Representative without the consent of, or notice to, such Borrower shall not release or discharge such Borrower from its obligations hereunder.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2.18.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2.19. Additional Loans.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Borrowers shall have the right at any time prior to the Maturity Date, to request the making of additional Loans (the “Additional Loans”), by the Borrower Representative providing written notice (which may be by telecopy or electronic mail) to the Administrative Agent, which notice shall be irrevocable once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giving effect to the making of any Additional Loans, the aggregate outstanding principal amount of Loans plus the aggregate outstanding principal amount of “Loans” and “Commitments” under, and as defined in, the Existing Credit Agreement shall not exceed $4,500,000,000 less the sum of the amount of any optional prepayments of the Loans pursuant to Section 2.9. plus any optional prepayments of term loans or reductions of the revolving commitments under the Existing Credit Agreement made after the Agreement Date. Additional Loans</w:t>
      </w:r>
    </w:p>
    <w:p>
      <w:pPr>
        <w:sectPr>
          <w:pgSz w:w="11900" w:h="16838" w:orient="portrait"/>
          <w:cols w:equalWidth="0" w:num="1">
            <w:col w:w="11240"/>
          </w:cols>
          <w:pgMar w:left="320" w:top="1417" w:right="339" w:bottom="1440" w:gutter="0" w:footer="0" w:header="0"/>
        </w:sectPr>
      </w:pPr>
    </w:p>
    <w:bookmarkStart w:id="124" w:name="page125"/>
    <w:bookmarkEnd w:id="124"/>
    <w:p>
      <w:pPr>
        <w:jc w:val="both"/>
        <w:spacing w:after="0" w:line="251" w:lineRule="auto"/>
        <w:rPr>
          <w:sz w:val="20"/>
          <w:szCs w:val="20"/>
          <w:color w:val="auto"/>
        </w:rPr>
      </w:pPr>
      <w:r>
        <w:rPr>
          <w:rFonts w:ascii="Times New Roman" w:cs="Times New Roman" w:eastAsia="Times New Roman" w:hAnsi="Times New Roman"/>
          <w:sz w:val="18"/>
          <w:szCs w:val="18"/>
          <w:color w:val="auto"/>
        </w:rPr>
        <w:t>shall be subject to the same terms and conditions of this Agreement that are applicable to all other Loans of the same Class. Each such request to make Additional Loans must be in an aggregate minimum amount of $25,000,000 and integral multiples of $5,000,000 in excess thereof (or such other amounts as may be acceptable to the Administrative Agent and the Borrowers). The Administrative Agent, in consultation with the Borrower Representative, shall manage all aspects of the syndication of the making of Additional Loans, including decisions as to the selection of the existing Lenders and/or other banks, financial institutions and other institutional lenders to be approached with respect to the making of Additional Loans, and the allocations of the making of Additional Loans among such existing Lenders and/or other banks, financial institutions and other institutional lenders. No Lender shall be obligated in any way whatsoever to make an Additional Loan, and any new Lender becoming a party to this Agreement in connection with the making of Additional Loans must be an Eligible Assignee. Effecting the making of Additional Loans under this Section is subject to the following conditions precedent: (x) no Default or Event of Default shall be in existence on the effective date of the making of such Additional Loans, (y) the representations and warranties made or deemed made by any Borrower or any other Loan Party in any Loan Document to which such Borrower or such other Loan Party is a party shall be true and correct in all material respects (except in the case of a representation or warranty qualified by materiality, in which case such representation or warranty shall be true and correct in all respects) on the effective date of such increase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 (z) the Administrative Agent shall have received each of the following, in form and substance satisfactory to the Administrative Agent: (i) if not previously delivered to the Administrative Agent, copies certified by the Secretary or Assistant Secretary of all corporate, partnership or other necessary action taken by the Borrowers to authorize the borrowing of Additional Loans; (ii) an opinion of counsel to the Borrowers and addressed to the Administrative Agent and the Lenders covering such matters as reasonably requested by the Administrative Agent; and (iii) new Notes executed by the Borrowers, payable to any new Lenders and replacement Notes executed by the Borrowers, payable to any existing Lenders increasing their Loans, in the amount of such Lender’s Loan (in each case unless any such Lender requests not to receive such a Note). In connection with the making of any Additional Loans pursuant to this Section, any Lender becoming a party hereto shall (1) execute such documents and agreements as the Administrative Agent may reasonably request and (2) in the case of any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- 42 -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2.20. Funds Transfer Disbursements.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Each Borrower hereby authorizes the Administrative Agent to disburse the proceeds of any Loan made by the Lenders or any of their Affiliates pursuant to the Loan Documents as requested by an authorized representative of such Borrower to any of the accounts designated in the Disbursement Instruction Agreement. Each Borrower agrees to be bound by any transfer request: (i) authorized or transmitted by the Borrower Representative or such Borrower; or (ii) made in such Borrower’s name and accepted by the Administrative Agent in good faith and in compliance with these transfer instructions, even if not properly authorized by such Borrower. Each Borrower further agrees and acknowledges that the Administrative Agent may rely solely on any bank routing number or identifying bank account number or name provided by the Borrower Representative or such Borrower to effect a wire or funds transfer even if the information provided by the Borrower Representative or such Borrower identifies a different bank or account holder than named by the Borrower Representative or such Borrower. The Administrative Agent is not obligated or required in any way to take any actions to detect errors in information provided by the Borrower Representative or any Borrower. If the Administrative Agent takes any actions in an attempt to detect errors in the transmission or content of transfer requests or takes any actions in an attempt to detect</w:t>
      </w:r>
    </w:p>
    <w:p>
      <w:pPr>
        <w:sectPr>
          <w:pgSz w:w="11900" w:h="16838" w:orient="portrait"/>
          <w:cols w:equalWidth="0" w:num="1">
            <w:col w:w="11240"/>
          </w:cols>
          <w:pgMar w:left="320" w:top="1417" w:right="339" w:bottom="1440" w:gutter="0" w:footer="0" w:header="0"/>
        </w:sectPr>
      </w:pPr>
    </w:p>
    <w:bookmarkStart w:id="125" w:name="page126"/>
    <w:bookmarkEnd w:id="125"/>
    <w:p>
      <w:pPr>
        <w:jc w:val="both"/>
        <w:spacing w:after="0" w:line="256" w:lineRule="auto"/>
        <w:rPr>
          <w:sz w:val="20"/>
          <w:szCs w:val="20"/>
          <w:color w:val="auto"/>
        </w:rPr>
      </w:pPr>
      <w:r>
        <w:rPr>
          <w:rFonts w:ascii="Times New Roman" w:cs="Times New Roman" w:eastAsia="Times New Roman" w:hAnsi="Times New Roman"/>
          <w:sz w:val="18"/>
          <w:szCs w:val="18"/>
          <w:color w:val="auto"/>
        </w:rPr>
        <w:t>unauthorized funds transfer requests, each Borrower agrees that no matter how many times the Administrative Agent takes these actions the Administrative Agent will not in any situation be liable for failing to take or correctly perform these actions in the future and such actions shall not become any part of the transfer disbursement procedures authorized under this provision, the Loan Documents, or any agreement between the Administrative Agent and any Borrower. Each Borrower agrees to notify the Administrative Agent of any errors in the transfer of any funds or of any unauthorized or improperly authorized transfer requests within fourteen (14) days after the Administrative Agent’s confirmation to the Borrower Representative or such Borrower of such transfer.</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- 43 -</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Funds Transfer</w:t>
      </w:r>
      <w:r>
        <w:rPr>
          <w:rFonts w:ascii="Times New Roman" w:cs="Times New Roman" w:eastAsia="Times New Roman" w:hAnsi="Times New Roman"/>
          <w:sz w:val="18"/>
          <w:szCs w:val="18"/>
          <w:color w:val="auto"/>
        </w:rPr>
        <w:t>. The Administrative Agent will, in its sole discretion, determine the funds transfer system and the means by which each transfer will be made. The Administrative Agent may delay or refuse to accept a funds transfer request if the transfer would: (i) violate the terms of this authorization, (ii) require use of a bank unacceptable to the Administrative Agent or any Lender or prohibited by any Governmental Authority, (iii) cause the Administrative Agent or any Lender to violate any Federal Reserve or other regulatory risk control program or guideline or (iv) otherwise cause the Administrative Agent or any Lender to violate any Applicable Law or regulation.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None of the Administrative Agent or any Lender shall be liable to any Borrower or any other parties for (i) errors, acts or failures to act of others, including other entities, banks, communications carriers or clearinghouses, through which any Borrower’s transfers may be made or information received or transmitted, and no such entity shall be deemed an agent of the Administrative Agent or any Lender, (ii) any loss, liability or delay caused by fires, earthquakes, wars, civil disturbances, power surges or failures, acts of government, labor disputes, failures in communications networks, legal constraints or other events beyond Administrative Agent’s or any Lender’s control, or (iii) any special, consequential, indirect or punitive damages, whether or not (x) any claim for these damages is based on tort or contract or (y) the Administrative Agent, any Lender or any Borrower knew or should have known the likelihood of these damages in any situation. None of the Administrative Agent or any Lender makes any representations or warranties other than those expressly made in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Payments, Fees and Other General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Payments.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by Borrowers</w:t>
      </w:r>
      <w:r>
        <w:rPr>
          <w:rFonts w:ascii="Times New Roman" w:cs="Times New Roman" w:eastAsia="Times New Roman" w:hAnsi="Times New Roman"/>
          <w:sz w:val="18"/>
          <w:szCs w:val="18"/>
          <w:color w:val="auto"/>
        </w:rPr>
        <w:t>. Except to the extent otherwise provided herein, all payments of principal, interest, Fees and other amounts to be made by any Loan Party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12:00 noon Eastern time on the date on which such payment shall become due (each such payment made after such time on such due date to be deemed to have been made on the next succeeding Business Day). Subject to Section 10.5., each Borrower shall, at the time of such Borrower’s making a payment under this Agreement or any other Loan Document, specify to the Administrative Agent the amounts payable by such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ectPr>
          <w:pgSz w:w="11900" w:h="16838" w:orient="portrait"/>
          <w:cols w:equalWidth="0" w:num="1">
            <w:col w:w="11240"/>
          </w:cols>
          <w:pgMar w:left="320" w:top="1417" w:right="339" w:bottom="1440" w:gutter="0" w:footer="0" w:header="0"/>
        </w:sectPr>
      </w:pPr>
    </w:p>
    <w:bookmarkStart w:id="126" w:name="page127"/>
    <w:bookmarkEnd w:id="126"/>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Presumptions Regarding Payments by Borrowers</w:t>
      </w:r>
      <w:r>
        <w:rPr>
          <w:rFonts w:ascii="Times New Roman" w:cs="Times New Roman" w:eastAsia="Times New Roman" w:hAnsi="Times New Roman"/>
          <w:sz w:val="18"/>
          <w:szCs w:val="18"/>
          <w:color w:val="auto"/>
        </w:rPr>
        <w:t>. Unless the Administrative Agent shall have received notice from the Borrower Representative prior to the date on which any payment is due from a Borrower to the Administrative Agent for the account of the Lenders hereunder that such Borrower will not make such payment, the Administrative Agent may assume that such Borrower has made such payment on such date in accordance herewith and may (but shall not be obligated to), in reliance upon such assumption, distribute to the Lenders the amount due. In such event, if such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Overnight Rate.</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- 44 -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Pro Rata Treatment.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to the extent otherwise provided herein: (a) each payment of fees under Section 3.5(f) shall be made for the account of the Lenders, pro rata in accordance with the respective unpaid principal amounts of the Loans held by them, (b) each payment or prepayment of principal of Loans shall be made for the account of the Lenders, pro rata in accordance with the respective unpaid principal amounts of the Loans held by them; (c) each payment of interest on Loans shall be made for the account of the Lenders, pro rata in accordance with the amounts of interest on such Loans then due and payable to the respective Lenders; and (d) the Conversion and Continuation of Loans of a particular Type (other than Conversions provided for by Sections 4.1.(c) and 4.5.) shall be made pro rata among the Lenders, as applicable, according to the amounts of their respective Loans, and the then current Interest Period for each Lender’s portion of such Loan of such Type shall be coterminous.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Sharing of Payments, Etc.</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 Lender shall obtain payment of any principal of, or interest on, any Loan made by it to a Borrower under this Agreement or shall obtain payment on any other Obligation owing by a Borrower through the exercise of any right of set-off, banker’s lien, counterclaim or similar right or otherwise or through voluntary prepayments directly to a Lender or other payments made by or on behalf of a Borrower to a Lender (other than any payment in respect of Specified Derivatives Obligations) not in accordance with the terms of this Agreement and such payment should be distributed to other Lenders in accordance with Section 3.2. or Section 10.5., as applicable, such Lender shall promptly purchase from such other Lenders participations in (or, if and to the extent specified by such Lender, direct interests in) the applicable Loans made by such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Each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any Borrower.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Several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Lender shall be responsible for the failure of any other Lender to make a Loan or to perform any other obligation to be made or performed by such other Lender hereunder, and the failure of any Lender to make a Loan or</w:t>
      </w:r>
    </w:p>
    <w:p>
      <w:pPr>
        <w:sectPr>
          <w:pgSz w:w="11900" w:h="16838" w:orient="portrait"/>
          <w:cols w:equalWidth="0" w:num="1">
            <w:col w:w="11240"/>
          </w:cols>
          <w:pgMar w:left="320" w:top="1440" w:right="339" w:bottom="1440" w:gutter="0" w:footer="0" w:header="0"/>
        </w:sectPr>
      </w:pPr>
    </w:p>
    <w:bookmarkStart w:id="127" w:name="page128"/>
    <w:bookmarkEnd w:id="127"/>
    <w:p>
      <w:pPr>
        <w:jc w:val="both"/>
        <w:spacing w:after="0" w:line="282" w:lineRule="auto"/>
        <w:rPr>
          <w:sz w:val="20"/>
          <w:szCs w:val="20"/>
          <w:color w:val="auto"/>
        </w:rPr>
      </w:pPr>
      <w:r>
        <w:rPr>
          <w:rFonts w:ascii="Times New Roman" w:cs="Times New Roman" w:eastAsia="Times New Roman" w:hAnsi="Times New Roman"/>
          <w:sz w:val="18"/>
          <w:szCs w:val="18"/>
          <w:color w:val="auto"/>
        </w:rPr>
        <w:t>to perform any other obligation to be made or performed by it hereunder shall not relieve the obligation of any other Lender to make any Loan or to perform any other obligation to be made or performed by such other Lender.</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- 45 -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Fees.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Closing Fee</w:t>
      </w:r>
      <w:r>
        <w:rPr>
          <w:rFonts w:ascii="Times New Roman" w:cs="Times New Roman" w:eastAsia="Times New Roman" w:hAnsi="Times New Roman"/>
          <w:sz w:val="18"/>
          <w:szCs w:val="18"/>
          <w:color w:val="auto"/>
        </w:rPr>
        <w:t>. On the Effective Date, the Borrowers jointly and severally agree to pay to the Administrative Agent and each Lender all loan fees as have been agreed to in writing by any Borrower and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Administrative and Other Fees</w:t>
      </w:r>
      <w:r>
        <w:rPr>
          <w:rFonts w:ascii="Times New Roman" w:cs="Times New Roman" w:eastAsia="Times New Roman" w:hAnsi="Times New Roman"/>
          <w:sz w:val="18"/>
          <w:szCs w:val="18"/>
          <w:color w:val="auto"/>
        </w:rPr>
        <w:t>. Each Borrower jointly and severally agrees to pay (i) the administrative and other fees of the Administrative Agent as provided in the Fee Letter with the Lender acting as Administrative Agent and as may be otherwise agreed to in writing from time to time by any Borrower and the Administrative Agent and (ii) the Sustainability Structuring Agent such fees (if any) as may be otherwise agreed to in writing by a Borrower and the Sustainability Structuring Agent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3.6. Computations.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expressly set forth herein, any accrued interest on any Loan, any Fees or any other Obligations due hereunder shall be computed on the basis of a year of 360 days and the actual number of days elapsed.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3.7. Usury.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 event shall the amount of interest due or payable on the Loans or other Obligations exceed the maximum rate of interest allowed by Applicable Law and, if any such payment is paid by any Borrower or any other Loan Party or received by any Lender, then such excess sum shall be credited as a payment of principal, unless the Borrower Representative shall notify the respective Lender in writing that such Borrower elects to have such excess sum returned to it forthwith. It is the express intent of the parties hereto that no Borrower pay and the Lenders not receive, directly or indirectly, in any manner whatsoever, interest in excess of that which may be lawfully paid by such Borrower under Applicable Law. The parties hereto hereby agree and stipulate that the only charge imposed upon any Borrower for the use of money in connection with this Agreement is and shall be the interest specifically described in Section 2.6.(a)(i) and (ii).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w:t>
      </w:r>
    </w:p>
    <w:p>
      <w:pPr>
        <w:sectPr>
          <w:pgSz w:w="11900" w:h="16838" w:orient="portrait"/>
          <w:cols w:equalWidth="0" w:num="1">
            <w:col w:w="11240"/>
          </w:cols>
          <w:pgMar w:left="320" w:top="1417" w:right="339" w:bottom="1440" w:gutter="0" w:footer="0" w:header="0"/>
        </w:sectPr>
      </w:pPr>
    </w:p>
    <w:bookmarkStart w:id="128" w:name="page129"/>
    <w:bookmarkEnd w:id="128"/>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be deemed to be charges for the use of money. All charges other than charges for the use of money shall be fully earned and nonrefundable when due.</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- 46 -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 Statements of Account.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Administrative Agent will account to the Borrowers monthly with a statement of Loans, accrued interest and Fees, charges and payments made pursuant to this Agreement and the other Loan Documents, and such account rendered by the Administrative Agent shall be deemed conclusive upon the Borrowers absent manifest error. The failure of the Administrative Agent to deliver such a statement of accounts shall not relieve or discharge any Borrower from any of its obligations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3.9. Defaulting Lenders.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contained in this Agreement, if any Lender becomes a Defaulting Lender, then, until such time as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is no longer a Defaulting Lender, to the extent permitted by Applicable Law:</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Section 12.6. and in the definition of Requisite Lenders, as applicable.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Borrower Representative,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such Defaulting Lender or as otherwise directed by a court of competent jurisdiction.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If the Borrower Representative and the Administrative Agent agree in writing that a Lender is no longer a Defaulting Lender, the Administrative Agent will so notify the parties hereto, whereupon as of the effective date specified in such notice and subject to any conditions set forth therein, that</w:t>
      </w:r>
    </w:p>
    <w:p>
      <w:pPr>
        <w:sectPr>
          <w:pgSz w:w="11900" w:h="16838" w:orient="portrait"/>
          <w:cols w:equalWidth="0" w:num="1">
            <w:col w:w="11240"/>
          </w:cols>
          <w:pgMar w:left="320" w:top="1417" w:right="339" w:bottom="1440" w:gutter="0" w:footer="0" w:header="0"/>
        </w:sectPr>
      </w:pPr>
    </w:p>
    <w:bookmarkStart w:id="129" w:name="page130"/>
    <w:bookmarkEnd w:id="12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Lender will, to the extent applicable, purchase at par that portion of outstanding Loans of the other applicable Lenders or take such other actions as the Administrative Agent may determine to be necessary to cause the Loans to be held pro rata by the Lenders in accordance with their pro rata share thereof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and subject to Section 12.22., no change hereunder from Defaulting Lender to Lender will constitute a waiver or release of any claim of any party hereunder arising from that Lender’s having been a Defaulting Lender.</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- 47 -</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3.10.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For purposes of this Section, the term “Applicable Law” includes FATCA.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 Free of Taxes</w:t>
      </w:r>
      <w:r>
        <w:rPr>
          <w:rFonts w:ascii="Times New Roman" w:cs="Times New Roman" w:eastAsia="Times New Roman" w:hAnsi="Times New Roman"/>
          <w:sz w:val="18"/>
          <w:szCs w:val="18"/>
          <w:color w:val="auto"/>
        </w:rPr>
        <w:t>. Any and all payments by or on account of any obligation of any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 of Other Taxes by the Borrower</w:t>
      </w:r>
      <w:r>
        <w:rPr>
          <w:rFonts w:ascii="Times New Roman" w:cs="Times New Roman" w:eastAsia="Times New Roman" w:hAnsi="Times New Roman"/>
          <w:sz w:val="18"/>
          <w:szCs w:val="18"/>
          <w:color w:val="auto"/>
        </w:rPr>
        <w:t>. The Borrowers and the other Loan Parties shall timely pay to the relevant Governmental Authority in accordance with Applicable Law, or at the option of the Administrative Agent timely reimburse it for the payment of, any Other Taxes.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 by the Borrower</w:t>
      </w:r>
      <w:r>
        <w:rPr>
          <w:rFonts w:ascii="Times New Roman" w:cs="Times New Roman" w:eastAsia="Times New Roman" w:hAnsi="Times New Roman"/>
          <w:sz w:val="18"/>
          <w:szCs w:val="18"/>
          <w:color w:val="auto"/>
        </w:rPr>
        <w:t>. The Borrowers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Representative by a Lender (with a copy to the Administrative Agent), or by the Administrative Agent on its own behalf or on behalf of a Lender, shall be conclusive absent manifest error.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Indemnification by the Lenders</w:t>
      </w:r>
      <w:r>
        <w:rPr>
          <w:rFonts w:ascii="Times New Roman" w:cs="Times New Roman" w:eastAsia="Times New Roman" w:hAnsi="Times New Roman"/>
          <w:sz w:val="17"/>
          <w:szCs w:val="17"/>
          <w:color w:val="auto"/>
        </w:rPr>
        <w:t>. Each Lender shall severally indemnify the Administrative Agent, within 10 days after demand therefor, for</w:t>
      </w:r>
    </w:p>
    <w:p>
      <w:pPr>
        <w:spacing w:after="0" w:line="39" w:lineRule="exact"/>
        <w:rPr>
          <w:sz w:val="20"/>
          <w:szCs w:val="20"/>
          <w:color w:val="auto"/>
        </w:rPr>
      </w:pPr>
    </w:p>
    <w:p>
      <w:pPr>
        <w:jc w:val="both"/>
        <w:ind w:firstLine="8"/>
        <w:spacing w:after="0" w:line="251" w:lineRule="auto"/>
        <w:tabs>
          <w:tab w:leader="none" w:pos="24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Indemnified Taxes attributable to such Lender (but only to the extent that a Borrower or another Loan Party has not already indemnified the Administrative Agent for such Indemnified Taxes and without limiting the obligation of the Borrowers and the other Loan Parties to do so), (ii) any Taxes attributable to such Lender’s failure to comply with the provisions of Section 12.5.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w:t>
      </w:r>
    </w:p>
    <w:p>
      <w:pPr>
        <w:sectPr>
          <w:pgSz w:w="11900" w:h="16838" w:orient="portrait"/>
          <w:cols w:equalWidth="0" w:num="1">
            <w:col w:w="11240"/>
          </w:cols>
          <w:pgMar w:left="320" w:top="1417" w:right="339" w:bottom="1440" w:gutter="0" w:footer="0" w:header="0"/>
        </w:sectPr>
      </w:pPr>
    </w:p>
    <w:bookmarkStart w:id="130" w:name="page131"/>
    <w:bookmarkEnd w:id="130"/>
    <w:p>
      <w:pPr>
        <w:jc w:val="both"/>
        <w:spacing w:after="0" w:line="282" w:lineRule="auto"/>
        <w:rPr>
          <w:sz w:val="20"/>
          <w:szCs w:val="20"/>
          <w:color w:val="auto"/>
        </w:rPr>
      </w:pPr>
      <w:r>
        <w:rPr>
          <w:rFonts w:ascii="Times New Roman" w:cs="Times New Roman" w:eastAsia="Times New Roman" w:hAnsi="Times New Roman"/>
          <w:sz w:val="18"/>
          <w:szCs w:val="18"/>
          <w:color w:val="auto"/>
        </w:rPr>
        <w:t>Document or otherwise payable by the Administrative Agent to such Lender from any other source against any amount due to the Administrative Agent under this subsection.</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- 48 -</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As soon as practicable after any payment of Taxes by a Borrower or any other Loan Party to a Governmental Authority pursuant to this Section, the Borrower Representative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Status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electronic copy (or an original if requested by the Borrower Representative or the Administrative Agent) of an executed IRS Form W-9 (or any successor form) certifying that such Lender is exempt from U.S. federal backup withholding tax;</w:t>
      </w:r>
    </w:p>
    <w:p>
      <w:pPr>
        <w:spacing w:after="0" w:line="183"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            in the case of a Foreign Lender claiming the benefits of an income tax treaty to which the United States is a party</w:t>
      </w:r>
    </w:p>
    <w:p>
      <w:pPr>
        <w:spacing w:after="0" w:line="39" w:lineRule="exact"/>
        <w:rPr>
          <w:sz w:val="20"/>
          <w:szCs w:val="20"/>
          <w:color w:val="auto"/>
        </w:rPr>
      </w:pPr>
    </w:p>
    <w:p>
      <w:pPr>
        <w:jc w:val="both"/>
        <w:ind w:left="1960" w:hanging="8"/>
        <w:spacing w:after="0" w:line="253" w:lineRule="auto"/>
        <w:tabs>
          <w:tab w:leader="none" w:pos="224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an electronic copy (or an original if requested by the Borrower Representative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w:t>
      </w:r>
    </w:p>
    <w:p>
      <w:pPr>
        <w:sectPr>
          <w:pgSz w:w="11900" w:h="16838" w:orient="portrait"/>
          <w:cols w:equalWidth="0" w:num="1">
            <w:col w:w="11240"/>
          </w:cols>
          <w:pgMar w:left="320" w:top="1417" w:right="339" w:bottom="1440" w:gutter="0" w:footer="0" w:header="0"/>
        </w:sectPr>
      </w:pPr>
    </w:p>
    <w:bookmarkStart w:id="131" w:name="page132"/>
    <w:bookmarkEnd w:id="131"/>
    <w:p>
      <w:pPr>
        <w:ind w:left="840"/>
        <w:spacing w:after="0"/>
        <w:rPr>
          <w:sz w:val="20"/>
          <w:szCs w:val="20"/>
          <w:color w:val="auto"/>
        </w:rPr>
      </w:pPr>
      <w:r>
        <w:rPr>
          <w:rFonts w:ascii="Times New Roman" w:cs="Times New Roman" w:eastAsia="Times New Roman" w:hAnsi="Times New Roman"/>
          <w:sz w:val="18"/>
          <w:szCs w:val="18"/>
          <w:color w:val="auto"/>
        </w:rPr>
        <w:t>withholding Tax pursuant to the “business profits” or “other income” article of such tax treaty;</w:t>
      </w:r>
    </w:p>
    <w:p>
      <w:pPr>
        <w:spacing w:after="0" w:line="26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- 49 -</w:t>
      </w:r>
    </w:p>
    <w:p>
      <w:pPr>
        <w:spacing w:after="0" w:line="200" w:lineRule="exact"/>
        <w:rPr>
          <w:sz w:val="20"/>
          <w:szCs w:val="20"/>
          <w:color w:val="auto"/>
        </w:rPr>
      </w:pPr>
    </w:p>
    <w:p>
      <w:pPr>
        <w:spacing w:after="0" w:line="336" w:lineRule="exact"/>
        <w:rPr>
          <w:sz w:val="20"/>
          <w:szCs w:val="20"/>
          <w:color w:val="auto"/>
        </w:rPr>
      </w:pPr>
    </w:p>
    <w:p>
      <w:pPr>
        <w:jc w:val="both"/>
        <w:ind w:left="840" w:right="20" w:firstLine="648"/>
        <w:spacing w:after="0" w:line="282" w:lineRule="auto"/>
        <w:rPr>
          <w:sz w:val="20"/>
          <w:szCs w:val="20"/>
          <w:color w:val="auto"/>
        </w:rPr>
      </w:pPr>
      <w:r>
        <w:rPr>
          <w:rFonts w:ascii="Times New Roman" w:cs="Times New Roman" w:eastAsia="Times New Roman" w:hAnsi="Times New Roman"/>
          <w:sz w:val="18"/>
          <w:szCs w:val="18"/>
          <w:color w:val="auto"/>
        </w:rPr>
        <w:t>(II)            an electronic copy (or an original if requested by the Borrower Representative or the Administrative Agent) of an executed IRS Form W-8ECI;</w:t>
      </w:r>
    </w:p>
    <w:p>
      <w:pPr>
        <w:spacing w:after="0" w:line="162" w:lineRule="exact"/>
        <w:rPr>
          <w:sz w:val="20"/>
          <w:szCs w:val="20"/>
          <w:color w:val="auto"/>
        </w:rPr>
      </w:pPr>
    </w:p>
    <w:p>
      <w:pPr>
        <w:jc w:val="both"/>
        <w:ind w:left="840" w:firstLine="648"/>
        <w:spacing w:after="0" w:line="255" w:lineRule="auto"/>
        <w:rPr>
          <w:sz w:val="20"/>
          <w:szCs w:val="20"/>
          <w:color w:val="auto"/>
        </w:rPr>
      </w:pPr>
      <w:r>
        <w:rPr>
          <w:rFonts w:ascii="Times New Roman" w:cs="Times New Roman" w:eastAsia="Times New Roman" w:hAnsi="Times New Roman"/>
          <w:sz w:val="18"/>
          <w:szCs w:val="18"/>
          <w:color w:val="auto"/>
        </w:rPr>
        <w:t>(III)            in the case of a Foreign Lender claiming the benefits of the exemption for portfolio interest under Section 881(c) of the Internal Revenue Code, (x) a certificate substantially in the form of Exhibit T-1 to the effect that such Foreign Lender is not a “bank” within the meaning of Section 881(c)(3)(A) of the Internal Revenue Code, a “10 percent shareholder” of any Borrower within the meaning of Section 881(c)(3)(B) of the Internal Revenue Code, or a “controlled foreign corporation” described in Section 881(c)(3)(C) of the Internal Revenue Code (a “U.S. Tax Compliance Certificate”) and (y) an electronic copy (or an original if requested by the Borrower Representative or the Administrative Agent) of IRS Form W-8BEN or W-8BEN-E, as applicable; or</w:t>
      </w:r>
    </w:p>
    <w:p>
      <w:pPr>
        <w:spacing w:after="0" w:line="189" w:lineRule="exact"/>
        <w:rPr>
          <w:sz w:val="20"/>
          <w:szCs w:val="20"/>
          <w:color w:val="auto"/>
        </w:rPr>
      </w:pPr>
    </w:p>
    <w:p>
      <w:pPr>
        <w:jc w:val="both"/>
        <w:ind w:left="840" w:firstLine="648"/>
        <w:spacing w:after="0" w:line="255" w:lineRule="auto"/>
        <w:rPr>
          <w:sz w:val="20"/>
          <w:szCs w:val="20"/>
          <w:color w:val="auto"/>
        </w:rPr>
      </w:pPr>
      <w:r>
        <w:rPr>
          <w:rFonts w:ascii="Times New Roman" w:cs="Times New Roman" w:eastAsia="Times New Roman" w:hAnsi="Times New Roman"/>
          <w:sz w:val="18"/>
          <w:szCs w:val="18"/>
          <w:color w:val="auto"/>
        </w:rPr>
        <w:t>(IV)            to the extent a Foreign Lender is not the beneficial owner, an electronic copy (or an original if requested by the Borrower Representative or the Administrative Agent) of an executed IRS Form W-8IMY, accompanied by IRS Form W-8ECI, IRS Form W-8BEN or W-8BEN-E, as applicable, a U.S. Tax Compliance Certificate substantially in the form of Exhibit T-2 or Exhibit T-3,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T-4 on behalf of each such direct and indirect partner;</w:t>
      </w:r>
    </w:p>
    <w:p>
      <w:pPr>
        <w:spacing w:after="0" w:line="189"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an electronic copy (or an original if requested by the Borrower Representative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2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- 50 -</w:t>
      </w:r>
    </w:p>
    <w:p>
      <w:pPr>
        <w:spacing w:after="0" w:line="200" w:lineRule="exact"/>
        <w:rPr>
          <w:sz w:val="20"/>
          <w:szCs w:val="20"/>
          <w:color w:val="auto"/>
        </w:rPr>
      </w:pPr>
    </w:p>
    <w:p>
      <w:pPr>
        <w:spacing w:after="0" w:line="322"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Representative and the Administrative Agent at the time or times prescribed by Applicable Law and at such time or times reasonably requested by the Borrower Representative or the Administrative Agent such documentation prescribed by Applicable Law (including as prescribed by Section 1471(b)(3)(C)(i) of the Internal Revenue Code) and such additional documentation reasonably requested by the Borrower Representative or the Administrative Agent as may be</w:t>
      </w:r>
    </w:p>
    <w:p>
      <w:pPr>
        <w:sectPr>
          <w:pgSz w:w="11900" w:h="16838" w:orient="portrait"/>
          <w:cols w:equalWidth="0" w:num="1">
            <w:col w:w="10120"/>
          </w:cols>
          <w:pgMar w:left="1440" w:top="1417" w:right="339" w:bottom="1440" w:gutter="0" w:footer="0" w:header="0"/>
        </w:sectPr>
      </w:pPr>
    </w:p>
    <w:bookmarkStart w:id="132" w:name="page133"/>
    <w:bookmarkEnd w:id="132"/>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any indemnified party be required to pay any amount to an indemnifying party pursuant to this subsection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or to apply for, seek or pursue any refund on behalf of the indemnifying party.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Yield Protection, Etc.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Additional Costs; Capital Adequacy.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Capital Adequacy</w:t>
      </w:r>
      <w:r>
        <w:rPr>
          <w:rFonts w:ascii="Times New Roman" w:cs="Times New Roman" w:eastAsia="Times New Roman" w:hAnsi="Times New Roman"/>
          <w:sz w:val="18"/>
          <w:szCs w:val="18"/>
          <w:color w:val="auto"/>
        </w:rPr>
        <w:t>. If any Lender or any Participant determines that, as the result of a Regulatory Change, compliance with any law or regulation or with any guideline or request from any central bank or other Governmental Authority (whether or not having the force of law) affects or would affect the amount of capital or liquidity required or expected to be maintained by such Lender or such Participant, or any corporation controlling such Lender or such Participant, as a consequence of, or with reference to, such Lender’s Commitments or its making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from time to time, within thirty (30) days after written demand by such Lender or such Participant, the Borrowers jointly and severally agree to pay to such Lender or such Participant additional amounts sufficient to compensate such Lender or such Participant or such corporation controlling such Lender or such Participant to the extent that such Lender or such Participant determines such increase in capital is allocable to such Lender’s or such Participant’s obligations hereunder.</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1240"/>
          </w:cols>
          <w:pgMar w:left="320" w:top="1417" w:right="339" w:bottom="1440" w:gutter="0" w:footer="0" w:header="0"/>
        </w:sectPr>
      </w:pPr>
    </w:p>
    <w:bookmarkStart w:id="133" w:name="page134"/>
    <w:bookmarkEnd w:id="1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Additional Costs.</w:t>
      </w:r>
      <w:r>
        <w:rPr>
          <w:rFonts w:ascii="Times New Roman" w:cs="Times New Roman" w:eastAsia="Times New Roman" w:hAnsi="Times New Roman"/>
          <w:sz w:val="18"/>
          <w:szCs w:val="18"/>
          <w:color w:val="auto"/>
        </w:rPr>
        <w:t xml:space="preserve"> In addition to and not in limitation of the immediately preceding subsection, the Borrowers jointly and severally agree to pay promptly to the Administrative Agent for the account of a Lender from time to time such amounts as such Lender may determine to be necessary to compensate such Lender for any costs incurred by such Lender that it determines are attributable to its making or maintaining of any Loans or its obligation to make any Loans hereunder, any reduction in any amount receivable by such Lender under this Agreement or any of the other Loan Documents in respect of any of such Loans or such obligation or the maintenance by such Lender of capital in respect of its Loans or its Commitments (such increases in costs and reductions in amounts receivable being herein called “Additional Costs”), resulting from any Regulatory Change that: (i) changes the basis of taxation of any amounts payable to such Lender under this Agreement or any of the other Loan Documents in respect of any of such Loans or its Commitments (other than Indemnified Taxes, Taxes described in clauses (b) through (d) of the definition of Excluded Taxes, and Connection Income Taxes), or</w:t>
      </w:r>
    </w:p>
    <w:p>
      <w:pPr>
        <w:spacing w:after="0" w:line="1" w:lineRule="exact"/>
        <w:rPr>
          <w:sz w:val="20"/>
          <w:szCs w:val="20"/>
          <w:color w:val="auto"/>
        </w:rPr>
      </w:pPr>
    </w:p>
    <w:p>
      <w:pPr>
        <w:jc w:val="both"/>
        <w:ind w:firstLine="8"/>
        <w:spacing w:after="0" w:line="252" w:lineRule="auto"/>
        <w:tabs>
          <w:tab w:leader="none" w:pos="2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or modifies any reserve, special deposit, liquidity or similar requirements (including pursuant to regulations issued from time to time by the FRB for determining the maximum reserve requirement) relating to any extensions of credit or other assets of, or any deposits with or other liabilities of, or other credit extended by, or any other acquisition of funds by, such Lender (or its parent corporation), or any commitment of such Lender (including, without limitation, the Commitments of such Lender hereunder), or (iii) has or would have the effect of reducing the rate of return on capital of such Lender (other than on account of Taxes) as a consequence of such Lender’s obligations hereunder to a level below that which such Lender could have achieved but for such Regulatory Change (taking into consideration such Lender’s policies with respect to capital adequacy).</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Lender’s Suspension of SOFR Loans.</w:t>
      </w:r>
      <w:r>
        <w:rPr>
          <w:rFonts w:ascii="Times New Roman" w:cs="Times New Roman" w:eastAsia="Times New Roman" w:hAnsi="Times New Roman"/>
          <w:sz w:val="18"/>
          <w:szCs w:val="18"/>
          <w:color w:val="auto"/>
        </w:rPr>
        <w:t xml:space="preserve"> Without limiting the effect of the provisions of the immediately preceding subsections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Loans is determined as provided in this Agreement or a category of extensions of credit or other assets of such Lender that includes SOFR Loans or (ii) becomes subject to restrictions on the amount of such a category of liabilities or assets that it may hold, then, if such Lender so elects by notice to the Borrower Representative (with a copy to the Administrative Agent), the obligation of such Lender to make or Continue, or to Convert Base Rate Loans into, SOFR Loans hereunder shall be suspended until such Regulatory Change ceases to be in effect (in which case the provisions of Section 4.5. shall apply).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Notification and Determination of Additional Costs</w:t>
      </w:r>
      <w:r>
        <w:rPr>
          <w:rFonts w:ascii="Times New Roman" w:cs="Times New Roman" w:eastAsia="Times New Roman" w:hAnsi="Times New Roman"/>
          <w:sz w:val="18"/>
          <w:szCs w:val="18"/>
          <w:color w:val="auto"/>
        </w:rPr>
        <w:t>. Each of the Administrative Agent, each Lender, and each Participant, as the case may be, agrees to notify the Borrower Representative (and in the case of a Lender or a Participant, the Administrative Agent as well)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any Borrower from any of its obligations hereunder. Notwithstanding the foregoing sentence, the Borrowers shall not be required to compensate a Lender or a Participant pursuant to this Section for any increased costs incurred or reductions suffered more than nine months prior to the date that such Lender or such Participant, as the case may be, notifies the Borrower Representative of the Regulatory Change giving rise to such increased costs or reductions, and of such Lender’s or such Participant’s intention to claim compensation therefor (except that, if the Regulatory Change giving rise to such increased costs or reductions is retroactive, then the nine-month period referred to above shall be extended to include the period of retroactive effect thereof). The Administrative Agent, each Lender and each Participant, as the case may be, agrees to furnish to the Borrower Representative (and in the case of a Lender or a Participant to the Administrative Agent as well)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Suspension of SOFR Loans.</w:t>
      </w:r>
    </w:p>
    <w:p>
      <w:pPr>
        <w:sectPr>
          <w:pgSz w:w="11900" w:h="16838" w:orient="portrait"/>
          <w:cols w:equalWidth="0" w:num="1">
            <w:col w:w="11240"/>
          </w:cols>
          <w:pgMar w:left="320" w:top="1417" w:right="339" w:bottom="1440" w:gutter="0" w:footer="0" w:header="0"/>
        </w:sectPr>
      </w:pPr>
    </w:p>
    <w:bookmarkStart w:id="134" w:name="page135"/>
    <w:bookmarkEnd w:id="134"/>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Circumstances Affecting Benchmark Availability</w:t>
      </w:r>
      <w:r>
        <w:rPr>
          <w:rFonts w:ascii="Times New Roman" w:cs="Times New Roman" w:eastAsia="Times New Roman" w:hAnsi="Times New Roman"/>
          <w:sz w:val="18"/>
          <w:szCs w:val="18"/>
          <w:color w:val="auto"/>
        </w:rPr>
        <w:t>. Anything herein to the contrary notwithstanding, if, on or prior to the determination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Daily Simple SOFR or Term SOFR for any Interest Period:</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Administrative Agent reasonably determines (which determination shall be conclusive) that adequate and reasonable means do not exist for ascertaining Daily Simple SOFR and/or Term SOFR (including, without limitation, because SOFR is not available or published on a current basis), for such Interest Period; or</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(A) the Administrative Agent reasonably determines (which determination shall be conclusive) that Daily Simple SOFR and/or Term SOFR does not adequately and fairly represent the cost to any Lender of making or maintaining Daily Simple SOFR Loans or Term SOFR Loans for such Interest Period or (B) the Administrative Agent is advised by the Requisite Lenders that Daily Simple SOFR and/or Term SOFR does not adequately and fairly represent the cost to the Lenders of making or maintaining Daily Simple SOFR or Term SOFR Loans for such Interest Period;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the Administrative Agent shall give the Borrower Representative and each Lender prompt notice thereof and, (w) any obligation of the Lenders to make additional SOFR Loans of the applicable Type and the right of the Borrowers to Continue Term SOFR Loans or Convert Loans into SOFR Loans shall be suspended (to the extent of the affected SOFR Loans or the affected Interest Periods), (x) the Borrowers may revoke any pending request for a borrowing of, Continuation of, or Conversion of such SOFR Loans (to the extent of the affected SOFR Loans or the affected Interest Periods) or, failing that, the Borrowers will be deemed to have Converted any such request into a request for a borrowing of or Conversion to, in the case of Term SOFR Loans, Daily Simple SOFR Loans, if available (or otherwise, Base Rate Loans), in the amount specified there and in the case of Daily Simple SOFR Loans, Base Rate Loans, and (y) any outstanding affected Term SOFR Loans will be deemed to have been converted into Daily Simple SOFR Loans, if available (or otherwise, Base Rate Loans) at the end of the applicable Interest Period.</w:t>
      </w:r>
    </w:p>
    <w:p>
      <w:pPr>
        <w:spacing w:after="0" w:line="246" w:lineRule="exact"/>
        <w:rPr>
          <w:sz w:val="20"/>
          <w:szCs w:val="20"/>
          <w:color w:val="auto"/>
        </w:rPr>
      </w:pPr>
    </w:p>
    <w:p>
      <w:pPr>
        <w:ind w:left="1760" w:hanging="870"/>
        <w:spacing w:after="0"/>
        <w:tabs>
          <w:tab w:leader="none" w:pos="1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2620" w:hanging="866"/>
        <w:spacing w:after="0"/>
        <w:tabs>
          <w:tab w:leader="none" w:pos="2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Borrower Representative so long as the Administrative Agent has not received, by such time, written notice of objection to such amendment from Lenders comprising the Requisite Lenders. No replacement of a Benchmark with a Benchmark Replacement pursuant to this Section 4.2(b)(i)(A) will occur prior to the applicable Benchmark Transition Start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No Derivatives Contract shall be deemed to be a “Loan Document” for purposes of this Section 4.2(b).</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ectPr>
          <w:pgSz w:w="11900" w:h="16838" w:orient="portrait"/>
          <w:cols w:equalWidth="0" w:num="1">
            <w:col w:w="11240"/>
          </w:cols>
          <w:pgMar w:left="320" w:top="1440" w:right="339" w:bottom="1440" w:gutter="0" w:footer="0" w:header="0"/>
        </w:sectPr>
      </w:pPr>
    </w:p>
    <w:bookmarkStart w:id="135" w:name="page136"/>
    <w:bookmarkEnd w:id="13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The Administrative Agent will promptly notify the Borrower Representative and the Lenders of (A) the implementation of any Benchmark Replacement and (B) the effectiveness of any Conforming Changes in connection with the use, administration, adoption or implementation of a Benchmark Replacement. The Administrative Agent will promptly notify the Borrower Representative of the removal or reinstatement of any tenor of a Benchmark pursuant to Section 4.2(b)(iv). Any determination, decision or election that may be made by the Administrative Agent or, if applicable, any Lender (or group of Lenders) pursuant to this Section 4.2(b),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4.2(b).</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Upon the Borrower Representative’s receipt of notice of the commencement of a Benchmark Unavailability Period, (A) the Borrowers may revoke any pending request for a borrowing of, conversion to or continuation of SOFR Loans to be made, converted or continued during any Benchmark Unavailability Period and, failing that, the Borrowers will be deemed to have converted any such request into a request for a borrowing of or conversion to Base Rate Loans and (B) any outstanding affected Term SOFR Loans will be deemed to have been converted to Daily Simple SOFR Loans (if available) and otherwise,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4.3. Illegality.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Daily Simple SOFR, the Term SOFR Reference Rate, or Term SOFR, such Lender shall promptly give notice thereof to the Administrative Agent and the Administrative Agent shall promptly give notice to the Borrower Representative and the other Lenders. Thereafter, until the</w:t>
      </w:r>
    </w:p>
    <w:p>
      <w:pPr>
        <w:sectPr>
          <w:pgSz w:w="11900" w:h="16838" w:orient="portrait"/>
          <w:cols w:equalWidth="0" w:num="1">
            <w:col w:w="11240"/>
          </w:cols>
          <w:pgMar w:left="320" w:top="1417"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18"/>
          <w:szCs w:val="18"/>
          <w:color w:val="auto"/>
        </w:rPr>
        <w:t>Administrative Agent notifies the Borrower Representative that such circumstances no longer exist, (i) any obligation of the Lenders to make Daily Simple SOFR Loans or Term SOFR Loans, as the case may be, and any right of the Borrower to convert any Loan to a Daily Simple SOFR Loan or Term SOFR Loan, as the case may be, or continue any Loan as a Term SOFR Loan, shall be suspended and (ii) if necessary to avoid such illegality, the Administrative Agent shall compute the Base Rate without reference to clause (c) of the definition of “Base Rate”, in each case until each such affected Lender notifies the Administrative Agent and the Borrower Representative that the circumstances giving rise to such determination no longer exist. Upon receipt of such notice, the Borrowers shall, if necessary to avoid such illegality, upon demand from any Lender (with a copy to the Administrative Agent), prepay or, if applicable, convert all Daily Simple SOFR Loans, if applicable, to Base Rate Loans (in each case, if necessary to avoid such illegality, the Administrative Agent shall compute the Base Rate without reference to clause (c) of the definition of “Base Rate”) or convert all Term SOFR Loans, if applicable, to Daily Simple SOFR Loans, if available (or, otherwise, to Base Rate Loans), on the last day of the Interest Period therefor, if all affected Lenders may lawfully continue to maintain such Term SOFR Loans, to such day, or immediately, if any Lender may not lawfully continue to maintain such Term SOFR Loans to such day. Upon any such prepayment or conversion, the Borrowers shall also pay accrued interest on the amount so prepaid or converted, together with any additional amounts required pursuant to Section 4.4.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4.4.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Borrowers jointly and severally agree to pay to the Administrative Agent for the account of each Lender, upon the request of the Administrative Agent, such amount or amounts as the Administrative Agent shall determine in its sole discretion shall be sufficient to compensate such Lender for any loss, cost or expense attributable to:</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any payment or prepayment (whether mandatory or optional) of a Term SOFR Loan by a Borrower, or Conversion of a Term SOFR Loan made by such Lender for any reason (including, without limitation, acceleration) on a date other than the last day of the Interest Period for such 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any failure by a Borrower for any reason (including, without limitation, the failure of any of the applicable conditions precedent specified in Section 5.2. to be satisfied) to borrow a Term SOFR Loan from such Lender on the date for such borrowing, or to Convert a Base Rate Loan into a Term SOFR Loan or Continue a Term SOFR Loan on the requested date of such Conversion or Continuation,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failure of a Borrower to prepay any Term SOFR Loan on a date specified therefor in a notice of prepayment, or</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            the assignment of any Term SOFR Loan other than on the last day of the Interest Period applicable thereto as a result of a request by a Borrower pursuant to Section 4.6.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in limitation of the foregoing, such compensation shall include, without limitation, in the case of a Term SOFR Loan, an amount equal to the then present value of (A) the amount of interest that would have accrued on such Term SOFR Loan for the remainder of the Interest Period at the rate applicable to such Term SOFR Loan, less (B) the amount of interest that would accrue on the same Term SOFR Loan for the same period if SOFR were set on the date on which such Term SOFR Loan was repaid, prepaid, Converted or assigned or the date on which a Borrower failed to borrow, Convert into, Continue or prepay such Term SOFR Loan, as applicable, calculating present value by using as a discount rate Term SOFR quoted on such date. Upon the Borrower Representative’s request, the Administrative Agent shall provide the Borrower Representative with a statement setting forth the basis for requesting such compensation and the method for determining the amount thereof. Any such statement shall be conclusive absent manifest error.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4.5. Treatment of Affected Loans.</w:t>
      </w:r>
    </w:p>
    <w:p>
      <w:pPr>
        <w:sectPr>
          <w:pgSz w:w="11900" w:h="16838" w:orient="portrait"/>
          <w:cols w:equalWidth="0" w:num="1">
            <w:col w:w="11240"/>
          </w:cols>
          <w:pgMar w:left="320" w:top="1417" w:right="339" w:bottom="1440" w:gutter="0" w:footer="0" w:header="0"/>
        </w:sectPr>
      </w:pPr>
    </w:p>
    <w:bookmarkStart w:id="137" w:name="page138"/>
    <w:bookmarkEnd w:id="1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obligation of any Lender to make SOFR Loans or to Continue, or to Convert Base Rate Loans into, SOFR Loans shall be suspended pursuant to Section 4.1.(c), Section 4.2. or Section 4.3. then such Lender’s Daily Simple SOFR Loans, if applicable, and/or Term SOFR Loans, if applicable, shall be automatically Converted into, in the case of Daily Simple SOFR Loans, Base Rate Loans immediately, or, in the case of Term SOFR Loans, Daily Simple SOFR Loans, if available or, otherwise, Base Rate Loans, on the last day(s) of the then current Interest Period(s) for such Term SOFR Loans (or, in the case of a Conversion required by Section 4.1.(c), Section 4.2., or Section 4.3. on such earlier date as such Lender or the Administrative Agent, as applicable, may specify to the Borrower Representative with a copy to the Administrative Agent, if applicable) and, unless and until such Lender gives notice as provided below that the circumstances specified in Section 4.1., Section 4.2. or Section 4.3. that gave rise to such Conversion no longer exist:</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to the extent that such Lender’s SOFR Loans have been so Converted, all payments and prepayments of principal that would otherwise be applied to such Lender’s SOFR Loans shall be applied instead to its Daily Simple SOFR Loans or Base Rate Loans, as the case may be;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all Loans that would otherwise be made or Continued by such Lender as SOFR Loans shall be made or Continued instead as Daily Simple SOFR Loans, if available in the case of Term SOFR Loans, or, otherwise to Base Rate Loans, and all Base Rate Loans of such Lender that would otherwise be Converted into SOFR Loans shall remain as Base Rate Loans.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such Lender or the Administrative Agent, as applicable, gives notice to the Borrower Representative (with a copy to the Administrative Agent, if applicable) that the circumstances specified in Section 4.1.(c) or 4.3. that gave rise to the Conversion of such Lender’s SOFR Loans pursuant to this Section no longer exist (which such Lender or the Administrative Agent, as applicable, agrees to do promptly upon such circumstances ceasing to exist) at a time when SOFR Loans made by other Lenders are outstanding, then such Lender’s Daily Simple SOFR Loans or Base Rate Loans, as the case may be, shall be automatically Converted, immediately, in the case of Daily Simple SOFR Loans or, in the case of Term SOFR Loans, on the first day(s) of the next succeeding Interest Period(s) for such outstanding Term SOFR Loans, to the extent necessary so that, after giving effect thereto, all Loans held by the Lenders holding the respective SOFR Loans and by such Lender are held pro rata (as to principal amounts, Types and Interest Periods) in accordance with their respective Commitments.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4.6. Affected Lenders.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a Lender requests compensation pursuant to Section 3.10. or 4.1., and the Requisite Lenders are not also doing the same, (b) the obligation of any Lender to make SOFR Loans or to Continue, or to Convert Base Rate Loans into, SOFR Loans shall be suspended pursuant to Section 4.1.(c) or 4.3. but the obligation of the Requisite Lenders shall not have been suspended under such Sections or (c) a Lender is a Non-Consenting Lender, then, so long as there does not then exist any Default or Event of Default, the Borrower Representative may demand that such Lender (the “Affected Lender”), and upon such demand the Affected Lender shall promptly, assign its Loans to an Eligible Assignee subject to and in accordance with the provisions of Section 12.5.</w:t>
      </w:r>
    </w:p>
    <w:p>
      <w:pPr>
        <w:spacing w:after="0" w:line="3" w:lineRule="exact"/>
        <w:rPr>
          <w:sz w:val="20"/>
          <w:szCs w:val="20"/>
          <w:color w:val="auto"/>
        </w:rPr>
      </w:pPr>
    </w:p>
    <w:p>
      <w:pPr>
        <w:jc w:val="both"/>
        <w:ind w:firstLine="8"/>
        <w:spacing w:after="0" w:line="251" w:lineRule="auto"/>
        <w:tabs>
          <w:tab w:leader="none" w:pos="2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purchase price equal to (x) the aggregate principal balance of all Loans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any other Lender, or any Titled Agent be obligated in any way whatsoever to initiate any such replacement or to assist in finding an Eligible Assignee; provided that the failure or unwillingness of such Affected Lender to execute the Assignment and Assumption and other necessary documents shall not prevent or delay such assignment and the Assignment and Assumption and other necessary documents shall be automatically deemed to be fully authorized and executed by the Affected Lender if such Affected Lender does not promptly execute all documents reasonably requested to effect such assignment (and, if such Lender fails to deliver any Notes held by it, such Notes shall automatically be deemed canceled and such Lender shall be required to indemnify the Borrowers for any liabilities incurred by the Borrowers</w:t>
      </w:r>
    </w:p>
    <w:p>
      <w:pPr>
        <w:sectPr>
          <w:pgSz w:w="11900" w:h="16838" w:orient="portrait"/>
          <w:cols w:equalWidth="0" w:num="1">
            <w:col w:w="11240"/>
          </w:cols>
          <w:pgMar w:left="320" w:top="1417" w:right="339" w:bottom="1440" w:gutter="0" w:footer="0" w:header="0"/>
        </w:sectPr>
      </w:pPr>
    </w:p>
    <w:bookmarkStart w:id="138" w:name="page139"/>
    <w:bookmarkEnd w:id="138"/>
    <w:p>
      <w:pPr>
        <w:jc w:val="both"/>
        <w:spacing w:after="0" w:line="261" w:lineRule="auto"/>
        <w:rPr>
          <w:sz w:val="20"/>
          <w:szCs w:val="20"/>
          <w:color w:val="auto"/>
        </w:rPr>
      </w:pPr>
      <w:r>
        <w:rPr>
          <w:rFonts w:ascii="Times New Roman" w:cs="Times New Roman" w:eastAsia="Times New Roman" w:hAnsi="Times New Roman"/>
          <w:sz w:val="18"/>
          <w:szCs w:val="18"/>
          <w:color w:val="auto"/>
        </w:rPr>
        <w:t>by reason of the failure of such Lender to deliver such Notes). The exercise by the Borrowers of their rights under this Section shall be at the Borrowers’ sole cost and expense and at no cost or expense to the Administrative Agent, the Affected Lender or any of the other Lenders. The terms of this Section shall not in any way limit any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4.7. Change of Lending Office.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Borrowers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Conditions Precedent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Initial Conditions Precedent.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the Lenders to effect or permit the occurrence of the first Credit Event hereunder is subject to the satisfaction or waiver of the following conditions precedent: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Administrative Agent shall have received each of the following, in form and substance satisfactory to the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counterparts of this Agreement executed by each of the parties hereto;</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Notes executed by the Borrowers, payable to each applicable Lender, other than any Lender that has requested that it not receive Notes and complying with the terms of Section 2.12.(a);</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evidence, in form satisfactory to the Administrative Agent, that the “Term A Loans” (under, and as defined in the Existing Credit Agreement) shall have been paid down such that the outstanding principal amount does not exceed $300,000,000, substantially concurrently with the effectiveness of this Agreement;</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(iv)            an opinion or opinions of counsel to the Borrowers and the other Loan Parties, addressed to the Administrative Agent and the Lenders and covering the matters set forth in Exhibit 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(vi)            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sectPr>
          <w:pgSz w:w="11900" w:h="16838" w:orient="portrait"/>
          <w:cols w:equalWidth="0" w:num="1">
            <w:col w:w="11240"/>
          </w:cols>
          <w:pgMar w:left="320" w:top="1417" w:right="339" w:bottom="1440" w:gutter="0" w:footer="0" w:header="0"/>
        </w:sectPr>
      </w:pPr>
    </w:p>
    <w:bookmarkStart w:id="139" w:name="page140"/>
    <w:bookmarkEnd w:id="139"/>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(vii)            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Representative, authorized to execute and deliver on behalf of each Borrower Notices of Borrowing, Notices of Conversion and Notices of Continuation;</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(viii)            copies certified by the Secretary or Assistant Secretary (or other individual performing similar functions) of each Loan Party of</w:t>
      </w:r>
    </w:p>
    <w:p>
      <w:pPr>
        <w:spacing w:after="0" w:line="39" w:lineRule="exact"/>
        <w:rPr>
          <w:sz w:val="20"/>
          <w:szCs w:val="20"/>
          <w:color w:val="auto"/>
        </w:rPr>
      </w:pPr>
    </w:p>
    <w:p>
      <w:pPr>
        <w:jc w:val="both"/>
        <w:ind w:left="4" w:hanging="4"/>
        <w:spacing w:after="0" w:line="255" w:lineRule="auto"/>
        <w:tabs>
          <w:tab w:leader="none" w:pos="3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Party’s by-laws, if a corporation, operating agreement, if a limited liability company,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186"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- 58 -</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(ix)            a Compliance Certificate for the Parent calculated on a pro forma basis for the Parent’s fiscal quarter ended December 31, 2025;</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(x)            a Disbursement Instruction Agreement effective as of the Agreement Date;</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(xi)            evidence that the Fees, if any, then due and payable under Section 3.5., together with all other fees, expenses and reimbursement amounts due and payable to the Administrative Agent and any of the Lenders, including without limitation, the fees and expenses of counsel to the Administrative Agent, have been paid; and</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(xii)            such other documents, agreements and instruments as the Administrative Agent, or any Lender (through the Administrative Agent), may reasonably request;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In the good faith judgment of the Administrative Agent:</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(i)            there shall not have occurred or become known to the Administrative Agent or any of the Lenders any event, condition, situation or status since the date of the information contained in the financial and business projections, budgets, pro forma data and forecasts concerning the Parent and its Subsidiaries delivered to the Administrative Agent and the Lenders prior to the Agreement Date that has had or could reasonably be expected to result in a Material Adverse Effect;</w:t>
      </w:r>
    </w:p>
    <w:p>
      <w:pPr>
        <w:spacing w:after="0" w:line="180" w:lineRule="exact"/>
        <w:rPr>
          <w:sz w:val="20"/>
          <w:szCs w:val="20"/>
          <w:color w:val="auto"/>
        </w:rPr>
      </w:pPr>
    </w:p>
    <w:p>
      <w:pPr>
        <w:jc w:val="both"/>
        <w:ind w:left="4" w:firstLine="648"/>
        <w:spacing w:after="0" w:line="289" w:lineRule="auto"/>
        <w:rPr>
          <w:sz w:val="20"/>
          <w:szCs w:val="20"/>
          <w:color w:val="auto"/>
        </w:rPr>
      </w:pPr>
      <w:r>
        <w:rPr>
          <w:rFonts w:ascii="Times New Roman" w:cs="Times New Roman" w:eastAsia="Times New Roman" w:hAnsi="Times New Roman"/>
          <w:sz w:val="17"/>
          <w:szCs w:val="17"/>
          <w:color w:val="auto"/>
        </w:rPr>
        <w:t>(ii)            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any Loan Party to fulfill its obligations under the Loan Documents to which it is a party;</w:t>
      </w:r>
    </w:p>
    <w:p>
      <w:pPr>
        <w:spacing w:after="0" w:line="158"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(iii)            the Parent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any Loan Party to fulfill its obligations under the Loan Documents to which it is a party; and</w:t>
      </w:r>
    </w:p>
    <w:p>
      <w:pPr>
        <w:spacing w:after="0" w:line="189"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(iv)            each Borrower and each other Loan Party (i) shall have provided all information requested by the Administrative Agent and each Lender in order to comply with applicable “know your customer”</w:t>
      </w:r>
    </w:p>
    <w:p>
      <w:pPr>
        <w:sectPr>
          <w:pgSz w:w="11900" w:h="16838" w:orient="portrait"/>
          <w:cols w:equalWidth="0" w:num="1">
            <w:col w:w="10584"/>
          </w:cols>
          <w:pgMar w:left="976" w:top="1417" w:right="339" w:bottom="1440" w:gutter="0" w:footer="0" w:header="0"/>
        </w:sectPr>
      </w:pPr>
    </w:p>
    <w:bookmarkStart w:id="140" w:name="page141"/>
    <w:bookmarkEnd w:id="140"/>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and Anti-Money Laundering Laws, including without limitation, the Patriot Act and (ii) shall have delivered to the Administrative Agent, and directly to any Lender requesting the same, a Beneficial Ownership Certification in relation to it (unless such Borrower qualifies for an express exclusion from the “legal entity customer” definition under the Beneficial Ownership Regulations), in each case at least five (5) Business Days prior to the Agreement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Conditions Precedent to All Loans.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obligations of Lenders to make any Loans are subject to the further conditions precedent that: (a) no Default or Event of Default shall exist as of the date of the making of such Loan or would exist immediately after giving effect thereto; (b) the representations and warranties made or deemed made by each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 (c) the Administrative Agent shall have received a timely Notice of Borrowing. Each Credit Event shall constitute a certification by each Borrower to the effect set forth in the preceding sentence (both as of the date of the giving of notice relating to such Credit Event and, unless any Borrower otherwise notifies the Administrative Agent prior to the date of such Credit Event, as of the date of the occurrence of such Credit Event). In addition, each Borrower shall be deemed to have represented to the Administrative Agent and the Lenders at the time any Loan is made that all conditions to the making of such Loan contained in this Section 5.2. have been satisfied. Unless set forth in writing to the contrary, the making of its initial Loan by a Lender shall constitute a certification by such Lender to the Administrative Agent and the other Lenders that the conditions precedent for initial Loans set forth in Sections 5.1. and 5.2. that have not previously been waived by the Lenders in accordance with the terms of this Agreement have been satisfied.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Representations and Warranties.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induce the Administrative Agent and each Lender to enter into this Agreement and to make Loans, each Borrower represents and warrants to the Administrative Agent and each Lender as follows: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Power; Qualification</w:t>
      </w:r>
      <w:r>
        <w:rPr>
          <w:rFonts w:ascii="Times New Roman" w:cs="Times New Roman" w:eastAsia="Times New Roman" w:hAnsi="Times New Roman"/>
          <w:sz w:val="18"/>
          <w:szCs w:val="18"/>
          <w:color w:val="auto"/>
        </w:rPr>
        <w:t>. Each of the Borrowers, the other Loan Parties and their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None of the Borrowers, any other Loan Party or any other Subsidiary is an EEA Financial Institution.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Ownership Structure</w:t>
      </w:r>
      <w:r>
        <w:rPr>
          <w:rFonts w:ascii="Times New Roman" w:cs="Times New Roman" w:eastAsia="Times New Roman" w:hAnsi="Times New Roman"/>
          <w:sz w:val="18"/>
          <w:szCs w:val="18"/>
          <w:color w:val="auto"/>
        </w:rPr>
        <w:t>. Part I of Schedule 6.1.(b) is, as of the Agreement Date, a complete and correct list of all Subsidiaries of each of the Borrowers setting forth (i) for each such Subsidiary (A) the jurisdiction of organization of such Subsidiary and (B) whether such Subsidiary is a Material Subsidiary, and (ii) for each such Subsidiary that owns or leases a Property, and/or owns or holds a Structured Finance Investment, Fund Investment or Mortgage Receivable, that as of the Agreement Date is eligible for inclusion in a calculation of Unencumbered</w:t>
      </w:r>
    </w:p>
    <w:p>
      <w:pPr>
        <w:sectPr>
          <w:pgSz w:w="11900" w:h="16838" w:orient="portrait"/>
          <w:cols w:equalWidth="0" w:num="1">
            <w:col w:w="11240"/>
          </w:cols>
          <w:pgMar w:left="320" w:top="1417" w:right="339" w:bottom="1440" w:gutter="0" w:footer="0" w:header="0"/>
        </w:sectPr>
      </w:pPr>
    </w:p>
    <w:bookmarkStart w:id="141" w:name="page142"/>
    <w:bookmarkEnd w:id="141"/>
    <w:p>
      <w:pPr>
        <w:jc w:val="both"/>
        <w:spacing w:after="0" w:line="257" w:lineRule="auto"/>
        <w:rPr>
          <w:sz w:val="20"/>
          <w:szCs w:val="20"/>
          <w:color w:val="auto"/>
        </w:rPr>
      </w:pPr>
      <w:r>
        <w:rPr>
          <w:rFonts w:ascii="Times New Roman" w:cs="Times New Roman" w:eastAsia="Times New Roman" w:hAnsi="Times New Roman"/>
          <w:sz w:val="18"/>
          <w:szCs w:val="18"/>
          <w:color w:val="auto"/>
        </w:rPr>
        <w:t>Asset Value (A) each Borrower or Subsidiary holding any direct or indirect Equity Interest in such Subsidiary, (B) the nature of the Equity Interests held by each such Person, and (C) the percentage of ownership represented by such Equity Interests. As of the Agreement Date, except as disclosed in such Schedule, (A) except with respect to (I) any Subsidiary which is not a Wholly Owned Subsidiary, (II) any Subsidiary which is a Single Asset Entity and</w:t>
      </w:r>
    </w:p>
    <w:p>
      <w:pPr>
        <w:spacing w:after="0" w:line="1" w:lineRule="exact"/>
        <w:rPr>
          <w:sz w:val="20"/>
          <w:szCs w:val="20"/>
          <w:color w:val="auto"/>
        </w:rPr>
      </w:pPr>
    </w:p>
    <w:p>
      <w:pPr>
        <w:jc w:val="both"/>
        <w:ind w:firstLine="8"/>
        <w:spacing w:after="0" w:line="251" w:lineRule="auto"/>
        <w:tabs>
          <w:tab w:leader="none" w:pos="35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partnership agreements, lease agreements, mortgages and similar agreements in each case entered into in the ordinary course of business, each of the Borrowers and their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except with respect to (I) any Subsidiary which is not a Wholly Owned Subsidiary, (II) any Subsidiary which is a Single Asset Entity and (III) customary provisions in partnership agreements, lease agreements, mortgages and similar agreements, in each case entered into in the ordinary course of business,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each Borrower, including the correct legal name of such Person, the type of legal entity which each such Person is, and all Equity Interests in such Person held directly or indirectly by the applicable Borrower.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of Loan Documents and Borrowings</w:t>
      </w:r>
      <w:r>
        <w:rPr>
          <w:rFonts w:ascii="Times New Roman" w:cs="Times New Roman" w:eastAsia="Times New Roman" w:hAnsi="Times New Roman"/>
          <w:sz w:val="18"/>
          <w:szCs w:val="18"/>
          <w:color w:val="auto"/>
        </w:rPr>
        <w:t>. Each Borrower has the right and power, and has taken all necessary action to authorize it, to borrow and obtain other extensions of credit hereunder. Each Borrower and each other Loan Party has the right and power, and has taken all necessary action to authorize it, to execute, deliver and perform each of the Loan Documents and the Fee Letters to which it is a party in accordance with their respective terms and to consummate the transactions contemplated hereby and thereby. The Loan Documents and the Fee Letters to which any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Compliance of Loan Documents with Laws</w:t>
      </w:r>
      <w:r>
        <w:rPr>
          <w:rFonts w:ascii="Times New Roman" w:cs="Times New Roman" w:eastAsia="Times New Roman" w:hAnsi="Times New Roman"/>
          <w:sz w:val="18"/>
          <w:szCs w:val="18"/>
          <w:color w:val="auto"/>
        </w:rPr>
        <w:t>. The execution, delivery and performance of this Agreement, the other Loan Documents to which any Loan Party is a party and the Fee Letters in accordance with their respective terms and the borrowings and other extensions of credit hereunder do not and will not, by the passage of time, the giving of notice, or both: (i) require any Governmental Approval or violate any Applicable Law (including any Environmental Laws) relating to any Borrower or any other Loan Party or any Subsidiary; (ii) conflict with, result in a breach of or constitute a default under the organizational documents of any Loan Party, or any indenture, agreement or other instrument to which any Borrower or any other Loan Party or any Subsidiary is a party or by which it or any of its respective properties may be bound; or (iii) result in or require the creation or imposition of any Lien upon or with respect to any property now owned or hereafter acquired by any Borrower or any other Loan Party other than in favor of the Administrative Agent for its benefit and the benefit of the other Lender Parties.</w:t>
      </w:r>
    </w:p>
    <w:p>
      <w:pPr>
        <w:spacing w:after="0" w:line="19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Compliance with Law; Governmental Approvals</w:t>
      </w:r>
      <w:r>
        <w:rPr>
          <w:rFonts w:ascii="Times New Roman" w:cs="Times New Roman" w:eastAsia="Times New Roman" w:hAnsi="Times New Roman"/>
          <w:sz w:val="17"/>
          <w:szCs w:val="17"/>
          <w:color w:val="auto"/>
        </w:rPr>
        <w:t>. Each of the Borrowers, the other Loan Parties and the Subsidiaries is in compliance with each Governmental Approval and all other Applicable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1240"/>
          </w:cols>
          <w:pgMar w:left="320" w:top="1417" w:right="339" w:bottom="1440" w:gutter="0" w:footer="0" w:header="0"/>
        </w:sectPr>
      </w:pPr>
    </w:p>
    <w:bookmarkStart w:id="142" w:name="page143"/>
    <w:bookmarkEnd w:id="1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Title to Properties; Liens</w:t>
      </w:r>
      <w:r>
        <w:rPr>
          <w:rFonts w:ascii="Times New Roman" w:cs="Times New Roman" w:eastAsia="Times New Roman" w:hAnsi="Times New Roman"/>
          <w:sz w:val="18"/>
          <w:szCs w:val="18"/>
          <w:color w:val="auto"/>
        </w:rPr>
        <w:t>. Part I of Schedule 6.1.(f) is, as of the Agreement Date, a complete and correct listing of all Properties of each Borrower, each other Loan Party and each of their respective Subsidiaries, which also identifies any Property that is a Development Property or Transition Asset as such a Property. Each of the Loan Parties and each their respective Subsidiaries has good, marketable and legal title to, or a valid leasehold interest in, its respective assets. As of the Agreement Date, there are no Liens against any assets of any Borrower, any Loan Party or any Subsidiary other than Permitted Liens and Liens set forth on Part II of Schedule 6.1.(f).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Existing Indebtedness</w:t>
      </w:r>
      <w:r>
        <w:rPr>
          <w:rFonts w:ascii="Times New Roman" w:cs="Times New Roman" w:eastAsia="Times New Roman" w:hAnsi="Times New Roman"/>
          <w:sz w:val="18"/>
          <w:szCs w:val="18"/>
          <w:color w:val="auto"/>
        </w:rPr>
        <w:t>. Schedule 6.1.(g) is, as of the Agreement Date, a complete and correct listing of all Material Indebtedness (including all Guarantees) of each of the Borrowers, the other Loan Parties and their respective Subsidiaries, and if such Material Indebtedness is secured by any Lien, identifying the Properties or other assets encumbered by such Lien. As of the Agreement Date, each Borrower, each other Loan Party and each of their respective Subsidiaries have performed and are in compliance with all of the terms of such Material Indebtedness and all instruments and agreements relating thereto, and no default or event of default, or event or condition which with the giving of notice, the lapse of time, or both, would constitute a default or event of default, exists with respect to any such Material Indebtedness.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Except as set forth on Schedule 6.1.(i), there are no actions, suits or proceedings pending (nor, to the knowledge of any Loan Party, are there any actions, suits or proceedings threatened, nor is there any basis therefor) against or in any other way relating to or affecting any Borrower, any other Loan Party any Subsidiary or any of their respective property in any court or before any arbitrator of any kind or before or by any other Governmental Authority which could reasonably be expected to have a Material Adverse Effect. There are no strikes, slowdowns, work stoppages or walkouts or other labor disputes in progress or threatened relating to, any Borrower, other Loan Party or any Subsidiary which could reasonably be expected to have a Material Adverse Effect.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All federal, state and other material tax returns of each Borrower, each other Loan Party and each Subsidiary required by Applicable Law to be filed have been duly filed, and all federal, state and other material taxes, assessments and other governmental charges or levies upon, each Borrower, each other Loan Party, each Subsidiary and their respective properties, income, profits and assets which are due and payable have been paid, except any such nonpayment or non-filing which is at the time permitted under Section 7.6. As of the Agreement Date, none of the United States income tax returns of any Borrower, any other Loan Party or any Subsidiary is under audit. All charges, accruals and reserves on the books of any Borrower, any other Loan Party and their Subsidiaries in respect of any taxes or other governmental charges are in accordance with GAAP.</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Parent has furnished to each Lender copies of the audited consolidated balance sheets of each Borrower and its respective consolidated Subsidiaries for the fiscal years ended December 31, 2023, December 31, 2024 and December 31, 2025, and the related audited consolidated statements of operations, shareholders’ equity and cash flow for the fiscal years ended on such dates, with the opinion thereon of Deloitte LLP. Such financial statements (including in each case related schedules and notes) are complete and correct in all material respects and present fairly, in accordance with GAAP consistently applied throughout the periods involved, the consolidated financial position of each Borrower and its respective consolidated Subsidiaries as at their respective dates and the results of operations and the cash flow for such periods. No Loan Party or any of its Subsidiaries has on the Agreement Date any material contingent liabilities, liabilities, unusual or long-term commitments or unrealized or forward anticipated losses from any unfavorable commitments that would be required to be set forth in its financial statements or notes thereto, except as referred to or reflected or provided for in the financial statements referenced in clauses (i) and (ii) above.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u w:val="single" w:color="auto"/>
          <w:color w:val="auto"/>
        </w:rPr>
        <w:t>  No Material Adverse Change</w:t>
      </w:r>
      <w:r>
        <w:rPr>
          <w:rFonts w:ascii="Times New Roman" w:cs="Times New Roman" w:eastAsia="Times New Roman" w:hAnsi="Times New Roman"/>
          <w:sz w:val="17"/>
          <w:szCs w:val="17"/>
          <w:color w:val="auto"/>
        </w:rPr>
        <w:t>. Since December 31, 2025, there has been no event, change, circumstance or occurrence that could reasonably be expected to have a Material Adverse Effect. Each of the Borrowers is, and the Parent and its Subsidiaries, on a consolidated basis, are, Solvent.</w:t>
      </w:r>
    </w:p>
    <w:p>
      <w:pPr>
        <w:sectPr>
          <w:pgSz w:w="11900" w:h="16838" w:orient="portrait"/>
          <w:cols w:equalWidth="0" w:num="1">
            <w:col w:w="11240"/>
          </w:cols>
          <w:pgMar w:left="320" w:top="1417" w:right="339" w:bottom="1440" w:gutter="0" w:footer="0" w:header="0"/>
        </w:sectPr>
      </w:pPr>
    </w:p>
    <w:bookmarkStart w:id="143" w:name="page144"/>
    <w:bookmarkEnd w:id="143"/>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            Except as could not reasonably be expected, individually or in the aggregate, to have a Material Adverse Effect, each Benefit Arrangement is in compliance with the applicable provisions of ERISA, the Internal Revenue Code and other Applicable Laws. Except with respect to Multiemployer Plans, (i) each Qualified Plan (A) has obtained a current favorable determination letter issued by the Internal Revenue Service, (B) is entitled to rely on a current, favorable opinion letter issued by the Internal Revenue Service, or (C) has a remedial amendment period that has not yet expired during which the Qualified Plan may be filed for a favorable determination letter with respect to all provisions of such Qualified Plan, and (ii) to the best knowledge of each Borrower, nothing has occurred which could reasonably cause the loss of its reliance on each Qualified Plan’s favorable determination letter or opinion letter, except in the case of a compliance failure with respect to the Qualified Plan that is reasonably likely to result in a material liability to any of the Borrowers.</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With respect to any Benefit Arrangement that is a retiree welfare benefit arrangement, all amounts have been accrued on the applicable ERISA Group’s financial statements in accordance with FASB ASC 715. The “benefit obligation” of all Plans does not exceed the “fair market value of plan assets” for such Plans by more than $25,000,000 all as determined by and with such terms defined in accordance with FASB ASC 715.</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Except as could not reasonably be expected, individually or in the aggregate, to have a Material Adverse Effect: (A) no ERISA Event has occurred or is reasonably expected to occur; (B) there are no pending, or to the best knowledge of each Borrower, threatened, claims, actions or lawsuits or other action by any Governmental Authority, plan participant or beneficiary with respect to a Benefit Arrangement; (C) there are no violations of the fiduciary responsibility rules with respect to any Benefit Arrangement; (D)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 and (E) no assessment or tax has arisen under Section 4980H of the Internal Revenue Code.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Absence of Default</w:t>
      </w:r>
      <w:r>
        <w:rPr>
          <w:rFonts w:ascii="Times New Roman" w:cs="Times New Roman" w:eastAsia="Times New Roman" w:hAnsi="Times New Roman"/>
          <w:sz w:val="18"/>
          <w:szCs w:val="18"/>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Each of the Borrowers, each other Loan Party and each Subsidiary: (i) is in compliance with all Environmental Laws applicable to its business, operations and the Properties, (ii) has obtained all Governmental Approvals which are required under Environmental Laws, and each such Governmental Approval is in full force and effect, and (iii) is in compliance with all terms and conditions of such Governmental Approvals, where with respect to each of the immediately preceding clauses (i) through (iii) the failure to obtain or to comply with could reasonably be expected to have a Material Adverse Effect. Except for any of the following matters that could not reasonably be expected to have a Material Adverse Effect, no Loan Party has any knowledge of, or has received notice of, any past, present, or pending releases, events, conditions, circumstances, activities, practices, incidents, facts, occurrences, actions, or plans that, with respect to any Borrower, any other Loan Party or any Subsidiary, their respective businesses, operations or with respect to the Properties, may: (x) cause or contribute to an actual or alleged violation of or noncompliance with Environmental Laws, (y) cause or contribute to any other</w:t>
      </w:r>
    </w:p>
    <w:p>
      <w:pPr>
        <w:sectPr>
          <w:pgSz w:w="11900" w:h="16838" w:orient="portrait"/>
          <w:cols w:equalWidth="0" w:num="1">
            <w:col w:w="11240"/>
          </w:cols>
          <w:pgMar w:left="320" w:top="1440" w:right="339" w:bottom="1440" w:gutter="0" w:footer="0" w:header="0"/>
        </w:sectPr>
      </w:pPr>
    </w:p>
    <w:bookmarkStart w:id="144" w:name="page145"/>
    <w:bookmarkEnd w:id="144"/>
    <w:p>
      <w:pPr>
        <w:jc w:val="both"/>
        <w:spacing w:after="0" w:line="253" w:lineRule="auto"/>
        <w:rPr>
          <w:sz w:val="20"/>
          <w:szCs w:val="20"/>
          <w:color w:val="auto"/>
        </w:rPr>
      </w:pPr>
      <w:r>
        <w:rPr>
          <w:rFonts w:ascii="Times New Roman" w:cs="Times New Roman" w:eastAsia="Times New Roman" w:hAnsi="Times New Roman"/>
          <w:sz w:val="18"/>
          <w:szCs w:val="18"/>
          <w:color w:val="auto"/>
        </w:rPr>
        <w:t>potential common-law claim or other liability, or (z) cause any of the Properties to become subject to any restrictions on ownership, occupancy, use or transferability under any Environmental Law or require the filing or recording of any notice, approval or disclosure document under any Environmental Law and, with respect to the immediately preceding clauses (x) through (z) is based on or related to the on-site or off-site manufacture, generation, processing, distribution, use, treatment, storage, disposal, transport, removal, clean up or handling, or the emission, discharge, release or threatened release of any wastes or Hazardous Material, or any other requirement under Environmental Law. There is no civil, criminal, or administrative action, suit, demand, claim, hearing, notice, or demand letter, mandate, order, lien, request, investigation, or proceeding pending or, to each Loan Party’s knowledge after due inquiry, threatened, against such Loan Party or any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each Loan Party’s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None of the Borrowers, any other Loan Party or their Subsidiaries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Margin Stock</w:t>
      </w:r>
      <w:r>
        <w:rPr>
          <w:rFonts w:ascii="Times New Roman" w:cs="Times New Roman" w:eastAsia="Times New Roman" w:hAnsi="Times New Roman"/>
          <w:sz w:val="18"/>
          <w:szCs w:val="18"/>
          <w:color w:val="auto"/>
        </w:rPr>
        <w:t>. None of the Borrowers, the other Loan Parties or their Subsidiaries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Affiliate Transactions</w:t>
      </w:r>
      <w:r>
        <w:rPr>
          <w:rFonts w:ascii="Times New Roman" w:cs="Times New Roman" w:eastAsia="Times New Roman" w:hAnsi="Times New Roman"/>
          <w:sz w:val="18"/>
          <w:szCs w:val="18"/>
          <w:color w:val="auto"/>
        </w:rPr>
        <w:t>. Except as permitted by Section 9.8. or as otherwise set forth on Schedule 6.1.(r), none of the Borrowers, the other Loan Parties or their Subsidiaries is a party to or bound by any agreement or arrangement with any Affiliate.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Each of the Borrowers, the other Loan Parties and the other Subsidiaries owns or has the right to use, under valid license agreements or otherwise, all patents, licenses, franchises, trademarks, trademark rights, service marks, service mark rights, trade names, trade name rights, trade secrets and copyrights (collectively, “Intellectual Property”) necessary to the conduct of its businesses, without known conflict with any patent, license, franchise, trademark, trademark right, service mark, service mark right, trade secret, trade name, copyright, or other proprietary right of any other Person. All such Intellectual Property is fully protected and/or duly and properly registered, filed or issued in the appropriate office and jurisdictions for such registrations, filing or issuances. No material claim has been asserted by any Person with respect to the use of any such Intellectual Property by any Borrower, any other Loan Party or any Subsidiary, or challenging or questioning the validity or effectiveness of any such Intellectual Property. The use of such Intellectual Property by the Borrowers, the other Loan Parties and their Subsidiaries does not infringe on the rights of any Person, subject to such claims and infringements as do not, in the aggregate, give rise to any liabilities on the part of any Borrower, any other Loan Party or any Subsidiary that could reasonably be expected to have a Material Adverse Effect.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Business</w:t>
      </w:r>
      <w:r>
        <w:rPr>
          <w:rFonts w:ascii="Times New Roman" w:cs="Times New Roman" w:eastAsia="Times New Roman" w:hAnsi="Times New Roman"/>
          <w:sz w:val="18"/>
          <w:szCs w:val="18"/>
          <w:color w:val="auto"/>
        </w:rPr>
        <w:t>. As of the Agreement Date, the Borrowers, the other Loan Parties and their Subsidiaries are engaged primarily in the business of owning, managing, leasing, acquiring, repositioning and making investments in office properties in the borough of Manhattan, New York, New York, together with other business activities incidental thereto.</w:t>
      </w:r>
    </w:p>
    <w:p>
      <w:pPr>
        <w:sectPr>
          <w:pgSz w:w="11900" w:h="16838" w:orient="portrait"/>
          <w:cols w:equalWidth="0" w:num="1">
            <w:col w:w="11240"/>
          </w:cols>
          <w:pgMar w:left="320" w:top="1417" w:right="339" w:bottom="1440" w:gutter="0" w:footer="0" w:header="0"/>
        </w:sectPr>
      </w:pPr>
    </w:p>
    <w:bookmarkStart w:id="145" w:name="page146"/>
    <w:bookmarkEnd w:id="145"/>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Broker’s Fees</w:t>
      </w:r>
      <w:r>
        <w:rPr>
          <w:rFonts w:ascii="Times New Roman" w:cs="Times New Roman" w:eastAsia="Times New Roman" w:hAnsi="Times New Roman"/>
          <w:sz w:val="18"/>
          <w:szCs w:val="18"/>
          <w:color w:val="auto"/>
        </w:rPr>
        <w:t>. Except as set forth in the Fee Letters, no broker’s or finder’s fee, commission or similar compensation will be payable with respect to the transactions contemplated hereby. No other similar fees or commissions will be payable by any Borrower or any other Loan Party for any other services rendered to any Borrower or any Subsidiary ancillary to the transactions contemplated hereby.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Accuracy and Completeness of Information</w:t>
      </w:r>
      <w:r>
        <w:rPr>
          <w:rFonts w:ascii="Times New Roman" w:cs="Times New Roman" w:eastAsia="Times New Roman" w:hAnsi="Times New Roman"/>
          <w:sz w:val="18"/>
          <w:szCs w:val="18"/>
          <w:color w:val="auto"/>
        </w:rPr>
        <w:t>. All written information, reports and other papers and data (other than financial projections, other forward looking statements and information of a general economic or industry specific nature) furnished to the Administrative Agent or any Lender by, on behalf of, or at the direction of, any Borrower, any other Loan Party or any Subsidiary were, taken as a whole, at the time the same were so furnished, complete and correct in all material respects, to the extent necessary to give the recipient a true and accurate knowledge of the subject matter, or, in the case of financial statements,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any Borrower, any other Loan Party or any Subsidiary that have been or may hereafter be made available to the Administrative Agent or any Lender were or will be prepared in good faith based on reasonable assumptions. No fact is known to any Borrower or any other Loan Party which has had, or may in the future have (so far as any Borrower or other Loan Party can reasonably foresee), a Material Adverse Effect which has not been set forth in the financial statements referred to in Section 6.1.(k) or in such information, reports or other papers or data or otherwise disclosed in writing to the Administrative Agent and the Lenders. No document furnished or written statement made to the Administrative Agent or any Lender in connection with the negotiation, preparation or execution of, or pursuant to, this Agreement or any of the other Loan Documents contains or will contain any untrue statement of a material fact, or omits or will omit to state a material fact necessary in order to make the statements contained therein not misleading. As of the Agreement Date, all of the information included in the Beneficial Ownership Certification, if required to be delivered, is true and correct.</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Not Plan Assets; No Prohibited Transactions</w:t>
      </w:r>
      <w:r>
        <w:rPr>
          <w:rFonts w:ascii="Times New Roman" w:cs="Times New Roman" w:eastAsia="Times New Roman" w:hAnsi="Times New Roman"/>
          <w:sz w:val="18"/>
          <w:szCs w:val="18"/>
          <w:color w:val="auto"/>
        </w:rPr>
        <w:t>. None of the assets of any Borrower, any other Loan Party or any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2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u w:val="single" w:color="auto"/>
          <w:color w:val="auto"/>
        </w:rPr>
        <w:t>  Anti-Corruption Laws and Sanctions</w:t>
      </w:r>
      <w:r>
        <w:rPr>
          <w:rFonts w:ascii="Times New Roman" w:cs="Times New Roman" w:eastAsia="Times New Roman" w:hAnsi="Times New Roman"/>
          <w:sz w:val="17"/>
          <w:szCs w:val="17"/>
          <w:color w:val="auto"/>
        </w:rPr>
        <w:t>. None of any Borrower, any other Loan Party, any of their respective Subsidiaries, any of their respective directors or officers, nor to the knowledge of the Loan Parties, any employees, Affiliates or any agent or representative of any Borrower, any other Loan Party or any of their respective Subsidiaries that will act in any capacity in connection with or benefit from this Agreement, (i) is a Sanctioned Person or currently the subject or target of any Sanctions, (ii) has its assets located in a Sanctioned Country, (iii) directly or indirectly derives revenues from investments in, or transactions with, Sanctioned Persons or (iv) has violated any Anti-Money Laundering Law in any material respect. Each Borrower, each other Loan Party and its respective Subsidiaries, and to the knowledge of such Borrower and such other Loan Party, each director, officer, employee, agent and Affiliate of such Borrower, such other Loan Party and each such Subsidiary, is in compliance with the Anti-Corruption Laws in all material respects. Each Borrower has implemented and maintains in effect policies and procedures designed to ensure compliance with the Anti-Corruption Laws and applicable Sanctions by such Borrower, such other Loan Party, their respective Subsidiaries, their respective directors, officers, employees, Affiliates and agents and representatives of such Borrower or any Subsidiary that will act in any capacity in connection with or benefit from this Agreement.</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REIT Status</w:t>
      </w:r>
      <w:r>
        <w:rPr>
          <w:rFonts w:ascii="Times New Roman" w:cs="Times New Roman" w:eastAsia="Times New Roman" w:hAnsi="Times New Roman"/>
          <w:sz w:val="18"/>
          <w:szCs w:val="18"/>
          <w:color w:val="auto"/>
        </w:rPr>
        <w:t>. The Parent qualifies as, and has elected to be treated as, a REIT and is in compliance with all requirements and conditions imposed under the Internal Revenue Code to allow the Parent to maintain its status as a REIT.</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Eligible and Identified Properties; Structured Finance Investments</w:t>
      </w:r>
      <w:r>
        <w:rPr>
          <w:rFonts w:ascii="Times New Roman" w:cs="Times New Roman" w:eastAsia="Times New Roman" w:hAnsi="Times New Roman"/>
          <w:sz w:val="18"/>
          <w:szCs w:val="18"/>
          <w:color w:val="auto"/>
        </w:rPr>
        <w:t>. As of the Agreement Date, Schedule 6.1.(z) is a correct and complete list of all Eligible Properties, all Fund Investments and all Structured Finance Investments, and the name of each Subsidiary that owns or leases any such Property or that owns any such Fund Investment or Structured Finance Investment.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Unencumbered Properties; Unencumbered Asset Value</w:t>
      </w:r>
      <w:r>
        <w:rPr>
          <w:rFonts w:ascii="Times New Roman" w:cs="Times New Roman" w:eastAsia="Times New Roman" w:hAnsi="Times New Roman"/>
          <w:sz w:val="18"/>
          <w:szCs w:val="18"/>
          <w:color w:val="auto"/>
        </w:rPr>
        <w:t>. Each Property included in any calculation of Unencumbered Adjusted NOI satisfied at the time of such calculation, all of the requirements contained in the definition of “Eligible Property”. Each Property included in the calculation of Unencumbered Asset Value satisfied, at the time of such calculation, all of the requirements contained in the definition of “Eligible Property”. At the time of calculation of Unencumbered Asset Value, no Property, Structured Finance Investment, Fund Investments or Mortgage Receivable owned or held by an entity other than a Borrower or other Loan Party was included in the calculation of Unencumbered Asset Value if such entity, or an entity (other than a Borrower or another Loan Party) that had a direct or indirect ownership interest in such entity at the time of such calculation, was an obligor in respect of any Indebtedness (other than Nonrecourse Indebtedness of the type described in clause (a) of the definition thereof).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Outbound Investment Rules</w:t>
      </w:r>
      <w:r>
        <w:rPr>
          <w:rFonts w:ascii="Times New Roman" w:cs="Times New Roman" w:eastAsia="Times New Roman" w:hAnsi="Times New Roman"/>
          <w:sz w:val="18"/>
          <w:szCs w:val="18"/>
          <w:color w:val="auto"/>
        </w:rPr>
        <w:t>. No Loan Party is a ‘covered foreign person’ as that term is used in the Outbound Investment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6.2. Survival of Representations and Warranties, Etc.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representations and warranties made under this Agreement and the other Loan Documents shall be deemed to be made on and as of the Agreement Date, the Effective Date, the date on which Additional Loans are made pursuant to Section 2.19.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expressly and specifically permitted hereunder. All such representations and warranties shall survive the effectiveness of this Agreement, the execution and delivery of the Loan Documents and the making of the Loans.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Affirmative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so long as this Agreement is in effect, each Borrower shall comply with the following covenants: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 Preservation of Existence and Similar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permitted under Section 9.3., each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7.2. Compliance with Applicable Law.</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Borrower shall, and shall cause each other Loan Party and each other Subsidiary to, comply with all Applicable Law, including the obtaining of all Governmental Approvals, the failure with which to comply could reasonably be expected to have a Material Adverse Effect. Each Borrower and each other Loan Party shall maintain in effect policies and procedures reasonably designed to ensure compliance by such Borrower, such other Loan</w:t>
      </w:r>
    </w:p>
    <w:p>
      <w:pPr>
        <w:sectPr>
          <w:pgSz w:w="11900" w:h="16838" w:orient="portrait"/>
          <w:cols w:equalWidth="0" w:num="1">
            <w:col w:w="11240"/>
          </w:cols>
          <w:pgMar w:left="320" w:top="144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Party and their Subsidiaries and their respective directors, officers, employees and agents with Anti-Corruption Laws and Sanctions in all material respects.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7.3. Maintenance of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requirements of any of the other Loan Documents, each Borrower shall, and shall cause each other Loan Party and each other Subsidiary to, (a) protect and preserve in all material respects all of its respective material properties, including, but not limited to, all Intellectual Property necessary to the conduct of its respective business, and in all material respects maintain in good repair, working order and condition all material tangible properties, ordinary wear and tear excepted and (b) make or cause to be made all material needed and appropriate repairs, renewals, replacements and additions to such properties, so that the business carried on in connection therewith may be properly and advantageously conducted at all times in all material respects.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7.4. Conduct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Borrower shall, and shall cause each other Loan Party and each other Subsidiary to, carry on its respective businesses as described in Section 6.1.(t).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7.5. Insurance.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requirements of any of the other Loan Documents, each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Representative shall from time to time deliver to the Administrative Agent upon request a detailed list, together with copies of all policies of the insurance of each Loan Party and its Subsidiaries then in effect, stating the names of the insurance companies, the amounts and rates of the insurance, the dates of the expiration thereof and the properties and risks covered thereby. Such insurance shall, in any event, include terrorism coverage.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7.6. Payment of Taxes and Claims.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Borrower shall, and shall cause each other Loan Party and each other Subsidiary to, pay and discharge when due (a) all material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and could reasonably be expected to have a Material Adverse Effect;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7.7. Books and Records; Inspections.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Borrower shall, and shall cause each other Loan Party and each other Subsidiary to, keep proper books of record and account in which full, true and correct entries shall be made of all dealings and transactions in relation to its business and activities. Each Borrower shall, and shall cause each other Loan Party and each other Subsidiary to, permit representatives of the Administrative Agent or any Lender to visit and inspect any of their respective properties, to examine and make abstracts from any of their respective books and records and to discuss their respective affairs, finances and accounts with their respective officers, employees and independent public accountants (in the presence of an officer of the Parent if an Event of Default does not then exist), all at such reasonable times during business hours and as often as may reasonably be requested and so long as no Event of Default exists, with reasonable prior notice. The Borrowers shall be obligated to reimburse the Administrative Agent and the Lenders for their costs and expenses incurred in connection with the exercise of their rights under this</w:t>
      </w:r>
    </w:p>
    <w:p>
      <w:pPr>
        <w:sectPr>
          <w:pgSz w:w="11900" w:h="16838" w:orient="portrait"/>
          <w:cols w:equalWidth="0" w:num="1">
            <w:col w:w="11240"/>
          </w:cols>
          <w:pgMar w:left="320" w:top="1417" w:right="339" w:bottom="1440" w:gutter="0" w:footer="0" w:header="0"/>
        </w:sectPr>
      </w:pPr>
    </w:p>
    <w:bookmarkStart w:id="148" w:name="page149"/>
    <w:bookmarkEnd w:id="148"/>
    <w:p>
      <w:pPr>
        <w:jc w:val="both"/>
        <w:spacing w:after="0" w:line="266" w:lineRule="auto"/>
        <w:rPr>
          <w:sz w:val="20"/>
          <w:szCs w:val="20"/>
          <w:color w:val="auto"/>
        </w:rPr>
      </w:pPr>
      <w:r>
        <w:rPr>
          <w:rFonts w:ascii="Times New Roman" w:cs="Times New Roman" w:eastAsia="Times New Roman" w:hAnsi="Times New Roman"/>
          <w:sz w:val="18"/>
          <w:szCs w:val="18"/>
          <w:color w:val="auto"/>
        </w:rPr>
        <w:t>Section only if such exercise occurs while a Default or Event of Default exists. If requested by the Administrative Agent, each Borrower and each other Loan Party shall execute an authorization letter addressed to its accountants authorizing the Administrative Agent or any Lender to discuss the financial affairs of such Borrower, any other Loan Party and their Subsidiaries with such Borrower’s accountants.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7.8. Use of Proceeds.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Borrower will use the proceeds of Loans only (a) to repay, in part, the “Term A Loan” (as defined in the Existing Credit Agreement); (b) for the payment of fees and expenses in connection with this Agreement; (c) to finance acquisitions and other Investments otherwise permitted under this Agreement; (d) to finance capital expenditures and the repayment of Indebtedness of such Borrower and its Subsidiaries; (e) to provide for the general working capital needs of such Borrower and its Subsidiaries; and (f) for other general corporate purposes of such Borrower and its Subsidiaries. No Borrower shall, and no Borrower shall permit any Subsidiary to, use any part of such proceeds to purchase or carry, or to reduce or retire or refinance any credit incurred to purchase or carry, any margin stock (within the meaning of Regulation U or Regulation X of the Board of Governors of the Federal Reserve System) or to extend credit to others for the purpose of purchasing or carrying any such margin stock; provided, however, to the extent not otherwise prohibited by this Agreement or the other Loan Documents, the Parent may use proceeds of the Loans to purchase the Parent’s common stock so long as such use will not result in any of the Loans or other Obligations being considered to be “purpose credit” directly or indirectly secured by margin stock within the meaning of Regulation U or Regulation X of the Board of Governors of the Federal Reserve System. No Borrower shall, and no Borrower shall permit any other Loan Party or any other Subsidiary to, use any proceeds of the Loans (x) in furtherance of an offer, payment, promise to pay, or authorization of the payment or giving of money, or anything else of value, to any Person in violation of any Anti-Corruption Laws, (y) for the purpose of funding, financing or facilitating any activities, business or transaction of or with any Sanctioned Person, or in any Sanctioned Country or (z) in any manner that would result in the violation of any Sanctions applicable to any party hereto.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7.9. Environmental Matters.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Borrower shall, and shall cause each other Loan Party and each other Subsidiary to, comply with all Environmental Laws the failure with which to comply could reasonably be expected to have a Material Adverse Effect. Each Borrower shall comply, and shall cause each other Loan Party and each other Subsidiary to comply, and each Borrower shall use, and shall cause each other Loan Party and each other Subsidiary to use, commercially reasonable efforts to cause all other Persons occupying, using or present on the Properties to comply, with all Environmental Laws in all material respects. Each Borrower shall, and shall cause each other Loan Party and each other Subsidiary to, promptly take all actions and pay or arrange to pay all costs necessary for it and for the Properties to comply in all material respects with all Environmental Laws and all Governmental Approvals, including actions to remove and dispose of all Hazardous Materials and to clean up the Properties as required under Environmental Laws in each case, to the extent all other responsible parties fail to promptly take such actions, pay such costs and comply with such requirements. Each Borrower shall, and shall cause each other Loan Party and each other Subsidiary to, promptly take all reasonable actions necessary to prevent the imposition of any Liens on any of their respective properties arising out of or related to any Environmental Laws. Nothing in this Section shall impose any obligation or liability whatsoever on the Administrative Agent or any Lender.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7.10. Further Assurances.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such Borrower’s cost and expense and upon request of the Administrative Agent, each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ectPr>
          <w:pgSz w:w="11900" w:h="16838" w:orient="portrait"/>
          <w:cols w:equalWidth="0" w:num="1">
            <w:col w:w="11240"/>
          </w:cols>
          <w:pgMar w:left="320" w:top="1417" w:right="339" w:bottom="1440" w:gutter="0" w:footer="0" w:header="0"/>
        </w:sectPr>
      </w:pPr>
    </w:p>
    <w:bookmarkStart w:id="149" w:name="page150"/>
    <w:bookmarkEnd w:id="1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REIT Status.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Parent shall maintain its status as, and election to be treated as, a REIT under the Internal Revenue Code.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Exchange Listing.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Parent shall maintain at least one class of common shares of the Parent which either has trading privileges on any of the New York Stock Exchange, the American Stock Exchange or on any other national stock exchange or which is subject to price quotations on The NASDAQ Stock Market’s National Market System or any other national electronic market system.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so long as this Agreement is in effect, the Borrower Representative shall furnish to the Administrative Agent for distribution to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 Quarterly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soon as available and in any event within 5 Business Days after the same is required to be filed with the Securities and Exchange Commission (but in no event later than 60 days after the end of each of the first, second and third fiscal quarters of the Parent)(commencing with the fiscal quarter ending March 31, 2026), the unaudited consolidated balance sheets of the Parent and its Subsidiaries as at the end of such period and the related unaudited consolidated statements of income, equity or capital, as applicable, and cash flows for such period, setting forth in each case in comparative form the figures as of the end of and for the corresponding periods of the previous fiscal year, all of which shall be certified by the respective chief executive officer or chief financial officer of the Parent, in his or her opinion, to present fairly, in accordance with GAAP and in all material respects, the consolidated financial position of the Parent and its Subsidiaries as at the date thereof and the results of operations for such period (subject to normal year-end audit adjustments).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8.2. Year-End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soon as available and in any event within 5 Business Days after the same is required to be filed with the Securities and Exchange Commission (but in no event later than 105 days after the end of each fiscal year of the Parent), the audited consolidated balance sheets of the Parent and its Subsidiaries as at the end of such fiscal year and the related audited consolidated statements of income, equity or capital, as applicable, and cash flows for such fiscal year, setting forth in comparative form the figures as at the end of and for the previous fiscal year, all of which shall be (a) certified by the respective chief executive officer or chief financial officer of the Parent, in his or her opinion, to present fairly, in accordance with GAAP and in all material respects, the financial position of the Parent and its Subsidiaries as at the date thereof and the result of operations for such period and (b) accompanied by the report thereon of Deloitte LLP or any other independent certified public accountants of recognized national standing, whose report shall not be subject to any “going concern” or like qualification, exception or explanatory paragraph or any qualification, exception or explanatory paragraph as to the scope of such audit.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8.3. Compliance Certificate.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the financial statements of the Parent are furnished pursuant to Sections 8.1. and 8.2., a certificate substantially in the form of Exhibit O (each a “Compliance Certificate”) executed on behalf of the Parent by the chief financial officer of the Parent (a) setting forth in reasonable detail as of the end of such quarterly accounting period or fiscal year, as the case may be, the calculations required to establish whether the Parent was in compliance with the covenants contained in Section 9.1.; and (b) stating that, to the best of his or her knowledge,</w:t>
      </w:r>
    </w:p>
    <w:p>
      <w:pPr>
        <w:sectPr>
          <w:pgSz w:w="11900" w:h="16838" w:orient="portrait"/>
          <w:cols w:equalWidth="0" w:num="1">
            <w:col w:w="11240"/>
          </w:cols>
          <w:pgMar w:left="320" w:top="1440" w:right="339" w:bottom="1440" w:gutter="0" w:footer="0" w:header="0"/>
        </w:sectPr>
      </w:pPr>
    </w:p>
    <w:bookmarkStart w:id="150" w:name="page151"/>
    <w:bookmarkEnd w:id="150"/>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and belief after due inquiry, no Default or Event of Default exists, or, if such is not the case, specifying such Default or Event of Default and its nature, when it occurred and the steps being taken by the Parent and the other Borrower with respect to such Default or Event of Default. At the time financial statements are furnished pursuant to Sections 8.1. and 8.2., the Parent shall also deliver (A) a report, in form and detail reasonably satisfactory to the Administrative Agent, setting forth a list of all Properties acquired by the Parent and its respective Subsidiaries since the date of the delivery of the previous such report, such list to identify such Property’s name, location, year built or acquired, anchor tenants, if any, amount of related mortgage Indebtedness, if any, and the maturity of such mortgage Indebtedness, and the Occupancy Rate and Net Operating Income for such Property, and (B) a list of all Properties that are 1031 Properties.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8.4. Other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Promptly upon the request by the Administrative Agent or any Lender (through the Administrative Agent), copies of all management reports, if any, submitted to any Borrower or its Board of Directors by its independent public accountants;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any Borrower, any other Loan Party or any other Subsidiary shall file with the Securities and Exchange Commission (or any Governmental Authority substituted therefor) or any national securities exchange;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Promptly upon the mailing thereof to the shareholders of the Parent generally, copies of all financial statements, reports and proxy statements so mailed and promptly upon the issuance thereof copies of all press releases issued by any Borrower, any other Loan Party or any Subsidiary (but only if such financial reports, proxy statements and press releases are not publicly available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publicly available, the Borrower Representative has notified the Administrative Agent in writing (which may be by telecopy or electronic mail ) of such public availability);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Promptly upon the mailing thereof to the partners of SLGOP generally, copies of all financial statements, reports and proxy statements so mailed (but only to the extent that such financial statements, reports and proxy statements are not publicly available to the Administrative Agent and the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If any ERISA Event shall occur that individually, or together with any other ERISA Event that has occurred, could reasonably be expected to have a Material Adverse Effect, a certificate of the chief executive officer or chief financial officer of the Parent setting forth details as to such occurrence and the action, if any, which the Parent or applicable member of the ERISA Group is required or proposes to take;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To the extent any Borrower, any other Loan Party or any other Subsidiary is aware of the same, prompt notice (which may be by telecopy or electronic mail) of the commencement of any proceeding or investigation by or before any Governmental Authority and any action or proceeding in any court or other tribunal or before any arbitrator against or in any other way relating to, or affecting, any Borrower, any other Loan Party or any Subsidiary or any of their respective properties, assets or businesses which could reasonably be expected to have a Material Adverse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Promptly upon the request of the Administrative Agent, the Borrowers shall provide evidence of the Parent’s calculation of the Ownership Share with respect to an Unconsolidated Affiliate, such evidence to be in form and detail reasonably satisfactory to the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Prompt notice (which may be by telecopy or electronic mail) of any change in the business, assets, liabilities, financial condition, or results of operations of any Borrower, any other Loan Party or any Subsidiary</w:t>
      </w:r>
    </w:p>
    <w:p>
      <w:pPr>
        <w:sectPr>
          <w:pgSz w:w="11900" w:h="16838" w:orient="portrait"/>
          <w:cols w:equalWidth="0" w:num="1">
            <w:col w:w="11240"/>
          </w:cols>
          <w:pgMar w:left="320" w:top="14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or the occurrence of any other event, in each case, which has had, or could reasonably be expected to have, a Material Adverse Effect;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Notice (which may be by telecopy or electronic mail) of the occurrence of any Default or Event of Default promptly upon a Responsible Officer of the Parent or any other Borrower or any other Loan Party obtaining knowledge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Prompt notice (which may be by telecopy or electronic mail) of any order, judgment or decree having been entered against any Loan Party or any Material Subsidiary, or any of their respective properties or assets, that individually or in the aggregate with all other such orders, judgments or decrees is in excess of $75,000,000;</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            Promptly upon any change in Rated Borrower’s Credit Rating, written notice (which may be by telecopy or electronic mail) stating that Rated Borrower’s Credit Rating has changed and providing the new Credit Rating that is in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Promptly, upon each request, information identifying the Borrowers as a Lender may request in order to comply with applicable “know your customer” and Anti-Money Laundering Laws, including without limitation, the Patriot Act;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            Promptly, and in any event within 3 Business Days after any Borrower obtains knowledge thereof, written notice (which may be by telecopy or electronic mail) of the occurrence of any of the following: (i) a Borrower, any other Loan Party or any Subsidiary shall receive notice that any violation of or noncompliance with any Environmental Law has or may have been committed or is threatened; (ii) a Borrower, any other Loan Party or any Subsidiary shall receive notice that any administrative or judicial complaint, order or petition has been filed or other proceeding has been initiated, or is about to be filed or initiated against any such Person alleging any violation of or noncompliance with any Environmental Law or requiring any such Person to take any action in connection with the release or threatened release of Hazardous Materials; (iii) a Borrower, any other Loan Party or any Subsidiary shall receive any notice from a Governmental Authority or private party alleging that any such Person may be liable or responsible for any costs associated with a response to, or remediation or cleanup of, a release or threatened release of Hazardous Materials or any damages caused thereby; or (iv) a Borrower, any other Loan Party or any Subsidiary shall receive notice of any other fact, circumstance or condition that could reasonably be expected to form the basis of an environmental claim, and the matters covered by notices referred to in any of the immediately preceding clauses (i) through (iv), whether individually or in the aggregate, could reasonably be expected to have a Material Adverse Effect; and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Prompt notice (which may be by telecopy or electronic mail) of the sale, transfer or other disposition of any material assets of the any Borrower, any other Loan Party or any Subsidiary to any Person other than any Borrower, any other Loan Party or any Subsidiary;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From time to time and promptly upon each request, such data, certificates, reports, statements, opinions of counsel, documents or further information regarding any Property or the business, assets, liabilities, financial condition, results of operations or business prospects of any Borrower, any other Loan Party or any of their respective Subsidiaries as the Administrative Agent or any Lender (through the Administrative Agent) may reasonably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8.5. Electronic Delivery of Certain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Documents required to be delivered pursuant to the Loan Documents may be delivered by electronic communication and delivery, including, the Internet, e-mail or intranet websites to which the Administrative Agent and each Lender have access (including a commercial, third-party website such as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&lt;</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&gt; or a website sponsored or hosted by the Administrative Agent or the Borrowers) provided that the</w:t>
      </w:r>
    </w:p>
    <w:p>
      <w:pPr>
        <w:sectPr>
          <w:pgSz w:w="11900" w:h="16838" w:orient="portrait"/>
          <w:cols w:equalWidth="0" w:num="1">
            <w:col w:w="11240"/>
          </w:cols>
          <w:pgMar w:left="320" w:top="1417" w:right="339" w:bottom="1440" w:gutter="0" w:footer="0" w:header="0"/>
        </w:sectPr>
      </w:pPr>
    </w:p>
    <w:bookmarkStart w:id="152" w:name="page153"/>
    <w:bookmarkEnd w:id="152"/>
    <w:p>
      <w:pPr>
        <w:jc w:val="both"/>
        <w:spacing w:after="0" w:line="252" w:lineRule="auto"/>
        <w:rPr>
          <w:sz w:val="20"/>
          <w:szCs w:val="20"/>
          <w:color w:val="auto"/>
        </w:rPr>
      </w:pPr>
      <w:r>
        <w:rPr>
          <w:rFonts w:ascii="Times New Roman" w:cs="Times New Roman" w:eastAsia="Times New Roman" w:hAnsi="Times New Roman"/>
          <w:sz w:val="18"/>
          <w:szCs w:val="18"/>
          <w:color w:val="auto"/>
        </w:rPr>
        <w:t>foregoing shall not apply to (i) notices to any Lender pursuant to Article II. and (ii) any Lender that has notified the Administrative Agent and the Borrower Representative that it cannot or does not want to receive electronic communications. The Administrative Agent, the Borrower Representative or any other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Business Day on which the Administrative Agent or the Borrower Representative or another Borrower posts such documents or the documents become available on a commercial website and the Administrative Agent, the Borrower Representative or other Borrower notifies each Lender of said posting and provides a link thereto provided if such notice or other communication is sent after 12:00 noon Eastern time on any Business Day, such notice or other communication shall be deemed to have been delivered on the next succeeding Business Day. Notwithstanding anything contained herein, in every instance the Parent shall be required to provide to the Administrative Agent paper copies of the certificates required by Section 8.3. and the Borrowers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any Borrower with any such request for delivery. Each Lender shall be solely responsible for requesting delivery to it of paper copies and maintaining its paper or electronic documents.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Documents required to be delivered pursuant to Article II. may be delivered electronically to a website provided for such purpose by the Administrative Agent pursuant to the procedures provided to the Borrowers by the Administrative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8.6. Public/Private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Borrower Representative and each other Borrower shall cooperate with the Administrative Agent in connection with the publication of certain materials and/or information provided by or on behalf of any Borrower. Documents required to be delivered pursuant to the Loan Documents shall be delivered by or on behalf of a Borrower to the Administrative Agent and the Lenders (collectively, “Information Materials”) pursuant to this Article, and the Borrower Representative or a Borrower, as the case may be, shall designate Information Materials (a) that are either available to the public or not material with respect to a Borrower and its Subsidiaries or any of their respective securities for purposes of United States federal and state securities laws, as “Public Information” and (b) that are not Public Information as “Private Information”. Absent written notice from the Borrower Representative to the contrary, the Borrower Representative hereby designates all Information Materials included in the public filings made by any Borrower or any of the Subsidiaries with the Securities and Exchange Commission as “Public Information” and all other Information Materials as “Private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8.7. USA Patriot Act Notice; Compliance.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USA Patriot Act of 2001 (Public Law 107-56) and federal regulations issued with respect thereto require all financial institutions to obtain, verify and record certain information that identifies individuals or business entities which open an “account” with such financial institution. Consequently, a Lender (for itself and/or as agent for all Lenders hereunder) may from time-to-time request, and the Parent shall, and shall cause each other Loan Party to, provide to such Lender, such Loan Party’s name, address, tax identification number and/or such other identification information as shall be necessary for such Lender to comply with federal law. An “account” for this purpose may include, without limitation, a deposit account, cash management service, a transaction or asset account, a credit account, a loan or other extension of credit, and/or other financial services product. The Borrowers agree to promptly notify the Administrative Agent and each Lender, in each case, that previously received a Beneficial Ownership Certification of any change in the information provided in the Beneficial Ownership Certification that would result in a change to the list of beneficial owners identified therein (or, if applicable, the Borrowers ceasing to fall within an express exclusion to the definition of “legal entity customer” under the Beneficial Ownership</w:t>
      </w:r>
    </w:p>
    <w:p>
      <w:pPr>
        <w:sectPr>
          <w:pgSz w:w="11900" w:h="16838" w:orient="portrait"/>
          <w:cols w:equalWidth="0" w:num="1">
            <w:col w:w="11240"/>
          </w:cols>
          <w:pgMar w:left="320" w:top="1417" w:right="339" w:bottom="1440" w:gutter="0" w:footer="0" w:header="0"/>
        </w:sectPr>
      </w:pPr>
    </w:p>
    <w:bookmarkStart w:id="153" w:name="page154"/>
    <w:bookmarkEnd w:id="153"/>
    <w:p>
      <w:pPr>
        <w:jc w:val="both"/>
        <w:spacing w:after="0" w:line="282" w:lineRule="auto"/>
        <w:rPr>
          <w:sz w:val="20"/>
          <w:szCs w:val="20"/>
          <w:color w:val="auto"/>
        </w:rPr>
      </w:pPr>
      <w:r>
        <w:rPr>
          <w:rFonts w:ascii="Times New Roman" w:cs="Times New Roman" w:eastAsia="Times New Roman" w:hAnsi="Times New Roman"/>
          <w:sz w:val="18"/>
          <w:szCs w:val="18"/>
          <w:color w:val="auto"/>
        </w:rPr>
        <w:t>Regulation) and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Negative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so long as this Agreement is in effect, the Parent shall comply with the following covenants: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9.1. Financial Covenants.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Ratio of Total Indebtedness to Total Asset Value</w:t>
      </w:r>
      <w:r>
        <w:rPr>
          <w:rFonts w:ascii="Times New Roman" w:cs="Times New Roman" w:eastAsia="Times New Roman" w:hAnsi="Times New Roman"/>
          <w:sz w:val="18"/>
          <w:szCs w:val="18"/>
          <w:color w:val="auto"/>
        </w:rPr>
        <w:t xml:space="preserve">. The Parent shall not permit the ratio of (i) Total Indebtedness of the Parent and its Subsidiaries to (ii) Total Asset Value of the Parent and its Subsidiaries to exceed 0.60 to 1.00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ratio may exceed 0.60 to 1.00 during any fiscal quarter and the two subsequent fiscal quarters (each such period during which such ratio is exceeded, an “</w:t>
      </w:r>
      <w:r>
        <w:rPr>
          <w:rFonts w:ascii="Times New Roman" w:cs="Times New Roman" w:eastAsia="Times New Roman" w:hAnsi="Times New Roman"/>
          <w:sz w:val="18"/>
          <w:szCs w:val="18"/>
          <w:u w:val="single" w:color="auto"/>
          <w:color w:val="auto"/>
        </w:rPr>
        <w:t>Increase Period</w:t>
      </w:r>
      <w:r>
        <w:rPr>
          <w:rFonts w:ascii="Times New Roman" w:cs="Times New Roman" w:eastAsia="Times New Roman" w:hAnsi="Times New Roman"/>
          <w:sz w:val="18"/>
          <w:szCs w:val="18"/>
          <w:color w:val="auto"/>
        </w:rPr>
        <w:t xml:space="preserve">”) so long as such ratio does not exceed 0.65 to 1.00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ratio cannot exceed 0.60 to 1.00 as of the last Business Day of the fiscal quarter immediately following an Increase Period before a new Increase Period may begin. For purposes of calculating this ratio, (A) Total Indebtedness shall be adjusted by deducting therefrom an amount equal to the lesser of (x) unrestricted cash and Cash Equivalents of the Parent and its Subsidiaries as of the date of determination and (y) the amount of Total Indebtedness of the Parent and its Subsidiaries that matures on or before the date that is 24 months from the date of the calculation and (B) Total Asset Value shall be adjusted by deducting therefrom the amount by which Total Indebtedness is adjusted under the immediately preceding clause (A).</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Ratio of Adjusted EBITDA to Fixed Charges</w:t>
      </w:r>
      <w:r>
        <w:rPr>
          <w:rFonts w:ascii="Times New Roman" w:cs="Times New Roman" w:eastAsia="Times New Roman" w:hAnsi="Times New Roman"/>
          <w:sz w:val="18"/>
          <w:szCs w:val="18"/>
          <w:color w:val="auto"/>
        </w:rPr>
        <w:t>. The Parent shall not permit the ratio of (i) the sum of (x) Adjusted EBITDA of the Parent and its Subsidiaries for the period of four consecutive fiscal quarters most recently ended plus (y) cash and Cash Equivalents actually distributed to the Borrowers and their Subsidiaries by Unconsolidated Affiliates to (ii) Fixed Charges of the Parent and its Subsidiaries for such period, to be less than (x) prior to a Change of Control, 1.50 to 1.00 at any time or (y) on and after a Change of Control, 1.75 to 1.00 at any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Ratio of Secured Indebtedness to Total Asset Value</w:t>
      </w:r>
      <w:r>
        <w:rPr>
          <w:rFonts w:ascii="Times New Roman" w:cs="Times New Roman" w:eastAsia="Times New Roman" w:hAnsi="Times New Roman"/>
          <w:sz w:val="18"/>
          <w:szCs w:val="18"/>
          <w:color w:val="auto"/>
        </w:rPr>
        <w:t>. The Parent shall not permit the ratio of (i) Secured Indebtedness of the Parent and its Subsidiaries to (ii) Total Asset Value of the Parent and its Subsidiaries to exceed 0.50 to 1.00 at any time.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Ratio of Unsecured Indebtedness to Unencumbered Asset Value</w:t>
      </w:r>
      <w:r>
        <w:rPr>
          <w:rFonts w:ascii="Times New Roman" w:cs="Times New Roman" w:eastAsia="Times New Roman" w:hAnsi="Times New Roman"/>
          <w:sz w:val="18"/>
          <w:szCs w:val="18"/>
          <w:color w:val="auto"/>
        </w:rPr>
        <w:t xml:space="preserve">. The Parent shall not permit the ratio of (i) Unsecured Indebtedness of the Parent and its Subsidiaries for any fiscal quarter to (ii) Unencumbered Asset Value of the Parent and its Subsidiaries for such fiscal quarter to exceed 0.60 to 1.00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ratio may exceed 0.60 to 1.00 during any fiscal quarter and the two subsequent fiscal quarters (each such period during which such ratio is exceeded, an “</w:t>
      </w:r>
      <w:r>
        <w:rPr>
          <w:rFonts w:ascii="Times New Roman" w:cs="Times New Roman" w:eastAsia="Times New Roman" w:hAnsi="Times New Roman"/>
          <w:sz w:val="18"/>
          <w:szCs w:val="18"/>
          <w:u w:val="single" w:color="auto"/>
          <w:color w:val="auto"/>
        </w:rPr>
        <w:t>Increase Period</w:t>
      </w:r>
      <w:r>
        <w:rPr>
          <w:rFonts w:ascii="Times New Roman" w:cs="Times New Roman" w:eastAsia="Times New Roman" w:hAnsi="Times New Roman"/>
          <w:sz w:val="18"/>
          <w:szCs w:val="18"/>
          <w:color w:val="auto"/>
        </w:rPr>
        <w:t xml:space="preserve">”) so long as such ratio does not exceed 0.65 to 1.00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ratio cannot exceed 0.60 to 1.00 as of the last Business Day of the fiscal quarter immediately following an Increase Period before a new Increase Period may begin. For purposes of calculating this ratio, (A) Unsecured Indebtedness shall be adjusted by deducting therefrom an amount equal to the lesser of</w:t>
      </w:r>
    </w:p>
    <w:p>
      <w:pPr>
        <w:spacing w:after="0" w:line="5" w:lineRule="exact"/>
        <w:rPr>
          <w:sz w:val="20"/>
          <w:szCs w:val="20"/>
          <w:color w:val="auto"/>
        </w:rPr>
      </w:pPr>
    </w:p>
    <w:p>
      <w:pPr>
        <w:jc w:val="both"/>
        <w:ind w:firstLine="8"/>
        <w:spacing w:after="0" w:line="255" w:lineRule="auto"/>
        <w:tabs>
          <w:tab w:leader="none" w:pos="2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cash and Cash Equivalents of the Parent and its Subsidiaries as of the date of determination and (y) the amount of Total Indebtedness of the Parent and its Subsidiaries that matures on or before the date that is 24 months from the date of the calculation and (B) Unencumbered Asset Value shall be adjusted by deducting therefrom the amount by which Unsecured Indebtedness is adjusted under the immediately preceding clause (A).</w:t>
      </w:r>
    </w:p>
    <w:p>
      <w:pPr>
        <w:spacing w:after="0" w:line="18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Dividends and Other Restricted Payments</w:t>
      </w:r>
      <w:r>
        <w:rPr>
          <w:rFonts w:ascii="Times New Roman" w:cs="Times New Roman" w:eastAsia="Times New Roman" w:hAnsi="Times New Roman"/>
          <w:sz w:val="18"/>
          <w:szCs w:val="18"/>
          <w:color w:val="auto"/>
        </w:rPr>
        <w:t>. If an Event of Default specified in Section 10.1.(a), Section 10.1.(e) or Section 10.1.(f) shall exist, or if as a result of the occurrence of any other Event of Default any of the Obligations have been accelerated pursuant to Section 10.2.(a), the Parent shall not, and shall not permit any of</w:t>
      </w:r>
    </w:p>
    <w:p>
      <w:pPr>
        <w:sectPr>
          <w:pgSz w:w="11900" w:h="16838" w:orient="portrait"/>
          <w:cols w:equalWidth="0" w:num="1">
            <w:col w:w="11240"/>
          </w:cols>
          <w:pgMar w:left="320" w:top="1417" w:right="339" w:bottom="1440" w:gutter="0" w:footer="0" w:header="0"/>
        </w:sectPr>
      </w:pPr>
    </w:p>
    <w:bookmarkStart w:id="154" w:name="page155"/>
    <w:bookmarkEnd w:id="154"/>
    <w:p>
      <w:pPr>
        <w:jc w:val="both"/>
        <w:spacing w:after="0" w:line="256" w:lineRule="auto"/>
        <w:rPr>
          <w:sz w:val="20"/>
          <w:szCs w:val="20"/>
          <w:color w:val="auto"/>
        </w:rPr>
      </w:pPr>
      <w:r>
        <w:rPr>
          <w:rFonts w:ascii="Times New Roman" w:cs="Times New Roman" w:eastAsia="Times New Roman" w:hAnsi="Times New Roman"/>
          <w:sz w:val="18"/>
          <w:szCs w:val="18"/>
          <w:color w:val="auto"/>
        </w:rPr>
        <w:t>its Subsidiaries to, make any Restricted Payments; provided that (i) SLGOP may declare and make cash distributions to holders of partnership interests in SLGOP, with respect to any fiscal year to the extent necessary for the Parent to distribute, and the Parent may so distribute, an aggregate amount not to exceed the minimum amount necessary for the Parent to remain in compliance with Section 7.11. and (ii) Subsidiaries of a Borrower may make Restricted Payments to (A) such Borrower and its Wholly Owned Subsidiaries, (B) to other holders of the Equity Interests in such Subsidiaries to the extent necessary to make Restricted Payments to such Borrower or (C) any of such Borrower’s Subsidiaries, and in the case of a Subsidiary of such Borrower that is not a Wholly Owned Subsidiary, to each other holder of Equity Interests of such Subsidiary based on their relative ownership interests.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Indebtedness other than Nonrecourse Indebtedness</w:t>
      </w:r>
      <w:r>
        <w:rPr>
          <w:rFonts w:ascii="Times New Roman" w:cs="Times New Roman" w:eastAsia="Times New Roman" w:hAnsi="Times New Roman"/>
          <w:sz w:val="18"/>
          <w:szCs w:val="18"/>
          <w:color w:val="auto"/>
        </w:rPr>
        <w:t>. The Parent shall not permit any of its Subsidiaries (other than a Borrower) to incur, acquire or suffer to exist Restricted Indebtedness in an amount that individually or in the aggregate with all other Restricted Indebtedness of such Subsidiaries is greater than $100,000,000 at any one time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9.2. Liens; Negative Pledge.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 Borrower shall, and no Borrower shall permit any other Loan Party or any Subsidiary to, create, assume, or incur any Lien (other than</w:t>
      </w:r>
    </w:p>
    <w:p>
      <w:pPr>
        <w:spacing w:after="0" w:line="27" w:lineRule="exact"/>
        <w:rPr>
          <w:sz w:val="20"/>
          <w:szCs w:val="20"/>
          <w:color w:val="auto"/>
        </w:rPr>
      </w:pPr>
    </w:p>
    <w:p>
      <w:pPr>
        <w:ind w:left="280" w:hanging="272"/>
        <w:spacing w:after="0"/>
        <w:tabs>
          <w:tab w:leader="none" w:pos="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Liens and (y) the Liens set forth on Schedule 6.1.(f)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Lien extends to any additional property other than after-acquired property that is affixed or incorporated into the property covered by such Lien and (ii) such modification, replacement, renewal or extension of such Lien does not cause a Default or Event of Default) upon any of its properties, assets, income or profits of any character whether now owned or hereafter acquired if immediately prior to the creation, assumption or incurring of such Lien, or immediately thereafter, a Default or Event of Default is or would be in existence, including without limitation, a Default or Event of Default resulting from a violation of any of the covenants contained in Section 9.1.</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No Borrower shall, and no Borrower shall permit any other Loan Party or any other Subsidiary to, enter into, assume or otherwise be bound by any Negative Pledge except for a Negative Pledge contained in (i) an agreement (x) evidencing Indebtedness which such Borrower, such other Loan Party or such Subsidiary may create, incur, assume, or permit or suffer to exist under this Agreement, (y) which Indebtedness is secured by a Lien permitted to exist under the Loan Documents, and (z) which prohibits the creation of any other Lien on only the property securing such Indebtedness as of the date such agreement was entered into; (ii) an agreement relating to the sale of a Subsidiary or assets pending such sale, provided that in any such case the Negative Pledge applies only to the Subsidiary or the assets that are the subject of such sale; or (iii) any agreement relating to Pari Passu Indebtedness.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9.3. Merger, Consolidation, Sales of Assets and Other Arrangements.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 Borrower shall, and no Borrower shall permit any other Loan Party or any other Subsidiary to: (i) enter into any transaction of merger or consolidation; (ii) liquidate, wind up or dissolve itself (or suffer any liquidation or dissolution); or (iii) convey, sell, lease, sublease, transfer or otherwise dispose of, in one transaction or a series of transactions, all or substantially all of its business or assets, whether now owned or hereafter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any of the actions described in the immediately preceding clauses (i) through (iii) may be taken with respect to (A) any Borrower or any other Loan Party solely for the purpose of reincorporating such Borrower or such other Loan Party in any State of the United States of America or in the District of Columbia and (B) any Subsidiary (other than a Borrower or another Loan Party) so long as either (x) such action is taken by and among Subsidiaries (other than a Borrower or any other Loan Party) or (y) immediately prior to the taking of such action, and</w:t>
      </w:r>
    </w:p>
    <w:p>
      <w:pPr>
        <w:sectPr>
          <w:pgSz w:w="11900" w:h="16838" w:orient="portrait"/>
          <w:cols w:equalWidth="0" w:num="1">
            <w:col w:w="11240"/>
          </w:cols>
          <w:pgMar w:left="320" w:top="14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immediately thereafter and after giving effect thereto, no Default under Section 10.1.(a) or Section 10.1.(f) or Event of Default is or would be in existence;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Borrowers, the other Loan Parties and the other Subsidiaries may lease and sublease their respective assets, as lessor or sublessor (as the case may be), in the ordinary course of their business;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a Person may merge with and into a Borrower so long as (i) such Borrower is the survivor of such merger, (ii) immediately prior to such merger, and immediately thereafter and after giving effect thereto, no Default or Event of Default is or would be in existence, and (iii) the Borrower Representative shall have given the Administrative Agent and the Lenders at least 10 Business Days’ prior written notice (which may be by telecopy or electronic mail) of such merger, such notice to include a certification as to the matters described in the immediately preceding clause (ii) (except that such prior notice shall not be required in the case of the merger of a Subsidiary with and into a Borrower (other than the Parent) or a Subsidiary (other than the SLGOP) with and into the Parent);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each Borrower, each other Loan Party and each other Subsidiary may sell, transfer, lease or dispose of assets among themselves.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9.4.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Borrower shall, and no Borrower shall permit any other Loan Party or any other Subsidiary to, permit any of its respective assets to become or be deemed to be “plan assets” within the meaning of ERISA, the Internal Revenue Code and the respective regulations promulgated thereunder. No Borrower shall cause or permit to occur, and no Borrower shall permit any other member of the ERISA Group to cause or permit to occur, any ERISA Event if such ERISA Event could reasonably be expected to have a Material Adverse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9.5. Fiscal Year.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Borrower shall, and no Borrower shall permit any other Loan Party or any other Subsidiary to, change its fiscal year from that in effect as of the Agreement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9.6. Modifications of Organizational Documents.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Borrower shall, and no Borrower shall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(a) is adverse to the interest of the Administrative Agent or the Lenders or (b) could reasonably be expected to have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9.7. Restrictions on Activities of SL Green Management Corp.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Borrower shall permit SL Green Management Corp. to own any Property, Structured Finance Investment, Fund Investment or Mortgage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9.8. Transactions with Affiliates.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Borrower shall permit to exist or enter into, and no Borrower shall permit any other Loan Party or any other Subsidiary to permit to exist or enter into, any transaction (including the purchase, sale, lease or exchange of any property or the rendering of any service) with any Affiliate, except (a) as set forth on Schedule 6.1.(r), (b) transactions among the Borrowers, other Loan Parties and Wholly Owned Subsidiaries, or (c) transactions pursuant to the reasonable requirements of the business of such Borrower, such other Loan Party or such other Subsidiary and upon fair and reasonable terms which are no less favorable to such Borrower, such other Loan Party</w:t>
      </w:r>
    </w:p>
    <w:p>
      <w:pPr>
        <w:sectPr>
          <w:pgSz w:w="11900" w:h="16838" w:orient="portrait"/>
          <w:cols w:equalWidth="0" w:num="1">
            <w:col w:w="11240"/>
          </w:cols>
          <w:pgMar w:left="320" w:top="1417" w:right="339" w:bottom="1440" w:gutter="0" w:footer="0" w:header="0"/>
        </w:sectPr>
      </w:pPr>
    </w:p>
    <w:bookmarkStart w:id="156" w:name="page157"/>
    <w:bookmarkEnd w:id="156"/>
    <w:p>
      <w:pPr>
        <w:jc w:val="both"/>
        <w:spacing w:after="0" w:line="266" w:lineRule="auto"/>
        <w:rPr>
          <w:sz w:val="20"/>
          <w:szCs w:val="20"/>
          <w:color w:val="auto"/>
        </w:rPr>
      </w:pPr>
      <w:r>
        <w:rPr>
          <w:rFonts w:ascii="Times New Roman" w:cs="Times New Roman" w:eastAsia="Times New Roman" w:hAnsi="Times New Roman"/>
          <w:sz w:val="18"/>
          <w:szCs w:val="18"/>
          <w:color w:val="auto"/>
        </w:rPr>
        <w:t>or such other Subsidiary than would be obtained in a comparable arm’s length transaction with a Person that is not an Affiliate. Notwithstanding the foregoing, no payments may be made with respect to any items set forth on such Schedule 6.1.(r) if a Default or Event of Default exists or would result therefrom.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9.9. Derivatives Contracts.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No Borrower shall, and no Borrower shall permit any other Loan Party or any other Subsidiary to, enter into or become obligated in respect of Derivatives Contract; provided that the Borrowers and their Subsidiaries may enter into and become obligated under (i) Derivative Contracts entered into not for speculative purposes, (ii) Investments in the Equity Interests of the REIT made pursuant to Derivative Contracts entered into for the purpose of facilitating an exchangeable note offering of Unsecured Indebtedness, (iii) forward equity contracts and (iv) repurchase transactions entered into in the ordinary course of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Total Return Swaps</w:t>
      </w:r>
      <w:r>
        <w:rPr>
          <w:rFonts w:ascii="Times New Roman" w:cs="Times New Roman" w:eastAsia="Times New Roman" w:hAnsi="Times New Roman"/>
          <w:sz w:val="18"/>
          <w:szCs w:val="18"/>
          <w:color w:val="auto"/>
        </w:rPr>
        <w:t>. No Borrower shall, and no Borrower shall permit any other Loan Party or any other Subsidiary or Affiliate of a Borrower to, enter into or become a counterparty to any pledge, assignment or transfer of the interest of any Lender, fully or in any part, in any Loan or portion thereof via any agreement, financial instrument or other assignment that replicates loan payments under this Agreement and/or provides for a transfer or assumption of any portion of economic, legal or other risk of any such loan payments, unless such Lender shall deliver written notice (which notice shall include a disclosure of all Persons that are party to such transaction) of such pledge, assignment or transfer to the Administrative Agent for dissemination to the other Lenders on or prior to the date that such transaction is effectuated.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9.10. Outbound Investment Status.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Loan Party shall: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be or become a “covered foreign person”, as that term is defined in the Outbound Investment Rules, 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engage,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Events of Default.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Default in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Any Borrower shall fail to pay when due under this Agreement or any other Loan Document (whether upon demand, at maturity, by reason of acceleration or otherwise) the principal of any of the Loans.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Borrower shall fail to pay when due under this Agreement or any other Loan Document (whether upon demand, at maturity, by reason of acceleration or otherwise) any interest on any of the Loans, or shall fail to pay any of the other payment Obligations owing by the Borrowers under this Agreement, any other Loan Document or any Fee Letter, or any other Loan Party shall fail to pay when due</w:t>
      </w:r>
    </w:p>
    <w:p>
      <w:pPr>
        <w:sectPr>
          <w:pgSz w:w="11900" w:h="16838" w:orient="portrait"/>
          <w:cols w:equalWidth="0" w:num="1">
            <w:col w:w="11240"/>
          </w:cols>
          <w:pgMar w:left="320" w:top="1417" w:right="339" w:bottom="1440" w:gutter="0" w:footer="0" w:header="0"/>
        </w:sectPr>
      </w:pPr>
    </w:p>
    <w:bookmarkStart w:id="157" w:name="page158"/>
    <w:bookmarkEnd w:id="157"/>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payment obligation owing by such Loan Party under any Loan Document to which it is a party, and in the case of this clause (ii) only, such failure shall continue for a period of 5 Business Days.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 in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Any Borrower or any other Loan Party shall fail to perform or observe any term, covenant, condition or agreement on its part to be performed or observed and contained in Section 7.1. (as to preservation and maintenance of existence only), Section 8.4.(i) or Article IX.; or</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Any Borrower or any other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any Borrower or any other Loan Party obtains knowledge of such failure or (y) the date upon which the Borrower Representative has received written notice of such failure from the Administrative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Misrepresentations</w:t>
      </w:r>
      <w:r>
        <w:rPr>
          <w:rFonts w:ascii="Times New Roman" w:cs="Times New Roman" w:eastAsia="Times New Roman" w:hAnsi="Times New Roman"/>
          <w:sz w:val="18"/>
          <w:szCs w:val="18"/>
          <w:color w:val="auto"/>
        </w:rPr>
        <w:t>. Any written statement, representation or warranty made or deemed made by or on behalf of any Borrower or any other Loan Party under this Agreement or under any other Loan Document, or any amendment hereto or thereto, or in any other writing or statement at any time furnished by, or at the direction of, any Borrower or any other Loan Party to the Administrative Agent or any Lender pursuant to this Agreement or any other Loan Document, shall at any time prove to have been incorrect or misleading in any material respect when furnished or made or deemed made.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Indebtedness Cross-Default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Any Borrower, any other Loan Party or any other Subsidiary shall fail to make any payment when due and payable in respect of any Indebtedness (other than the Loans and Nonrecourse Indebtedness) having an aggregate outstanding principal amount (or, in the case of any recourse Derivatives Contract, having, without regard to the effect of any close-out netting provision, a Derivatives Termination Value), in each case individually or in the aggregate with all other Indebtedness as to which such a failure exists, of $100,000,000 or more (“Material Indebtedness”); or</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Any other event shall have occurred and be continuing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and all applicable grace or cure periods shall have expired; 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There occurs an “Event of Default” under and as defined in the Existing Credit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Voluntary Bankruptcy Proceeding</w:t>
      </w:r>
      <w:r>
        <w:rPr>
          <w:rFonts w:ascii="Times New Roman" w:cs="Times New Roman" w:eastAsia="Times New Roman" w:hAnsi="Times New Roman"/>
          <w:sz w:val="18"/>
          <w:szCs w:val="18"/>
          <w:color w:val="auto"/>
        </w:rPr>
        <w:t>. Any Borrower, any other Loan Party or any Material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w:t>
      </w:r>
    </w:p>
    <w:p>
      <w:pPr>
        <w:sectPr>
          <w:pgSz w:w="11900" w:h="16838" w:orient="portrait"/>
          <w:cols w:equalWidth="0" w:num="1">
            <w:col w:w="11240"/>
          </w:cols>
          <w:pgMar w:left="320" w:top="1417" w:right="339" w:bottom="1440" w:gutter="0" w:footer="0" w:header="0"/>
        </w:sectPr>
      </w:pPr>
    </w:p>
    <w:bookmarkStart w:id="158" w:name="page159"/>
    <w:bookmarkEnd w:id="158"/>
    <w:p>
      <w:pPr>
        <w:jc w:val="both"/>
        <w:spacing w:after="0" w:line="261" w:lineRule="auto"/>
        <w:rPr>
          <w:sz w:val="20"/>
          <w:szCs w:val="20"/>
          <w:color w:val="auto"/>
        </w:rPr>
      </w:pPr>
      <w:r>
        <w:rPr>
          <w:rFonts w:ascii="Times New Roman" w:cs="Times New Roman" w:eastAsia="Times New Roman" w:hAnsi="Times New Roman"/>
          <w:sz w:val="18"/>
          <w:szCs w:val="18"/>
          <w:color w:val="auto"/>
        </w:rPr>
        <w:t>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Involuntary Bankruptcy Proceeding</w:t>
      </w:r>
      <w:r>
        <w:rPr>
          <w:rFonts w:ascii="Times New Roman" w:cs="Times New Roman" w:eastAsia="Times New Roman" w:hAnsi="Times New Roman"/>
          <w:sz w:val="18"/>
          <w:szCs w:val="18"/>
          <w:color w:val="auto"/>
        </w:rPr>
        <w:t>. A case or other proceeding shall be commenced against any Borrower, any other Loan Party or any Material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Revocation of Loan Documents</w:t>
      </w:r>
      <w:r>
        <w:rPr>
          <w:rFonts w:ascii="Times New Roman" w:cs="Times New Roman" w:eastAsia="Times New Roman" w:hAnsi="Times New Roman"/>
          <w:sz w:val="18"/>
          <w:szCs w:val="18"/>
          <w:color w:val="auto"/>
        </w:rPr>
        <w:t>. Any Borrower or any other Loan Party shall (or shall attempt to) disavow, revoke or terminate any Loan Document or any Fee Letter to which it is a party or shall otherwise challenge or contest in any action, suit or proceeding in any court or before any Governmental Authority the validity or enforceability of any Loan Document or any Fee Letter or any Loan Document or any Fee Letter shall cease to be in full force and effect (except as a result of the express terms thereof).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Judgment</w:t>
      </w:r>
      <w:r>
        <w:rPr>
          <w:rFonts w:ascii="Times New Roman" w:cs="Times New Roman" w:eastAsia="Times New Roman" w:hAnsi="Times New Roman"/>
          <w:sz w:val="18"/>
          <w:szCs w:val="18"/>
          <w:color w:val="auto"/>
        </w:rPr>
        <w:t>. A judgment or order for the payment of money or for an injunction or other non-monetary relief shall be entered against any Borrower, any other Loan Party or any Material Subsidiary by any court or other tribunal and (i) such judgment or order shall continue for a period of 60 days without being paid, stayed or dismissed through appropriate appellate proceedings and (ii) either (A) the amount of such judgment or order for which insurance has not been denied in writing by the applicable insurance carrier exceeds, individually or together with all other such judgments or orders entered against the Borrowers, any other Loan Party and the Material Subsidiaries, $100,000,000 or (B) in the case of an injunction or other non-monetary relief, such injunction or judgment or order could reasonably be expected to have a Material Adverse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Attachment</w:t>
      </w:r>
      <w:r>
        <w:rPr>
          <w:rFonts w:ascii="Times New Roman" w:cs="Times New Roman" w:eastAsia="Times New Roman" w:hAnsi="Times New Roman"/>
          <w:sz w:val="18"/>
          <w:szCs w:val="18"/>
          <w:color w:val="auto"/>
        </w:rPr>
        <w:t xml:space="preserve">. A warrant, writ of attachment, execution or similar process shall be issued against any property of any Borrower, any other Loan Party or any Material Subsidiary, which exceeds, individually or together with all other such warrants, writs, executions and processes, $100,000,000 in amount and such warrant, writ, execution or process shall not be paid, discharged, vacated, stayed or bonded for a period of 60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any Borrower, any other Loan Party or any Subsidiary.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Any ERISA Event shall have occurred that results or could reasonably be expected to result in liability to any member of the ERISA Group aggregating in excess of $100,000,000; or</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The “benefit obligation” of all Plans exceeds the “fair market value of plan assets” for such Plans by more than $100,000,000, all as determined, and with such terms defined, in accordance with FASB ASC 715.</w:t>
      </w:r>
    </w:p>
    <w:p>
      <w:pPr>
        <w:sectPr>
          <w:pgSz w:w="11900" w:h="16838" w:orient="portrait"/>
          <w:cols w:equalWidth="0" w:num="1">
            <w:col w:w="11240"/>
          </w:cols>
          <w:pgMar w:left="320" w:top="1417" w:right="339" w:bottom="1440" w:gutter="0" w:footer="0" w:header="0"/>
        </w:sectPr>
      </w:pPr>
    </w:p>
    <w:bookmarkStart w:id="159" w:name="page160"/>
    <w:bookmarkEnd w:id="15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Loan Documents</w:t>
      </w:r>
      <w:r>
        <w:rPr>
          <w:rFonts w:ascii="Times New Roman" w:cs="Times New Roman" w:eastAsia="Times New Roman" w:hAnsi="Times New Roman"/>
          <w:sz w:val="18"/>
          <w:szCs w:val="18"/>
          <w:color w:val="auto"/>
        </w:rPr>
        <w:t>. An Event of Default (as defined therein) shall occur under any of the other Loan Documents (other than the New York Mortgages).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Ownership</w:t>
      </w:r>
      <w:r>
        <w:rPr>
          <w:rFonts w:ascii="Times New Roman" w:cs="Times New Roman" w:eastAsia="Times New Roman" w:hAnsi="Times New Roman"/>
          <w:sz w:val="18"/>
          <w:szCs w:val="18"/>
          <w:color w:val="auto"/>
        </w:rPr>
        <w:t>. The Parent or a Wholly Owned Subsidiary of the Parent shall cease to be the sole general partner of SLGOP or shall cease to have sole and exclusive power to exercise all management and control over SLGOP.</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Section, (i) the failure of any Borrower, any other Loan Party or any other Subsidiary to perform or observe any term, covenant, condition or agreement contained in any New York Mortgage to which it is a party shall not constitute a Default or Event of Default (including for purposes of Section 10.1.(d)) and (ii) the occurrence of a Default or Event of Default (however defined in any New York Mortgage) shall not constitute a Default or Event of Default (including for purposes of Section 10.1.(d));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the preceding shall in no way limit or impair the rights of the Administrative Agent and the Lenders with respect to any Default or Event of Default resulting from the failure of any Borrower or any other Loan Party to perform or observe the same or any similar term, covenant, condition or agreement contained in any other Loan Document.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10.2. Remedies Upon Event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occurrence of an Event of Default the following provisions shall apply: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Acceleration; Termination of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Automatic</w:t>
      </w:r>
      <w:r>
        <w:rPr>
          <w:rFonts w:ascii="Times New Roman" w:cs="Times New Roman" w:eastAsia="Times New Roman" w:hAnsi="Times New Roman"/>
          <w:sz w:val="18"/>
          <w:szCs w:val="18"/>
          <w:color w:val="auto"/>
        </w:rPr>
        <w:t>. Upon the occurrence of an Event of Default specified in Sections 10.1.(e) or 10.1.(f) with respect to a Borrower or any other Loan Party, (1)(A)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each Borrower on behalf of itself and the other Loan Parties, and (2) the Commitments shall immediately and automatically terminate.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If any other Event of Default shall exist, the Administrative Agent may, and at the direction of the Requisite Lenders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(1) declare (A) the principal of, and accrued interest on, the Loans and the Notes at the time outstanding and (B) all of the other Obligations,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including, but not limited to, the other amounts owed to the Lenders and the Administrative Agent under this Agreement, the Notes or any of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Loan Documents to be forthwith due and payable, whereupon the same shall immediately become due and payable without presentment,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demand, protest or other notice of any kind, all of which are expressly waived by each Borrower on behalf of itself and the other Loan Parties,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terminate the Commitments.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Loan Documents</w:t>
      </w:r>
      <w:r>
        <w:rPr>
          <w:rFonts w:ascii="Times New Roman" w:cs="Times New Roman" w:eastAsia="Times New Roman" w:hAnsi="Times New Roman"/>
          <w:sz w:val="18"/>
          <w:szCs w:val="18"/>
          <w:color w:val="auto"/>
        </w:rPr>
        <w:t>. The Requisite Lenders may direct the Administrative Agent to, and the Administrative Agent if so directed shall, exercise any and all of its rights under any and all of the other Loan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The Requisite Lenders may direct the Administrative Agent to, and the Administrative Agent if so directed shall, exercise all other rights and remedies it may have under any Applicable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Appointment of Receiver</w:t>
      </w:r>
      <w:r>
        <w:rPr>
          <w:rFonts w:ascii="Times New Roman" w:cs="Times New Roman" w:eastAsia="Times New Roman" w:hAnsi="Times New Roman"/>
          <w:sz w:val="18"/>
          <w:szCs w:val="18"/>
          <w:color w:val="auto"/>
        </w:rPr>
        <w:t>. To the extent permitted by Applicable Law, the Administrative Agent and the Lenders shall be entitled to the appointment of a receiver for the assets and properties of any Borrower, any other Loan Party and their Subsidiaries, without notice of any kind whatsoever and without regard to the adequacy of any</w:t>
      </w:r>
    </w:p>
    <w:p>
      <w:pPr>
        <w:sectPr>
          <w:pgSz w:w="11900" w:h="16838" w:orient="portrait"/>
          <w:cols w:equalWidth="0" w:num="1">
            <w:col w:w="11240"/>
          </w:cols>
          <w:pgMar w:left="320" w:top="1417" w:right="339" w:bottom="1440" w:gutter="0" w:footer="0" w:header="0"/>
        </w:sectPr>
      </w:pPr>
    </w:p>
    <w:bookmarkStart w:id="160" w:name="page161"/>
    <w:bookmarkEnd w:id="16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security for the Obligations or the solvency of any party bound for its payment, to take possession of all or any portion of the property and/or the business operations of such Borrower, such other Loan Party and their Subsidiaries and to exercise such power as the court shall confer upon such receiver.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Specified Derivatives Contract Remedies</w:t>
      </w:r>
      <w:r>
        <w:rPr>
          <w:rFonts w:ascii="Times New Roman" w:cs="Times New Roman" w:eastAsia="Times New Roman" w:hAnsi="Times New Roman"/>
          <w:sz w:val="18"/>
          <w:szCs w:val="18"/>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any Borrower, any other Loan Party or any other Subsidiary to enforce or collect net amounts owing to such Specified Derivatives Provider pursuant to any Specified Derivatives Contract.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Remedies Upon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occurrence of a Default specified in Section 10.1.(f), the Commitments shall immediately and automatically terminate.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10.4. Marshaling; Payments Set Aside.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None of the Administrative Agent or any Lender shall be under any obligation to marshal any assets in favor of any Loan Party or any other party or against or in payment of any or all of the Guaranteed Obligations. To the extent that any Loan Party makes a payment or payments to the Administrative Agent or any Lender, or the Administrative Agent or any Lender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Guaranteed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10.5. Allocation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exists, all payments received by the Administrative Agent under any of the Loan Documents, in respect of the Guaranteed Obligations or any other amounts payable by any Loan Party hereunder or thereunder, shall be applied in the following order and priority:</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amounts due to the Administrative Agent and the Lenders in respect of expenses due under Section 12.2. until paid in full, and then Fees until paid in full;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payments of interest on the Loans to be applied for the ratable benefit of the Lenders;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payments of principal of the Loans and Specified Derivatives Obligations to be applied for the ratable benefit of the Lenders and the Specified Derivatives Providers, as the case may be;</w:t>
      </w:r>
    </w:p>
    <w:p>
      <w:pPr>
        <w:sectPr>
          <w:pgSz w:w="11900" w:h="16838" w:orient="portrait"/>
          <w:cols w:equalWidth="0" w:num="1">
            <w:col w:w="11240"/>
          </w:cols>
          <w:pgMar w:left="320" w:top="1417" w:right="339" w:bottom="1440" w:gutter="0" w:footer="0" w:header="0"/>
        </w:sectPr>
      </w:pPr>
    </w:p>
    <w:bookmarkStart w:id="161" w:name="page162"/>
    <w:bookmarkEnd w:id="161"/>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(d)            amounts due to the Administrative Agent and the Lenders pursuant to Sections 11.6. and 12.9. to be applied for the ratable benefit of the Administrative Agent and the Lenders;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(e)            payments of all other Guaranteed Obligations and other amounts due under any of the Loan Documents, if any, to be applied for the ratable benefit of the Lenders; and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any amount remaining after application as provided above, shall be paid to the Borrowers or whomever else may be legally entitled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10.7. Performance by Administrative Agent.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Borrower or any other Loan Party shall fail to perform any covenant, duty or agreement contained in any of the Loan Documents, the Administrative Agent may, after notice to the Borrower Representative, perform or attempt to perform such covenant, duty or agreement on behalf of such Borrower or such other Loan Party after the expiration of any cure or grace periods set forth herein. In such event, such Borrower or such other Loan Party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for the performance of any obligation of any Borrower or any other Loan Party under this Agreement or any other Loan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10.8. Rights Cumulative.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rights and remedies of the Administrative Agent and the Lenders under this Agreement, each of the other Loan Documents, and the Fee Letters shall be cumulative and not exclusive of any rights or remedies which any of them may otherwise have under Applicable Law. In exercising their respective rights and remedies the Administrative Agent and the Lenders may be selective, and no failure or delay by the Administrative Agent or any of the Lenders in exercising any right shall operate as a waiver of it, nor shall any single or partial exercise of any power or right preclude its other or further exercise or the exercise of any other power or right.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contained herein or in any other Loan Document, the authority to enforce rights and remedies hereunder and under the other Loan Documents against the Borrowers or any other Loan Party or any of them shall be vested exclusively in, and all actions and proceedings at law in connection with such enforcement shall be instituted and maintained exclusively by, the Administrative Agent in accordance with Article X.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3" w:lineRule="exact"/>
        <w:rPr>
          <w:sz w:val="20"/>
          <w:szCs w:val="20"/>
          <w:color w:val="auto"/>
        </w:rPr>
      </w:pPr>
    </w:p>
    <w:p>
      <w:pPr>
        <w:jc w:val="both"/>
        <w:ind w:firstLine="8"/>
        <w:spacing w:after="0" w:line="252" w:lineRule="auto"/>
        <w:tabs>
          <w:tab w:leader="none" w:pos="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(c) any Lender from exercising setoff rights in accordance with Section 12.3. (subject to the terms of Section 3.3.), or (d) any Lender from filing proofs of claim or appearing and filing pleadings on its own behalf during the pendency of a proceeding relative to any Borrower or any other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at any time there is no Person acting as Administrative Agent hereunder and under the other Loan Documents, then (i) the Requisite Lenders shall have the rights otherwise ascribed to the Administrative Agent pursuant to Article X. and (ii) in addition to the matters set forth in clauses (c) and (d) of the preceding proviso and subject to Section 3.3., any Lender may, with the consent of the Requisite Lenders, enforce any rights and remedies available to it and as authorized by the Requisite Lenders.</w:t>
      </w:r>
    </w:p>
    <w:p>
      <w:pPr>
        <w:spacing w:after="0" w:line="18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The Administrative Agent</w:t>
      </w:r>
    </w:p>
    <w:p>
      <w:pPr>
        <w:sectPr>
          <w:pgSz w:w="11900" w:h="16838" w:orient="portrait"/>
          <w:cols w:equalWidth="0" w:num="1">
            <w:col w:w="11240"/>
          </w:cols>
          <w:pgMar w:left="320" w:top="14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Section 11.1. Appointment and Authorization.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Borrowers or any other Loan Party are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Borrowers or any other Loan Party or any Affiliate of the Borrowers or any other Loan Party, pursuant to this Agreement or any other Loan Document not already delivered or otherwise made available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11.2. Wells Fargo as Lender.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Wells Fargo,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any Borrower, any other Loan Party or any Affiliate thereof as if it were any other bank and without any duty to account therefor to the other Lenders, or any other Specified Derivatives Providers. Further, the Administrative Agent and any Affiliate may accept fees and other consideration from any Borrower or any other Loan Party for services in connection with this Agreement or any Specified Derivatives Contract, or otherwise without having to account for the same to the other Lenders or any other Specified Derivatives Providers. The Lenders acknowledge that, pursuant to such activities, Wells Fargo or its</w:t>
      </w:r>
    </w:p>
    <w:p>
      <w:pPr>
        <w:sectPr>
          <w:pgSz w:w="11900" w:h="16838" w:orient="portrait"/>
          <w:cols w:equalWidth="0" w:num="1">
            <w:col w:w="11240"/>
          </w:cols>
          <w:pgMar w:left="320" w:top="1413" w:right="339" w:bottom="1440" w:gutter="0" w:footer="0" w:header="0"/>
        </w:sectPr>
      </w:pPr>
    </w:p>
    <w:bookmarkStart w:id="163" w:name="page164"/>
    <w:bookmarkEnd w:id="163"/>
    <w:p>
      <w:pPr>
        <w:jc w:val="both"/>
        <w:spacing w:after="0" w:line="266" w:lineRule="auto"/>
        <w:rPr>
          <w:sz w:val="20"/>
          <w:szCs w:val="20"/>
          <w:color w:val="auto"/>
        </w:rPr>
      </w:pPr>
      <w:r>
        <w:rPr>
          <w:rFonts w:ascii="Times New Roman" w:cs="Times New Roman" w:eastAsia="Times New Roman" w:hAnsi="Times New Roman"/>
          <w:sz w:val="18"/>
          <w:szCs w:val="18"/>
          <w:color w:val="auto"/>
        </w:rPr>
        <w:t>Affiliates may receive information regarding any of the Borrowers,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11.3. Approvals of Lenders.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communications from the Administrative Agent to any Lender requesting such Lender’s determination, consent, approval or disapproval</w:t>
      </w:r>
    </w:p>
    <w:p>
      <w:pPr>
        <w:spacing w:after="0" w:line="27" w:lineRule="exact"/>
        <w:rPr>
          <w:sz w:val="20"/>
          <w:szCs w:val="20"/>
          <w:color w:val="auto"/>
        </w:rPr>
      </w:pPr>
    </w:p>
    <w:p>
      <w:pPr>
        <w:jc w:val="both"/>
        <w:ind w:firstLine="8"/>
        <w:spacing w:after="0" w:line="251" w:lineRule="auto"/>
        <w:tabs>
          <w:tab w:leader="none" w:pos="2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as appropriate, a brief summary of all oral information provided to the Administrative Agent by any Borrower in respect of the matter or issue to be resolved, and (d) shall include the Administrative Agent’s recommended course of action or determination in respect thereof. Unless a Lender shall give written notice to the Administrative Agent that it specifically objects to the recommendation or determination of the Administrative Agent within ten (10) Business Days (or such lesser or greater period as may be specifically required under the express terms of the Loan Documents) of receipt of such communication, such Lender shall be deemed to have conclusively approved of or consented to such recommendation or determination (other than in respect of any consent required under Section 12.6.(b)).</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11.4. Notice of Events of Default.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Administrative Agent shall not be deemed to have knowledge or notice of the occurrence of a Default or Event of Default unless the Administrative Agent has received notice from a Lender or the Borrower Representative or any other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11.5. Administrative Agent’s Reliance.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provisions of this Agreement or any other Loan Documents, none of the Administrative Agent, the Sustainability Structuring Agent or any of their respective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and the Sustainability Structuring Agent may consult with legal counsel (including its own counsel or counsel for the Borrowers or any other Loan Party), independent public accountants and other experts selected by it and shall not be liable for any action taken or omitted to be taken in good faith by it in accordance with the advice of such counsel, accountants or experts. None of the Administrative Agent, the Sustainability Structuring Agent or any of its directors, officers, agents, employees or counsel: (a) makes any warranty or representation to any Lender or any other Person, or shall be responsible to any Lender or any other Person for any statement, warranty or representation made or deemed made by any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any Borrower or other Persons, or to inspect the property, books or records of any Borrower or any other Person; (c) shall be responsible to any Lender for the due execution, legality, validity, enforceability, genuineness, sufficiency or value of this Agreement or any other Loan Document, any other instrument or document furnished pursuant thereto or any</w:t>
      </w:r>
    </w:p>
    <w:p>
      <w:pPr>
        <w:sectPr>
          <w:pgSz w:w="11900" w:h="16838" w:orient="portrait"/>
          <w:cols w:equalWidth="0" w:num="1">
            <w:col w:w="11240"/>
          </w:cols>
          <w:pgMar w:left="320" w:top="141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collateral covered thereby or the perfection or priority of any Lien in favor of the Administrative Agent on behalf of the Lenders in any such collateral;</w:t>
      </w:r>
    </w:p>
    <w:p>
      <w:pPr>
        <w:spacing w:after="0" w:line="27" w:lineRule="exact"/>
        <w:rPr>
          <w:sz w:val="20"/>
          <w:szCs w:val="20"/>
          <w:color w:val="auto"/>
        </w:rPr>
      </w:pPr>
    </w:p>
    <w:p>
      <w:pPr>
        <w:jc w:val="both"/>
        <w:ind w:firstLine="8"/>
        <w:spacing w:after="0" w:line="252" w:lineRule="auto"/>
        <w:tabs>
          <w:tab w:leader="none" w:pos="2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any liability in respect of any recitals, statements, certifications, representations or warranties contained in any of the Loan Documents or any other document, instrument, agreement, certificate or statement delivered in connection therewith; or (e) shall incur any liability under or in respect of this Agreement or any other Loan Document by acting upon any notice, consent, certificate or other instrument or writing (which may be by telephone, telecopy or electronic mail) believed by it to be genuine and signed, sent or given by the proper party or parties. The Administrative Agent may execute any of its duties under the Loan Documents by or through agents, employees or attorneys-in-fact and shall not be responsible for the negligence or misconduct of any agent or attorney-in-fact that it selects in the absence of gross negligence or willful misconduct as determined by a court of competent jurisdiction in a final non-appealable judgment.</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11.6. Indemnification of Administrative Agent.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Each Lender agrees to indemnify the Administrative Agent and the Sustainability Agent (to the extent not reimbursed by any Borrower and without limiting the obligation of any Borrower to do so) pro rata in accordance with such Lender’s respective Pro Rata Share (determined as of the time that the applicable unreimbursed expense or indemnity payment is sought), from and against any and all liabilities, obligations, losses, damages, penalties, actions, judgments, suits, reasonable out-of-pocket costs and expenses of any kind or nature whatsoever which may at any time be imposed on, incurred by, or asserted against the Administrative Agent or the Sustainability Structuring Agent (in its capacity as Administrative Agent or Sustainability Structuring Agent, as the case may be, but not as a Lender) in any way relating to or arising out of the Loan Documents, any transaction contemplated hereby or thereby or any action taken or omitted by the Administrative Agent or the Sustainability Structuring Agent under the Loan Documents (collectively, “Indemnifiable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 Lender shall be liable for any portion of such Indemnifiable Amounts to the extent resulting from the Administrative Agent’s or Sustainability Structuring Agent’s gross negligence or willful misconduct as determined by a court of competent jurisdiction in a final,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and the Sustainability Structuring Agent (to the extent not reimbursed by any Borrower and without limiting the obligation of any Borrower to do so) promptly upon demand for its ratable share of any out-of-pocket expenses (including the reasonable fees and expenses of the counsel to the Administrative Agent or the Sustainability Structuring Agent) incurred by the Administrative Agent or the Sustainability Structuring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or Sustainability Structuring Agent to enforce the terms of the Loan Documents and/or collect any Obligations, any “lender liability” suit or claim brought against the Administrative Agent, the Sustainability Structuring Agent and/or the Lenders, and any claim or suit brought against the Administrative Agent, the Sustainability Structuring Agent and/or the Lenders arising under any Environmental Laws. Such out-of-pocket expenses (including counsel fees) shall be advanced by the Lenders on the request of the Administrative Agent or Sustainability Structuring Agent, as the case may be, notwithstanding any claim or assertion that the Administrative Agent or Sustainability Structuring Agent is not entitled to indemnification hereunder upon receipt of an undertaking by the Administrative Agent or Sustainability Structuring Agent that the Administrative Agent or Sustainability Structuring Agent will reimburse the Lenders if it is actually and finally determined by a court of competent jurisdiction that the Administrative Agent or Sustainability Structuring Agent is not so entitled to indemnification. The agreements in this Section shall survive the payment of the Loans and all other amounts payable hereunder or under the other Loan Documents and the termination of this Agreement. If any Borrower shall reimburse the Administrative Agent or Sustainability Structuring Agent for any Indemnifiable Amount following payment by any Lender to the Administrative Agent or the Sustainability Structuring Agent in respect of such Indemnifiable Amount pursuant to this Section, the Administrative Agent or the Sustainability Structuring Agent, as the case may be, shall share such reimbursement on a ratable basis with each Lender making any such payment.</w:t>
      </w:r>
    </w:p>
    <w:p>
      <w:pPr>
        <w:sectPr>
          <w:pgSz w:w="11900" w:h="16838" w:orient="portrait"/>
          <w:cols w:equalWidth="0" w:num="1">
            <w:col w:w="11240"/>
          </w:cols>
          <w:pgMar w:left="320" w:top="1417"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t>- 86 -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11.7. Lender Credit Decision, Etc.</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Each of the Lenders expressly acknowledges and agrees that none of the Administrative Agent, the Sustainability Structuring Agent or any of their respective Related Parties has made any representations or warranties to such Lender and that no act by the Administrative Agent or the Sustainability Structuring Agent hereafter taken, including any review of the affairs of any Borrower, any other Loan Party, any Subsidiary or other Affiliate, shall be deemed to constitute any such representation or warranty by the Administrative Agent or the Sustainability Structuring Agent to any Lender. Each of the Lenders acknowledges that it has made its own credit and legal analysis and decision to enter into this Agreement and the transactions contemplated hereby, independently and without reliance upon the Administrative Agent, the Sustainability Structuring Agent, any other Lender or counsel to the Administrative Agent or Sustainability Structuring Agent, or any of their respective Related Parties, and based on the financial statements of the Borrowers, the other Loan Parties, the other Subsidiaries and other Affiliates, and inquiries of such Persons, its independent due diligence of the business and affairs of the Borrowers,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the Sustainability Structuring Agent, any other Lender or counsel to the Administrative Agent, the Sustainability Structuring Agent or any of their respective Related Parties, and based on such review, advice, documents and information as it shall deem appropriate at the time, continue to make its own decisions in taking or not taking action under the Loan Documents. Neither the Administrative Agent nor the Sustainability Structuring Agent shall be required to keep itself informed as to the performance or observance by any Borrower or any other Loan Party of the Loan Documents or any other document referred to or provided for therein or to inspect the properties or books of, or make any other investigation of, any Borrower, any other Loan Party or any other Subsidiary. Except for notices, reports and other documents and information expressly required to be furnished to the Lenders by the Administrative Agent or the Sustainability Structuring Agent under this Agreement or any of the other Loan Documents, neither the Administrative Agent nor the Sustainability Structuring Agent shall have no duty or responsibility to provide any Lender with any credit or other information concerning the business, operations, property, financial and other condition or creditworthiness of any Borrower, any other Loan Party or any other Affiliate thereof which may come into possession of the Administrative Agent, the Sustainability Structuring Agent or any of their respective Related Parties. Each of the Lenders acknowledges that the Administrative Agent’s and the Sustainability Structuring Agent’s legal counsel in connection with the transactions contemplated by this Agreement is only acting as counsel to the Administrative Agent or the Sustainability Structuring Agent, as the case may be, and is not acting as counsel to any Lender.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11.8. Successor Administrative Agent and Successor Sustainability Structuring Agent.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Administrative Agent may (i) resign at any time as Administrative Agent under the Loan Documents by giving written notice thereof to the Lenders and the Borrower Representative or (ii) be removed as administrative agent by all of the Lenders (other than the Lender then acting as Administrative Agent) and the Borrower Representative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Upon any such resignation or removal, the Requisite Lenders shall have the right to appoint a successor Administrative Agent which appointment shall, provided no Default or Event of Default exists, be subject to the Borrower Representative’s approval, which approval shall not be unreasonably withheld or delayed (except that the Borrower Representative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w:t>
      </w:r>
    </w:p>
    <w:p>
      <w:pPr>
        <w:sectPr>
          <w:pgSz w:w="11900" w:h="16838" w:orient="portrait"/>
          <w:cols w:equalWidth="0" w:num="1">
            <w:col w:w="11240"/>
          </w:cols>
          <w:pgMar w:left="320" w:top="1417" w:right="339" w:bottom="1440" w:gutter="0" w:footer="0" w:header="0"/>
        </w:sectPr>
      </w:pPr>
    </w:p>
    <w:bookmarkStart w:id="166" w:name="page167"/>
    <w:bookmarkEnd w:id="16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after (I) the resigning Administrative Agent’s giving of notice of resignation, or (II) the Lenders’ giving of notice of removal, then the resigning or removed Administrative Agent may, on behalf of the Lender Parties, appoint a successor Administrative Agent, which shall be a Lender, if any Lender shall be willing to serve, and otherwise shall be an Eligible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shall notify the Borrower Representative and the Lenders that no Lender or Eligible Assignee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shall thereupon succeed to and become vested with all the rights, powers, privileges and duties of the current Administrative Agent, and the current Administrative Agent shall be discharged from its duties and obligations under the Loan Documents. After any Administrative Agent’s resignation or removal hereunder as Administrative Agent, the provisions of this Article XI. shall continue to inure to its benefit as to any actions taken or omitted to be taken by it while it was Administrative Agent under the Loan Documents. Notwithstanding anything contained herein to the contrary, the Administrative Agent may assign its rights and duties under the Loan Documents to any of its Affiliates by giving the Borrower Representative and each Lender prior written notice.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Sustainability Structuring Agent may resign, and its engagement as such may be terminated, by giving at least 30 days prior written notice thereof to the Borrower Representative and the Lenders. The Sustainability Structuring Agent’s engagement hereunder may also be terminated by the Borrowers at any time upon not less than 30 days’ prior written notice by the Borrower Representative to the Sustainability Structuring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11.9. Titled Agents.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Titled Agent, in such capacity, assumes any responsibility or obligation hereunder, including, without limitation, for servicing, enforcement or collection of any of the Loans, or any duties as an agent hereunder for the Lenders. The titles given to the Titled Agents are solely honorific and imply no fiduciary responsibility on the part of the Titled Agents to the Administrative Agent, any Lender or any Borrower or any other Loan Party and the use of such titles does not impose on the Titled Agents any duties or obligations greater than those of any other Lender.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11.10. Specified Derivatives Contracts.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expressly provided in Section 12.6.(c), no Specified Derivatives Provider that obtains the benefits of Section 10.5. by virtue of the provisions hereof or of any Loan Document shall have any right to notice of any action or to consent to, direct or object to any action hereunder or under any other Loan Document or otherwise in respect of any Loan Document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Specified Derivatives Contracts unless the Administrative Agent has received written notice of such Specified Derivatives Contracts, together with such supporting documentation as the Administrative Agent may request, from the applicable Specified Derivatives Provider.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11.11. Erroneous Payments.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Lender, each Specified Derivatives Provider and any other party hereto hereby severally agrees that if (i) the Administrative Agent notifies (which such notice shall be conclusive absent manifest error) such Lender or Specified Derivatives Provider (or any Related Party thereof) or any other Person that has received funds from the Administrative Agent or any of its Affiliates, either for its own account or on behalf of a Lender or</w:t>
      </w:r>
    </w:p>
    <w:p>
      <w:pPr>
        <w:sectPr>
          <w:pgSz w:w="11900" w:h="16838" w:orient="portrait"/>
          <w:cols w:equalWidth="0" w:num="1">
            <w:col w:w="11240"/>
          </w:cols>
          <w:pgMar w:left="320" w:top="1417" w:right="339" w:bottom="1440" w:gutter="0" w:footer="0" w:header="0"/>
        </w:sectPr>
      </w:pPr>
    </w:p>
    <w:bookmarkStart w:id="167" w:name="page168"/>
    <w:bookmarkEnd w:id="167"/>
    <w:p>
      <w:pPr>
        <w:jc w:val="both"/>
        <w:spacing w:after="0" w:line="252" w:lineRule="auto"/>
        <w:rPr>
          <w:sz w:val="20"/>
          <w:szCs w:val="20"/>
          <w:color w:val="auto"/>
        </w:rPr>
      </w:pPr>
      <w:r>
        <w:rPr>
          <w:rFonts w:ascii="Times New Roman" w:cs="Times New Roman" w:eastAsia="Times New Roman" w:hAnsi="Times New Roman"/>
          <w:sz w:val="18"/>
          <w:szCs w:val="18"/>
          <w:color w:val="auto"/>
        </w:rPr>
        <w:t>Specified Derivatives Provider (each such recipient, a “Payment Recipient”)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11.11(a), whether received as a payment, prepayment or repayment of principal, interest, fees, distribution or otherwise; individually and collectively, an “Erroneous Payment”), then, in each case, such Payment Recipient is deemed to have knowledge of such error at the time of its receipt of such Erroneous Payment; provided that nothing in this Section shall require the Administrative Agent to provide any of the notices specified in clauses</w:t>
      </w:r>
    </w:p>
    <w:p>
      <w:pPr>
        <w:spacing w:after="0" w:line="4" w:lineRule="exact"/>
        <w:rPr>
          <w:sz w:val="20"/>
          <w:szCs w:val="20"/>
          <w:color w:val="auto"/>
        </w:rPr>
      </w:pPr>
    </w:p>
    <w:p>
      <w:pPr>
        <w:jc w:val="both"/>
        <w:ind w:firstLine="8"/>
        <w:spacing w:after="0" w:line="255" w:lineRule="auto"/>
        <w:tabs>
          <w:tab w:leader="none" w:pos="24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Without limiting the immediately preceding clause (a), each Payment Recipient agrees that, in the case of clause (a)(ii) above, it shall promptly notify the Administrative Agent in writing of such occurrence.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“Erroneous Payment Return Deficiency”),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“Erroneous Payment Impacted Class”)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12.5 and (3) the Administrative Agent may reflect such assignments in the Register without further consent or action by any other Person.</w:t>
      </w:r>
    </w:p>
    <w:p>
      <w:pPr>
        <w:sectPr>
          <w:pgSz w:w="11900" w:h="16838" w:orient="portrait"/>
          <w:cols w:equalWidth="0" w:num="1">
            <w:col w:w="11240"/>
          </w:cols>
          <w:pgMar w:left="320" w:top="1417" w:right="339" w:bottom="1440" w:gutter="0" w:footer="0" w:header="0"/>
        </w:sectPr>
      </w:pPr>
    </w:p>
    <w:bookmarkStart w:id="168" w:name="page169"/>
    <w:bookmarkEnd w:id="16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Section 11.11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Each party’s obligations under this Section 11.11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Nothing in this Section 11.11 will constitute a waiver or release of any claim of the Administrative Agent hereunder arising from any Payment Recipient’s receipt of an Erroneous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11.12. Sustainability Structuring Agent.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Sustainability Structuring Agent will (i) assist the Borrowers in determining the KPI Metrics Pricing Provisions in connection with the KPI Metrics Amendment and (ii) assist the Borrowers in preparing informational materials focused on environmental targets to be used in connection with the KPI Metrics Amendment, in each case, based upon the information provided by the Borrowers with respect to the applicable KPIs selected in accordance with Section 12.6(f); provided that the Sustainability Structuring Agent (x) shall have no duty to ascertain, inquire into or otherwise independently verify any such information and (y) shall have no responsibility for (and shall not be liable for) the completeness or accuracy of any such information.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 Notices.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provided herein (including without limitation as provided in Section 8.5.), communications provided for hereunder shall be in writing and shall be mailed, telecopied, or delivered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any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SL Green Realty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Vanderbilt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Telecopy Number:            (212) 356-4137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Number:          (212) 216-2700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to:</w:t>
      </w:r>
    </w:p>
    <w:p>
      <w:pPr>
        <w:sectPr>
          <w:pgSz w:w="11900" w:h="16838" w:orient="portrait"/>
          <w:cols w:equalWidth="0" w:num="1">
            <w:col w:w="11240"/>
          </w:cols>
          <w:pgMar w:left="320" w:top="1417" w:right="339" w:bottom="1440" w:gutter="0" w:footer="0" w:header="0"/>
        </w:sectPr>
      </w:pPr>
    </w:p>
    <w:bookmarkStart w:id="169" w:name="page170"/>
    <w:bookmarkEnd w:id="169"/>
    <w:p>
      <w:pPr>
        <w:ind w:left="1300"/>
        <w:spacing w:after="0"/>
        <w:rPr>
          <w:sz w:val="20"/>
          <w:szCs w:val="20"/>
          <w:color w:val="auto"/>
        </w:rPr>
      </w:pPr>
      <w:r>
        <w:rPr>
          <w:rFonts w:ascii="Times New Roman" w:cs="Times New Roman" w:eastAsia="Times New Roman" w:hAnsi="Times New Roman"/>
          <w:sz w:val="18"/>
          <w:szCs w:val="18"/>
          <w:color w:val="auto"/>
        </w:rPr>
        <w:t>SL Green Realty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Vanderbilt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Telecopy Number:            (212) 216-1776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Number:          (212) 216-2700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SL Green Realty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Vanderbilt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Telecopy Number:            (212) 356-4135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Number:          (212) 216-2700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550 S. Tryon Street, 22nd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Peter Waschenko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(914) 540-2168</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Administrative Agent under Article 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Minneapolis Loan Center</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MAC N9303-110</w:t>
      </w:r>
    </w:p>
    <w:p>
      <w:pPr>
        <w:ind w:left="1300"/>
        <w:spacing w:after="0" w:line="206" w:lineRule="auto"/>
        <w:rPr>
          <w:sz w:val="20"/>
          <w:szCs w:val="20"/>
          <w:color w:val="auto"/>
        </w:rPr>
      </w:pPr>
      <w:r>
        <w:rPr>
          <w:rFonts w:ascii="Times New Roman" w:cs="Times New Roman" w:eastAsia="Times New Roman" w:hAnsi="Times New Roman"/>
          <w:sz w:val="18"/>
          <w:szCs w:val="18"/>
          <w:color w:val="auto"/>
        </w:rPr>
        <w:t>600 South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8th Floor</w:t>
      </w:r>
    </w:p>
    <w:p>
      <w:pPr>
        <w:ind w:left="1300"/>
        <w:spacing w:after="0"/>
        <w:rPr>
          <w:sz w:val="20"/>
          <w:szCs w:val="20"/>
          <w:color w:val="auto"/>
        </w:rPr>
      </w:pPr>
      <w:r>
        <w:rPr>
          <w:rFonts w:ascii="Times New Roman" w:cs="Times New Roman" w:eastAsia="Times New Roman" w:hAnsi="Times New Roman"/>
          <w:sz w:val="18"/>
          <w:szCs w:val="18"/>
          <w:color w:val="auto"/>
        </w:rPr>
        <w:t>Minneapolis, Minnesota 55415</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Anthony Gangelhoff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Telecopier: (877) 410-5023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(612) 316-0109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any other Lender: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such Lender’s address or telecopy number as set forth in the applicable Administrative Questionnaire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 as to each party at such other address as shall be designated by such party in a written notice to the other parties delivered in compliance with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Lender shall only be required to give notice of any such other address to the Administrative Agent and the Borrower Representative. All such notices and other communications shall be effective (i) if mailed, upon the first to occur of receipt or the expiration of three (3) days after the deposit in the United States Postal Service mail, postage prepaid and addressed to the address of the Borrower Representative or the Administrative Agent and Lenders at the addresses specified; (ii) if telecopied, when transmitted; (iii) if hand delivered or sent by overnight courier, when delivered; or (iv) if delivered in accordance with Section 8.5.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or any Lender under Article II. shall be effective only when actually received. None of the Administrative Agent or any Lender shall</w:t>
      </w:r>
    </w:p>
    <w:p>
      <w:pPr>
        <w:sectPr>
          <w:pgSz w:w="11900" w:h="16838" w:orient="portrait"/>
          <w:cols w:equalWidth="0" w:num="1">
            <w:col w:w="11240"/>
          </w:cols>
          <w:pgMar w:left="320" w:top="1417" w:right="339" w:bottom="1440" w:gutter="0" w:footer="0" w:header="0"/>
        </w:sectPr>
      </w:pPr>
    </w:p>
    <w:bookmarkStart w:id="170" w:name="page171"/>
    <w:bookmarkEnd w:id="170"/>
    <w:p>
      <w:pPr>
        <w:jc w:val="both"/>
        <w:spacing w:after="0" w:line="261" w:lineRule="auto"/>
        <w:rPr>
          <w:sz w:val="20"/>
          <w:szCs w:val="20"/>
          <w:color w:val="auto"/>
        </w:rPr>
      </w:pPr>
      <w:r>
        <w:rPr>
          <w:rFonts w:ascii="Times New Roman" w:cs="Times New Roman" w:eastAsia="Times New Roman" w:hAnsi="Times New Roman"/>
          <w:sz w:val="18"/>
          <w:szCs w:val="18"/>
          <w:color w:val="auto"/>
        </w:rPr>
        <w:t>incur any liability to any Borrower or any other Loan Party (nor shall the Administrative Agent incur any liability to the Lenders) for acting upon any telephonic notice referred to in this Agreement which the Administrative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 Expenses.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Borrowers jointly and severally agree (a) to pay or reimburse the Administrative Agent and the Sustainability Structuring Agent for all of its reasonable out-of-pocket costs and expenses incurred in connection with the preparation, negotiation and execution of, and any amendment, supplement or modification to, any of the Loan Documents (including due diligence expense and reasonable travel expenses related to closing), and the consummation of the transactions contemplated hereby and thereby, including the reasonable fees and disbursements of counsel to the Administrative Agent and Sustainability Structuring Agent and a single local counsel to the Administrative Agent, the Sustainability Structuring Agent and the Lenders in each relevant jurisdiction and all costs and expenses of the Administrative Agent and the Sustainability Structuring Agent in connection with the use of IntraLinks, SyndTrak or other similar information transmission systems in connection with the Loan Documents, (b) to pay or reimburse the Administrative Agent, the Sustainability Structuring Agent and the Lenders for all their reasonable costs and expenses incurred in connection with the enforcement or preservation of any rights under the Loan Documents, the Fee Letters and any letter relating to fees entered into with the Sustainability Structuring Agent, including the reasonable fees and disbursements of their respective counsel and any payments in indemnification or otherwise payable by the Lenders to the Administrative Agent and/or the Sustainability Structuring Agent pursuant to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Borrowers shall not be required to pay the fees and expenses of more than one counsel to the Administrative Agent, one counsel to the Sustainability Structuring Agent and one separate counsel for the Lenders (in addition to fees and expenses for appropriate local or special counsel) in connection with such workout or enforcement or preservation unless an actual or perceived conflict of interest exists, (c) to pay, and indemnify and hold harmless the Administrative Agent, the Sustainability Structuring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(subject to the same limitations set forth in the proviso to clause (b) above) to the Administrative Agent, the Sustainability Structuring Agent and any Lender incurred in connection with the representation of the Administrative Agent, the Sustainability Structuring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any Borrower or any other Loan Party, whether proposed by such Borrower, such other Loan Party, the Lenders or any other Person, and whether such fees and expenses are incurred prior to, during or after the commencement of such proceeding or the confirmation or conclusion of any such proceeding. If any Borrower shall fail to pay any amounts required to be paid by it pursuant to this Section, the Administrative Agent, the Sustainability Structuring Agent and/or the Lenders may pay such amounts on behalf of such Borrower and such amounts shall be deemed to be Obligations owing hereunder. This Section 12.2. shall not apply to Taxes other than Taxes that represent expenses, losses and similar amounts arising from a non-Tax claim.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- 93 -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12.3. Setoff.</w:t>
      </w:r>
    </w:p>
    <w:p>
      <w:pPr>
        <w:sectPr>
          <w:pgSz w:w="11900" w:h="16838" w:orient="portrait"/>
          <w:cols w:equalWidth="0" w:num="1">
            <w:col w:w="11240"/>
          </w:cols>
          <w:pgMar w:left="320" w:top="1417" w:right="339" w:bottom="1440" w:gutter="0" w:footer="0" w:header="0"/>
        </w:sectPr>
      </w:pPr>
    </w:p>
    <w:bookmarkStart w:id="171" w:name="page172"/>
    <w:bookmarkEnd w:id="17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Section 3.3. and in addition to any rights now or hereafter granted under Applicable Law and not by way of limitation of any such rights, each Borrower hereby authorizes the Administrative Agent, each Lender, each Affiliate of the Administrative Agent or any Lender, and each Participant, at any time or from time to time while an Event of Default exists, without notice to any Borrower or to any other Person, any such notice being hereby expressly waived, but in the case of a Lender, an Affiliate of a Lender, or a Participant,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any Affiliate of the Administrative Agent or such Lender, or such Participant, to or for the credit or the account of any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and the Lenders and (y) such Defaulting Lender shall provide promptly to the Administrative Agent a statement describing in reasonable detail the Obligations owing to such Defaulting Lender as to which it exercised such right of setoff.</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12.4. Litigation; Jurisdiction; Other Matters; Waivers.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EACH PARTY HERETO ACKNOWLEDGES THAT ANY DISPUTE OR CONTROVERSY BETWEEN OR AMONG ANY OF THE BORROWERS, THE ADMINISTRATIVE AGENT, THE SUSTAINABILITY STRUCTURING AGENT OR ANY OF THE LENDERS WOULD BE BASED ON DIFFICULT AND COMPLEX ISSUES OF LAW AND FACT AND WOULD RESULT IN DELAY AND EXPENSE TO THE PARTIES. ACCORDINGLY, TO THE EXTENT PERMITTED BY APPLICABLE LAW, EACH OF THE LENDERS, THE ADMINISTRATIVE AGENT, THE SUSTAINABILITY STRUCTURING AGENT AND EACH BORROWER HEREBY WAIVES ITS RIGHT TO A TRIAL BY JURY IN ANY ACTION OR PROCEEDING OF ANY KIND OR NATURE IN ANY COURT OR TRIBUNAL IN WHICH AN ACTION MAY BE COMMENCED BY OR AGAINST ANY PARTY HERETO ARISING OUT OF THIS AGREEMENT, ANY OTHER LOAN DOCUMENT OR ANY FEE LETTER OR BY REASON OF ANY OTHER SUIT, CAUSE OF ACTION OR DISPUTE WHATSOEVER BETWEEN OR AMONG ANY OF THE BORROWERS, THE ADMINISTRATIVE AGENT, THE SUSTAINABILITY STRUCTURING AGENT OR ANY OF THE LENDERS OF ANY KIND OR NATURE RELATING TO ANY OF THE LOAN DOCUMENTS.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EACH PARTY HERETO IRREVOCABLY AND UNCONDITIONALLY AGREES THAT IT WILL NOT COMMENCE ANY ACTION, LITIGATION OR PROCEEDING OF ANY KIND OR DESCRIPTION, WHETHER AT LAW OR IN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w:t>
      </w:r>
    </w:p>
    <w:p>
      <w:pPr>
        <w:sectPr>
          <w:pgSz w:w="11900" w:h="16838" w:orient="portrait"/>
          <w:cols w:equalWidth="0" w:num="1">
            <w:col w:w="11240"/>
          </w:cols>
          <w:pgMar w:left="320" w:top="1417" w:right="339" w:bottom="1440" w:gutter="0" w:footer="0" w:header="0"/>
        </w:sectPr>
      </w:pPr>
    </w:p>
    <w:bookmarkStart w:id="172" w:name="page173"/>
    <w:bookmarkEnd w:id="172"/>
    <w:p>
      <w:pPr>
        <w:jc w:val="center"/>
        <w:ind w:right="420"/>
        <w:spacing w:after="0"/>
        <w:rPr>
          <w:sz w:val="20"/>
          <w:szCs w:val="20"/>
          <w:color w:val="auto"/>
        </w:rPr>
      </w:pPr>
      <w:r>
        <w:rPr>
          <w:rFonts w:ascii="Times New Roman" w:cs="Times New Roman" w:eastAsia="Times New Roman" w:hAnsi="Times New Roman"/>
          <w:sz w:val="17"/>
          <w:szCs w:val="17"/>
          <w:color w:val="auto"/>
        </w:rPr>
        <w:t>BRINGING OF ANY ENFORCEMENT ACTION BY ANY PARTY HERETO TO ENFORCE ANY JUDGMENT OBTAINED IN SUCH FORUM.</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- 94 -</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12.5. Successors and Assigns.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no Borrower and no other Loan Party may assign or otherwise transfer any of its rights or obligations hereunder without the prior written consent of the Administrative Agent and each Lender (except as permitted by Section 9.3.(d)),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w:t>
      </w:r>
    </w:p>
    <w:p>
      <w:pPr>
        <w:spacing w:after="0" w:line="3" w:lineRule="exact"/>
        <w:rPr>
          <w:sz w:val="20"/>
          <w:szCs w:val="20"/>
          <w:color w:val="auto"/>
        </w:rPr>
      </w:pPr>
    </w:p>
    <w:p>
      <w:pPr>
        <w:jc w:val="both"/>
        <w:ind w:firstLine="8"/>
        <w:spacing w:after="0" w:line="252" w:lineRule="auto"/>
        <w:tabs>
          <w:tab w:leader="none" w:pos="3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pledge or assignment, or grant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contemplated hereby, the Related Parties of the Administrative Agent and the Lenders) any legal or equitable right, remedy or claim under or by reason of this Agreement.</w:t>
      </w:r>
    </w:p>
    <w:p>
      <w:pPr>
        <w:spacing w:after="0" w:line="19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Assignments by Lenders</w:t>
      </w:r>
      <w:r>
        <w:rPr>
          <w:rFonts w:ascii="Times New Roman" w:cs="Times New Roman" w:eastAsia="Times New Roman" w:hAnsi="Times New Roman"/>
          <w:sz w:val="18"/>
          <w:szCs w:val="18"/>
          <w:color w:val="auto"/>
        </w:rPr>
        <w:t xml:space="preserve">. Any Lender may at any time assign to one or more Eligible Assignees all or a portion of its rights and obligations under this Agreement (including all or a portion of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Minimum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firstLine="648"/>
        <w:spacing w:after="0" w:line="261"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an assigning Lender’s Loans at the time owing to it or contemporaneous assignments to related Approved Funds that equal at least the amount specified in the immediately following clause</w:t>
      </w:r>
    </w:p>
    <w:p>
      <w:pPr>
        <w:ind w:left="1300" w:right="20" w:firstLine="4"/>
        <w:spacing w:after="0" w:line="260" w:lineRule="auto"/>
        <w:tabs>
          <w:tab w:leader="none" w:pos="15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or in the case of an assignment to a Lender, an Affiliate of a Lender or an Approved Fund, no minimum amount need be assigned; and</w:t>
      </w:r>
    </w:p>
    <w:p>
      <w:pPr>
        <w:spacing w:after="0" w:line="18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(B)            in any case not described in the immediately preceding subsection (A),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Default or Event of Default shall exist, each Borrower otherwise consents (each such consent not to be unreasonably withheld or delayed).</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 assigned, except that this clause (ii) shall not prohibit any Lender from assigning all or a portion of its rights and obligations among separate Classes on a non pro rata basis.</w:t>
      </w:r>
    </w:p>
    <w:p>
      <w:pPr>
        <w:sectPr>
          <w:pgSz w:w="11900" w:h="16838" w:orient="portrait"/>
          <w:cols w:equalWidth="0" w:num="1">
            <w:col w:w="11240"/>
          </w:cols>
          <w:pgMar w:left="320" w:top="1417" w:right="339" w:bottom="1440" w:gutter="0" w:footer="0" w:header="0"/>
        </w:sectPr>
      </w:pPr>
    </w:p>
    <w:bookmarkStart w:id="173" w:name="page174"/>
    <w:bookmarkEnd w:id="173"/>
    <w:p>
      <w:pPr>
        <w:spacing w:after="0" w:line="194"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Required Consents</w:t>
      </w:r>
      <w:r>
        <w:rPr>
          <w:rFonts w:ascii="Times New Roman" w:cs="Times New Roman" w:eastAsia="Times New Roman" w:hAnsi="Times New Roman"/>
          <w:sz w:val="18"/>
          <w:szCs w:val="18"/>
          <w:color w:val="auto"/>
        </w:rPr>
        <w:t xml:space="preserve">. No consent shall be required for any assignment except to the extent required by clause (i)(B) of this subsection (b) and, in addition the consent of the Borrower Representative (such consent not to be unreasonably withheld or delayed) shall be required unless (x) a Default or Event of Default shall exist at the time of such assignment or (y) such assignment is to a Lender, an Affiliate of a Lender or an Approved Fund with respect to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Representative shall be deemed to have consented to any such assignment unless it shall object thereto by written notice to the Administrative Agent within 10 Business Days after having received notice thereof.</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Assignment and Assumption; Notes</w:t>
      </w:r>
      <w:r>
        <w:rPr>
          <w:rFonts w:ascii="Times New Roman" w:cs="Times New Roman" w:eastAsia="Times New Roman" w:hAnsi="Times New Roman"/>
          <w:sz w:val="18"/>
          <w:szCs w:val="18"/>
          <w:color w:val="auto"/>
        </w:rPr>
        <w:t>. The parties to each assignment shall execute and deliver to the Administrative Agent an Assignment and Assumption, together with a processing and recordation fee of $4,500 for each assignment (which fee the Administrative Agent may, in its sole discretion, elect to waive), and the assignee, if it is not a Lender, shall deliver to the Administrative Agent an Administrative Questionnaire. If requested by the transferor Lender or the assignee, upon the consummation of any assignment, the transferor Lender, the Administrative Agent and the Borrowers shall make appropriate arrangements so that new Notes are issued to the assignee and such transferor Lender, as appropriate.</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No such assignment shall be made to (A) any Borrower or any of the Borrowers’ Affiliates or Subsidiaries or (B) to any Defaulting Lender or any of its Subsidiaries, or to any Person who, upon becoming a Lender hereunder, would constitute any of the foregoing Persons described in this clause (B).</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No Assignment to Natural Persons</w:t>
      </w:r>
      <w:r>
        <w:rPr>
          <w:rFonts w:ascii="Times New Roman" w:cs="Times New Roman" w:eastAsia="Times New Roman" w:hAnsi="Times New Roman"/>
          <w:sz w:val="18"/>
          <w:szCs w:val="18"/>
          <w:color w:val="auto"/>
        </w:rPr>
        <w:t>. No such assignment shall be made to a natural person (or holding company, investment vehicle or trust for, or owned and operated for the primary benefit of a natural person).</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- 96 -</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12.9. and the other provisions of this Agreement and the other Loan Documents as provided in Section 12.10. with respect to facts and circumstances occurring prior to the</w:t>
      </w:r>
    </w:p>
    <w:p>
      <w:pPr>
        <w:sectPr>
          <w:pgSz w:w="11900" w:h="16838" w:orient="portrait"/>
          <w:cols w:equalWidth="0" w:num="1">
            <w:col w:w="11240"/>
          </w:cols>
          <w:pgMar w:left="320" w:top="1440" w:right="339" w:bottom="1440" w:gutter="0" w:footer="0" w:header="0"/>
        </w:sectPr>
      </w:pPr>
    </w:p>
    <w:bookmarkStart w:id="174" w:name="page175"/>
    <w:bookmarkEnd w:id="17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Register</w:t>
      </w:r>
      <w:r>
        <w:rPr>
          <w:rFonts w:ascii="Times New Roman" w:cs="Times New Roman" w:eastAsia="Times New Roman" w:hAnsi="Times New Roman"/>
          <w:sz w:val="18"/>
          <w:szCs w:val="18"/>
          <w:color w:val="auto"/>
        </w:rPr>
        <w:t>. The Administrative Agent, acting solely for this purpose as a non-fiduciary agent of the Borrowers, shall maintain at the Principal Office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each Borrower, the Administrative Agent and the Lenders shall treat each Person whose name is recorded in the Register pursuant to the terms hereof as a Lender hereunder for all purposes of this Agreement. The Register shall be available for inspection by the Borrower Representative and any Lender, at any reasonable time and from time to time upon reasonable prior notice.</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Any Lender may at any time, without the consent of, or notice to, any Borrower or the Administrative Agent, sell participations to any Person (other than a natural Person (or holding company, investment vehicle or trust for, or owned and operated for the primary benefit of a natural person) or any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Commitments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each of the Borrowers,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(x) extend the date fixed for the payment of principal on the Loans or portions thereof owing to such Lender in which such Participant has acquired a participation, or (y) reduce the rate at which interest is payable thereon. Subject to subsection (e) of this Section, each Borrower agrees that each Participant shall be entitled to the benefits of Sections 3.10., 4.1., 4.4. (subject to the requirements and limitations therein, including the requirements under Section 3.10.(g) (it being understood that the documentation required under Section 3.10.(g)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the provisions of Section 4.6. as if it were an assignee under paragraph (b) of this Section. Each Lender that sells a participation agrees, at any Borrower’s request and expense, to use reasonable efforts to cooperate with such Borrower to effectuate the provisions of Section 4.6. with respect to any Participant. To the extent permitted by law, each Participant also shall be entitled to the benefits of Section 12.3.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Section 3.3.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“Participant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ectPr>
          <w:pgSz w:w="11900" w:h="16838" w:orient="portrait"/>
          <w:cols w:equalWidth="0" w:num="1">
            <w:col w:w="11240"/>
          </w:cols>
          <w:pgMar w:left="320" w:top="1417"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- 97 -</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Limitations upon Participant Rights</w:t>
      </w:r>
      <w:r>
        <w:rPr>
          <w:rFonts w:ascii="Times New Roman" w:cs="Times New Roman" w:eastAsia="Times New Roman" w:hAnsi="Times New Roman"/>
          <w:sz w:val="18"/>
          <w:szCs w:val="18"/>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 Representative’s prior written consent or such entitlement to receive a greater payment results from a Regulatory Change that occurs after such Participant acquired the applicable participation. A Participant that would be a Foreign Lender if it were a Lender shall not be entitled to the benefits of Section 3.10. unless the Borrowers are notified of the participation sold to such Participant and such Participant agrees, for the benefit of the Borrowers and the Administrative Agent, to comply with Section 3.10.(g) as though it were a Lender, and such Participant shall be deemed to be a Lender for purposes of the definition of Excluded Taxes.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Pledges</w:t>
      </w:r>
      <w:r>
        <w:rPr>
          <w:rFonts w:ascii="Times New Roman" w:cs="Times New Roman" w:eastAsia="Times New Roman" w:hAnsi="Times New Roman"/>
          <w:sz w:val="18"/>
          <w:szCs w:val="18"/>
          <w:color w:val="auto"/>
        </w:rPr>
        <w:t xml:space="preserve">. Any Lender may at any time pledge or assign, or grant a security interest in, all or any portion of its rights under this Agreement to secure obligations of such Lender, including any pledge or assignment, or grant of a security interest,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or grant of a security interest, shall release such Lender from any of its obligations hereunder or substitute any such pledgee or assignee or grantee for such Lender as a party 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 Registration</w:t>
      </w:r>
      <w:r>
        <w:rPr>
          <w:rFonts w:ascii="Times New Roman" w:cs="Times New Roman" w:eastAsia="Times New Roman" w:hAnsi="Times New Roman"/>
          <w:sz w:val="18"/>
          <w:szCs w:val="18"/>
          <w:color w:val="auto"/>
        </w:rPr>
        <w:t>. Each Lender agrees that, without the prior written consent of the Borrower Representative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- 98 -</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USA Patriot Act Notice; Compliance</w:t>
      </w:r>
      <w:r>
        <w:rPr>
          <w:rFonts w:ascii="Times New Roman" w:cs="Times New Roman" w:eastAsia="Times New Roman" w:hAnsi="Times New Roman"/>
          <w:sz w:val="18"/>
          <w:szCs w:val="18"/>
          <w:color w:val="auto"/>
        </w:rPr>
        <w:t>. In order for the Administrative Agent to comply with “know your customer” and anti-money laundering rules and regulations, including without limitation, the Patriot Act, prior to any Lender or Participant that is organized under the laws of a jurisdiction outside of the United States of America becoming a party hereto, the Administrative Agent may request, and such Lender or Participant shall provide to the Administrative Agent, its name, address, tax identification number and/or such other identification information as shall be necessary for the Administrative Agent to comply with federal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12.6. Amendments and Waivers.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Except as otherwise expressly provided in this Agreement (including Section 4.2(b)), (i) any consent or approval required or permitted by this Agreement or any other Loan Document to be given by the Lenders may be given, (ii) any term of this Agreement or of any other Loan Document may be amended, (iii) the performance or observance by any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Consent of Lenders Directly Affected</w:t>
      </w:r>
      <w:r>
        <w:rPr>
          <w:rFonts w:ascii="Times New Roman" w:cs="Times New Roman" w:eastAsia="Times New Roman" w:hAnsi="Times New Roman"/>
          <w:sz w:val="18"/>
          <w:szCs w:val="18"/>
          <w:color w:val="auto"/>
        </w:rPr>
        <w:t>. In addition to the foregoing requirements, no amendment, waiver or consent shall:</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increase (or reinstate) the Commitments of a Lender or subject a Lender to any additional obligations without the written consent of such Lender;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reduce the principal of, or interest that has accrued or the rates of interest that will be charged on the outstanding principal amount of, any Loans or other Obligations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only the written consent of the Requisite</w:t>
      </w:r>
    </w:p>
    <w:p>
      <w:pPr>
        <w:sectPr>
          <w:pgSz w:w="11900" w:h="16838" w:orient="portrait"/>
          <w:cols w:equalWidth="0" w:num="1">
            <w:col w:w="11240"/>
          </w:cols>
          <w:pgMar w:left="320" w:top="1417" w:right="339" w:bottom="1440" w:gutter="0" w:footer="0" w:header="0"/>
        </w:sectPr>
      </w:pPr>
    </w:p>
    <w:bookmarkStart w:id="176" w:name="page177"/>
    <w:bookmarkEnd w:id="176"/>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Lenders shall be required for the waiver of interest payable at the Post-Default Rate, retraction of the imposition of interest at the Post-Default Rate and amendment of the definition of “Post-Default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reduce the amount of any Fees payable to a Lender without the written consent of such Lender;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[reserved];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modify the definition of “Maturity Date”, or otherwise postpone any date fixed for, or forgive, any payment of principal of, or interest on, any Loans or for the payment of Fees or any other Obligations owing to the Lenders, in each case, without the written consent of each directly affected Lender;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[reserved];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(vii)           modify the definitions of “Pro Rata Share” or “Requisite Lenders”, amend or otherwise modify the provisions of Section 3.2. or Section 10.5, or modify in any other manner the number or percentage of the Lenders required to make any determinations or waive any rights hereunder or to modify any provision hereof, in each case, without the written consent of each directly affected Lender;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- 99 -</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(viii)         amend this Section or amend the definitions of the terms used in this Agreement or the other Loan Documents insofar as such definitions affect the substance of this Section without the written consent of each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            [reserved];</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(xii)            release any Borrower from its obligations hereunder or under any other Loan Document except as contemplated by Section 9.3. without the consent of each Lender;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(xiii)           waive a Default or Event of Default under Section 10.1.(a) without the written consent of each Lender directly and adversely affected thereby (or the Administrative Agent at the written direction of such Lenders).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Amendment of Administrative Agent’s Duties, Etc</w:t>
      </w:r>
      <w:r>
        <w:rPr>
          <w:rFonts w:ascii="Times New Roman" w:cs="Times New Roman" w:eastAsia="Times New Roman" w:hAnsi="Times New Roman"/>
          <w:sz w:val="18"/>
          <w:szCs w:val="18"/>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No amendment, waiver or consent unless in writing and signed by the Sustainability Structuring Agent, in addition to the Lenders required hereinabove to take such action, shall affect the rights or duties of the Sustainability Structuring Agent under this Agreement or any of the other Loan Documents. Any amendment, waiver or consent with respect to any Loan Document that affects the rights of a Specified Derivatives Provider in a manner or to an extent materially dissimilar to that affecting the Lenders shall, in addition to the Lenders required hereinabove to take such action, require the consent of the Lender that is (or having an Affiliate that is) such Specified Derivatives Provider.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reinstated or extended without the written consent of such Defaulting Lender and (y) any waiver, amendment or modification requiring the consent of all Lenders or each affected Lender</w:t>
      </w:r>
    </w:p>
    <w:p>
      <w:pPr>
        <w:sectPr>
          <w:pgSz w:w="11900" w:h="16838" w:orient="portrait"/>
          <w:cols w:equalWidth="0" w:num="1">
            <w:col w:w="11240"/>
          </w:cols>
          <w:pgMar w:left="320" w:top="1417" w:right="339" w:bottom="1440" w:gutter="0" w:footer="0" w:header="0"/>
        </w:sectPr>
      </w:pPr>
    </w:p>
    <w:bookmarkStart w:id="177" w:name="page178"/>
    <w:bookmarkEnd w:id="177"/>
    <w:p>
      <w:pPr>
        <w:jc w:val="both"/>
        <w:spacing w:after="0" w:line="253" w:lineRule="auto"/>
        <w:rPr>
          <w:sz w:val="20"/>
          <w:szCs w:val="20"/>
          <w:color w:val="auto"/>
        </w:rPr>
      </w:pPr>
      <w:r>
        <w:rPr>
          <w:rFonts w:ascii="Times New Roman" w:cs="Times New Roman" w:eastAsia="Times New Roman" w:hAnsi="Times New Roman"/>
          <w:sz w:val="18"/>
          <w:szCs w:val="18"/>
          <w:color w:val="auto"/>
        </w:rPr>
        <w:t>that by its terms affects any Defaulting Lender more adversely than other affected Lenders shall require the written consent of such Defaulting Lender.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Any Event of Default occurring hereunder shall continue to exist until such time as such Event of Default is waived in writing in accordance with the terms of this Section, notwithstanding any attempted cure or other action by any Borrower, any other Loan Party or any other Person subsequent to the occurrence of such Event of Default. Except as otherwise explicitly provided for herein or in any other Loan Document, no notice to or demand upon the Borrower Representative or any other Borrower or any other Loan Party shall entitle the Borrower Representative or such other Borrower or such other Loan Party to other or further notice or demand in similar or other circumstances. The Administrative Agent (and, if applicable, the Borrowers)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Section 4.2(b) in accordance with the terms of Section 4.2(b).</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- 100 -</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Technical Amendments</w:t>
      </w:r>
      <w:r>
        <w:rPr>
          <w:rFonts w:ascii="Times New Roman" w:cs="Times New Roman" w:eastAsia="Times New Roman" w:hAnsi="Times New Roman"/>
          <w:sz w:val="18"/>
          <w:szCs w:val="18"/>
          <w:color w:val="auto"/>
        </w:rPr>
        <w:t>. Notwithstanding anything to the contrary in this Section 12.6., if the Administrative Agent and the Borrowers have jointly identified a mistake or ambiguity in any provision of this Agreement, the Administrative Agent and the Borrowers shall be permitted to amend such provision to cure such ambiguity or correct such provision so long as to do so would not adversely affect the interests of the Lenders, and such amendment shall become effective without any further action or consent of any of other party to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Amend and Extend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The Borrower Representative may, by written notice to the Administrative Agent from time to time, request an extension (each, an “Extension”) of the maturity date of the Loans to the extended maturity date specified in such notice. Such notice shall (A) set forth the amount of the applicable Loans that will be subject to the Extension (which shall be in a minimum amount of $50,000,000 and minimum increments of $20,000,000 in excess thereof (or such other amounts as may be acceptable to the Borrower Representative and the Administrative Agent)), and</w:t>
      </w:r>
    </w:p>
    <w:p>
      <w:pPr>
        <w:spacing w:after="0" w:line="3" w:lineRule="exact"/>
        <w:rPr>
          <w:sz w:val="20"/>
          <w:szCs w:val="20"/>
          <w:color w:val="auto"/>
        </w:rPr>
      </w:pPr>
    </w:p>
    <w:p>
      <w:pPr>
        <w:jc w:val="both"/>
        <w:ind w:left="660" w:hanging="4"/>
        <w:spacing w:after="0" w:line="251" w:lineRule="auto"/>
        <w:tabs>
          <w:tab w:leader="none" w:pos="95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the date on which such Extension is requested to become effective (which shall be not less than fifteen (15) Business Days nor more than sixty (60) days after the date of such Extension notice (or such longer or shorter periods as the Administrative Agent shall agree in its sole discretion)). Each Lender shall be offered (an “Extension Offer”) an opportunity to participate in such Extension on a pro rata basis and on the same terms and conditions as each other Lender pursuant to procedures established by, or reasonably acceptable to, the Administrative Agent and the Borrowers. If the aggregate principal amount of Loans in respect of which Lenders shall have accepted the relevant Extension Offer shall exceed the maximum aggregate principal amount of Loans subject to the Extension Offer as set forth in the Extension notice, then the Loans of Lenders shall be extended ratably up to such maximum amount based on the respective principal amounts with respect to which such Lenders have accepted such Extension Offer.</w:t>
      </w:r>
    </w:p>
    <w:p>
      <w:pPr>
        <w:spacing w:after="0" w:line="194"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The following shall be conditions precedent to the effectiveness of any Extension: (A) no Default or Event of Default shall have occurred and be continuing immediately prior to and immediately after giving effect to such Extension, (B) the representations and warranties made or deemed made by each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such effective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w:t>
      </w:r>
    </w:p>
    <w:p>
      <w:pPr>
        <w:sectPr>
          <w:pgSz w:w="11900" w:h="16838" w:orient="portrait"/>
          <w:cols w:equalWidth="0" w:num="1">
            <w:col w:w="11240"/>
          </w:cols>
          <w:pgMar w:left="320" w:top="1417" w:right="339" w:bottom="1440" w:gutter="0" w:footer="0" w:header="0"/>
        </w:sectPr>
      </w:pPr>
    </w:p>
    <w:bookmarkStart w:id="178" w:name="page179"/>
    <w:bookmarkEnd w:id="178"/>
    <w:p>
      <w:pPr>
        <w:jc w:val="both"/>
        <w:spacing w:after="0" w:line="258" w:lineRule="auto"/>
        <w:rPr>
          <w:sz w:val="20"/>
          <w:szCs w:val="20"/>
          <w:color w:val="auto"/>
        </w:rPr>
      </w:pPr>
      <w:r>
        <w:rPr>
          <w:rFonts w:ascii="Times New Roman" w:cs="Times New Roman" w:eastAsia="Times New Roman" w:hAnsi="Times New Roman"/>
          <w:sz w:val="18"/>
          <w:szCs w:val="18"/>
          <w:color w:val="auto"/>
        </w:rPr>
        <w:t>representation or warranty shall have been true and correct in all respects) on and as of such earlier date) and except for changes in factual circumstances specifically and expressly permitted hereunder and (C) the terms of Extended Loans shall comply with subclause (iii) of this Section 12.6.(e). Notwithstanding any other provision of this Agreement to the contrary, in no event shall the Loans of any Lender be extended pursuant to this Section 12.6.(e) unless such Lender affirmatively accepts in writing the applicable Extension Offer, it being understood and agreed that a failure by a Lender to respond to any such Extension Offer shall be deemed to be a rejection by such Lender of such Extension Offer.</w:t>
      </w:r>
    </w:p>
    <w:p>
      <w:pPr>
        <w:spacing w:after="0" w:line="18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- 101 -</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(iii)            The terms of each Extension shall be determined by the Borrowers and the applicable extending Lenders and set forth in an Extension Amendment; provided that (A) the final maturity date of any Extended Loan shall be no earlier than the latest maturity date then in effect for the Loans, (B) the average life to maturity of the Extended Loans shall be no shorter than the remaining average life to maturity of the existing Loans, (C) the Extended Loans will rank pari passu in right of payment and with respect to security with the existing Loans and the borrowers and guarantors of the Extended Loans, as applicable, shall be the same as the Borrowers and Guarantors with respect to the existing Loans, as applicable, (D) the interest rate margin, rate floors, fees, original issue discount and premium applicable to any Extended Loans shall be determined by the Borrowers and the applicable extending Lenders, (E) the Extended Loans may participate on a pro rata or less than pro rata (but not greater than pro rata) basis in voluntary or mandatory prepayments with the other Loans and (F) the terms of the Extended Loans shall be substantially identical to the terms set forth herein (except as set forth in sub-clauses (A) through (E) above).</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(iv)            In connection with any Extension, the Borrower Representative, the Administrative Agent and each applicable extending Lender shall execute and deliver to the Administrative Agent an Extension Amendment and such other documentation as the Administrative Agent shall reasonably specify to evidence the Extension (including, without limitation, legal opinions consistent with those delivered on the Effective Date).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Loans as a new tranche of Loans and such other technical amendments as may be necessary or appropriate in the reasonable opinion of the Administrative Agent and the Borrowers in connection with the establishment of such new tranche (including to preserve the pro rata treatment of the extended and non-extended tranches), in each case on terms consistent with this Section 12.6.(e).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KPI Metrics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Prior to the twelve-month anniversary of the Agreement Date, the Borrowers, in consultation with the Sustainability Structuring Agent, may in their sole discretion seek to establish specified key performance indicators with respect to certain environmental goals of the Borrowers and their Subsidiaries (such indicators, “KPI Metrics”) and thresholds or targets with respect thereto (in either case, such thresholds or targets, “SPTs”). The Administrative Agent and the Borrowers (each acting reasonably and in consultation with the Sustainability Structuring Agent) may propose an amendment to this Agreement (such amendment, a “KPI Metrics Amendment”) solely for the purpose of incorporating the KPI Metrics, the SPTs and other related provisions (the “KPI Metrics Pricing Provisions”) into this Agreement. Any such KPI Metrics Amendment shall become effective upon (i) receipt by the Lenders of a lender presentation or memorandum in regard to the KPI Metrics and SPTs from the Borrowers no later than ten (10) Business Days before the proposed effective date of such proposed KPI Metrics Amendment, (ii) the posting of such proposed KPI Metrics Amendment to all Lenders and the Borrowers, (iii) the identification, and engagement at the Borrowers’ cost and expense, of a sustainability assurance provider, which shall be a qualified external reviewer of nationally recognized standing, independent of the</w:t>
      </w:r>
    </w:p>
    <w:p>
      <w:pPr>
        <w:sectPr>
          <w:pgSz w:w="11900" w:h="16838" w:orient="portrait"/>
          <w:cols w:equalWidth="0" w:num="1">
            <w:col w:w="10580"/>
          </w:cols>
          <w:pgMar w:left="980" w:top="1417" w:right="339" w:bottom="1440" w:gutter="0" w:footer="0" w:header="0"/>
        </w:sectPr>
      </w:pPr>
    </w:p>
    <w:bookmarkStart w:id="179" w:name="page180"/>
    <w:bookmarkEnd w:id="179"/>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Borrowers and their Affiliates and (iv) the receipt by the Administrative Agent of executed signature pages and consents to such KPI Metrics Amendment from the Borrowers, the Administrative Agent and Lenders comprising at least the Requisite Lenders. Upon the effectiveness of any such KPI Metrics Amendment, based on the Borrowers’ performance against the KPI Metrics and SPTs, certain adjustments (increase, decrease or no adjustment) (such adjustments, the “KPI Metrics Applicable Rate Adjustments”) to the otherwise applicable Applicable Margin may be made; provided that (x) the amount of any such adjustments made pursuant to a KPI Metrics Amendment shall not result in a decrease or an increase of more than 0.030% in the Applicable Margin during any fiscal year and shall be shall be applied in accordance with the terms as further described in the KPI Metrics Pricing Provisions and (y) in no event shall any Applicable Margin be less than zero (the provisions of this proviso, the “Sustainability Adjustment Limitations”). For the avoidance of doubt, the KPI Metrics Applicable Rate Adjustments shall not be cumulative year-over-year and shall only apply until the date on which the next adjustment is due to take place. The KPI Metrics, the Borrowers’ performance against the KPI Metrics, and any related KPI Metrics Applicable Rate Adjustments resulting therefrom, will be determined based on certain Borrower certificates, reports and other documents, in each case, setting forth the KPI Metrics in a manner that is aligned with the Sustainability Linked Loan Principles, including with respect to the selection, setting, calculation, certification and measurement thereof. Following the effectiveness of a KPI Metrics Amendment, any modification to the KPI Metrics Pricing Provisions shall be subject only to the consent of the Borrowers, the Administrative Agent and the Requisite Lenders so long as such modification does not have the effect of (1) increasing or decreasing the Sustainability Adjustment Limitations set forth in the KPI Metrics Amendment or (2) reducing any Applicable Margin to less than zero.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- 102 -</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The Borrowers, the Sustainability Structuring Agent, the Administrative Agent and the Lenders agree that the Loans are not, nor shall they be, a deemed sustainability-linked loan unless and until the effectiveness of any KPI Metrics Amendment. Prior to the effectiveness of a KPI Metrics Amendment, the Borrowers will not publish any materials or statements (including on any website of any Borrower, in the financial statements or annual reports of any Borrower or in any press release or public announcement issued by a Borrower) which refer to this Agreement being a sustainability-linked loan.</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Other than (A) increasing or decreasing the Sustainability Adjustment Limitations or (B) reducing any Applicable Margin to less than zero (which, for the avoidance of doubt, shall be subject to the written consent of “each Lender directly affected thereby”, in accordance with Section 12.6(b)), this Section 12.6(f) shall supersede any other clause or provision in Section 12.6 to the contrary, including any provision of Section 12.6(b) requiring the consent of “each Lender directly affected thereby”, for reductions in interest rates or fees payable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12.7. Nonliability of Administrative Agent, Sustainability Structuring Agent and Lenders; No Advisory or Fiduciary Responsibility.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relationship between each Borrower, on the one hand, and the Lenders, the Sustainability Structuring Agent and the Administrative Agent, on the other hand, shall be solely that of borrower and lender. None of the Administrative Agent, any Titled Agent or any Lender shall have any fiduciary responsibilities to any Borrower, and no provision in this Agreement or in any of the other Loan Documents, and no course of dealing between or among any of the parties hereto, shall be deemed to create any fiduciary duty owing by the Administrative Agent, any Titled Agent or any Lender to any Lender, any Borrower or any Subsidiary. None of the Administrative Agent, any Titled Agent or any Lender undertakes any responsibility to any Borrower to review or inform such Borrower of any matter in connection with any phase of such Borrower’s business or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 in limitation of the foregoing, in connection with all aspects of each transaction contemplated hereby (including in connection with any amendment, waiver or other modification hereof or of any other Loan Document), the Borrowers acknowledge and agree, and acknowledge their respective Affiliates’ understanding, that: (a) (i) no fiduciary, advisory or agency relationship between the Borrowers and their Subsidiaries and any Titled Agent, the</w:t>
      </w:r>
    </w:p>
    <w:p>
      <w:pPr>
        <w:sectPr>
          <w:pgSz w:w="11900" w:h="16838" w:orient="portrait"/>
          <w:cols w:equalWidth="0" w:num="1">
            <w:col w:w="11240"/>
          </w:cols>
          <w:pgMar w:left="320" w:top="1417" w:right="339" w:bottom="1440" w:gutter="0" w:footer="0" w:header="0"/>
        </w:sectPr>
      </w:pPr>
    </w:p>
    <w:bookmarkStart w:id="180" w:name="page181"/>
    <w:bookmarkEnd w:id="180"/>
    <w:p>
      <w:pPr>
        <w:jc w:val="both"/>
        <w:spacing w:after="0" w:line="252" w:lineRule="auto"/>
        <w:rPr>
          <w:sz w:val="20"/>
          <w:szCs w:val="20"/>
          <w:color w:val="auto"/>
        </w:rPr>
      </w:pPr>
      <w:r>
        <w:rPr>
          <w:rFonts w:ascii="Times New Roman" w:cs="Times New Roman" w:eastAsia="Times New Roman" w:hAnsi="Times New Roman"/>
          <w:sz w:val="18"/>
          <w:szCs w:val="18"/>
          <w:color w:val="auto"/>
        </w:rPr>
        <w:t>Administrative Agent or any Lender is intended to be or has been created in respect of the transactions contemplated hereby or by the other Loan Documents, irrespective of whether any Titled Agent, the Administrative Agent or any Lender has advised or is advising the Borrower or any Subsidiary on other matters, (ii) the arranging and other services regarding this Agreement provided by the Titled Agents, the Administrative Agent and the Lenders are arm’s-length commercial transactions between the Borrowers and their Affiliates, on the one hand, and the Titled Agents, the Administrative Agent and the Lenders, on the other hand, (iii) the Borrowers have consulted their own legal, accounting, regulatory and tax advisors to the extent that it has deemed appropriate and (iv) the Borrowers are capable of evaluating, and understand and accept, the terms, risks and conditions of the transactions contemplated hereby and by the other Loan Documents; and (b) (i) the Titled Agents, the Administrative Agent and the Lenders each is and has been acting solely as a principal and, except as expressly agreed in writing by the relevant parties, has not been, is not, and will not be acting as an advisor, agent or fiduciary for the Borrowers or any of their respective Affiliates, or any other Person; (ii) none of the Titled Agents, the Administrative Agent and the Lenders has any obligation to the Borrowers or any of their Affiliates with respect to the transactions contemplated hereby except those obligations expressly set forth herein and in the other Loan Documents; and (iii) the Titled Agents, the Administrative Agent and the Lenders and their respective Affiliates may be engaged, for their own accounts or the accounts of customers, in a broad range of transactions that involve interests that differ from those of the Borrowers and their respective Affiliates, and none of the Titled Agents, the Administrative Agent and the Lenders has any obligation to disclose any of such interests to the Borrowers or their Affiliates. To the fullest extent permitted by Law, the Borrowers hereby waives and release any claims that they may have against any of the Titled Agents, the Administrative Agent and the Lenders with respect to any breach or alleged breach of agency or fiduciary duty in connection with any aspect of any transaction contemplated hereby.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- 103 -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12.8. Confidentiality.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Administrative Agent and each Lender shall maintain the confidentiality of all Information (as defined below) but in any event may make disclosure: (a) to its Affiliates and to its and its Affiliates’ respective partners, directors, officers, employees, agents, advisors, consultants, service providers and other representatives (it being understood that the Persons to whom such disclosure is made will be informed of the confidential nature of such Information and instructed to keep such Information confidential); (b) subject to an agreement containing provisions substantially the same as those of this Section, to (i) any actual or proposed Eligible Assignee, Participant or other transferee in connection with a potential transfer of any Loan or participation therein as permitted hereunder, or (ii) any actual or prospective counterparty (or its advisors) to any insurance, swap or derivative transaction relating to any Borrower and its obligations; (c) as required or requested by any Governmental Authority or representative thereof or pursuant to legal process or in connection with any legal proceedings, or as otherwise required by Applicable Law (in which case, the Administrative Agent or such Lender, as applicable, shall, to the extent such disclosure is permitted by Applicable Law, inform the Borrower Representative promptly in advance thereof to the extent reasonably practicable and, otherwise, promptly thereafter); (d) to the Administrative Agent’s or such Lender’s independent auditors and other professional advisors (provided they shall be notified of the confidential nature of the information); (e) in connection with the exercise of any remedies under any Loan Document (or any Specified Derivatives Contract) or any action or proceeding relating to any Loan Document (or any such Specified Derivatives Contract) or the enforcement of rights hereunder or thereunder; (f) to the extent such Information (i) becomes publicly available other than as a result of a breach of this Section actually known by the Administrative Agent or such Lender to be a breach of this Section or (ii) becomes available to the Administrative Agent, any Lender or any Affiliate of the Administrative Agent or any Lender on a nonconfidential basis from a source other than any Borrower, any other Loan Party, or any Affiliate of any Borrower or any other Loan Party, which source, to the actual knowledge of the Administrative Agent, any Lender or any Affiliate of the Administrative Agent or any Lender, has not disclosed or acquired such Information in breach of this Section; (g) to the extent requested by, or required to be disclosed to, any nationally recognized rating agency or any regulatory or similar authority (including any self-regulatory authority including the National Association of Insurance Commissioners) having or purporting to have jurisdiction over it (provided that, in the case of a rating agency, the Administrative Agent or such Lender, as applicable, shall, to the extent permitted by Applicable Law, inform the Borrower Representative promptly in advance thereof); (h) to bank trade publications, such information to consist of deal terms and other information</w:t>
      </w:r>
    </w:p>
    <w:p>
      <w:pPr>
        <w:sectPr>
          <w:pgSz w:w="11900" w:h="16838" w:orient="portrait"/>
          <w:cols w:equalWidth="0" w:num="1">
            <w:col w:w="11240"/>
          </w:cols>
          <w:pgMar w:left="320" w:top="1417" w:right="339" w:bottom="1440" w:gutter="0" w:footer="0" w:header="0"/>
        </w:sectPr>
      </w:pPr>
    </w:p>
    <w:bookmarkStart w:id="181" w:name="page182"/>
    <w:bookmarkEnd w:id="18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customarily found in such publications; (i) to any other party hereto; and (j) with the consent of each Borrower. Notwithstanding the foregoing, the Administrative Agent and each Lender may disclose any such confidential information, without notice to any Borrower or any other Loan Party, to Governmental Authorities in connection with any regulatory examination of the Administrative Agent or such Lender or in accordance with the regulatory compliance policy of the Administrative Agent or such Lender. As used in this Section, the term “Information” means all information received from the Borrower Representative, any other Borrower, any other Loan Party or any Subsidiary or Affiliate relating to any Borrower, any other Loan Party or any of their respective businesses, other than any such information that is available to the Administrative Agent or any Lender on a nonconfidential basis prior to disclosure by any Borrower, any other Subsidiary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such information received from the Borrower Representative, any other Borrower any Subsidiary or any Affiliate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in this Section 12.8. shall prohibit any person from voluntarily disclosing or providing any information within the scope of this confidentiality provision to any governmental, regulatory or self-regulatory organization to the extent that any such prohibition on disclosure set forth in this confidentiality provision shall be prohibited by the laws or regulations applicable to such governmental, regulatory or self-regulatory organization.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- 104 -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12.9. Indemnification.</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The Borrowers shall and hereby jointly and severally agree to indemnify, defend and hold harmless the Administrative Agent, the Lenders, the Titled Agents, the respective Affiliates of each of the Administrative Agent, the Lenders and the Titled Agents, and their respective Related Parties (each referred to herein as an “Indemnified Party”) from and against any and all of the following (collectively, the “Indemnified Costs”): losses, costs, claims, penalties,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“Indemnity Proceeding”), including without limitation any Indemnity Proceeding brought by a Borrower, any other Loan Party, any Affiliate or any third party, which is in any way related directly or indirectly to: (i) this Agreement, any other Loan Document, any Fee Letter or any other agreement, letter or instrument delivered in connection with the transactions contemplated hereby and thereby; (ii) the making of any Loans; (iii) any actual or proposed use by any Borrower of the proceeds of the Loans; (iv) the Administrative Agent’s or any Lender’s entering into this Agreement; (v) the fact that the Administrative Agent and the Lenders have established the credit facility evidenced hereby in favor of the Borrowers; (vi) the fact that the Administrative Agent and the Lenders are creditors of the Borrowers and have or are alleged to have information regarding the financial condition, strategic plans or business operations of the Borrowers, the other Loan Parties and the Subsidiaries; (vii) the fact that the Administrative Agent and the Lenders are material creditors of the Borrowers and are alleged to influence directly or indirectly the business decisions or affairs of the Borrowers, the other Loan Parties and their respective Subsidiaries or their financial condition; (viii) the exercise of any right or remedy the Administrative Agent or the Lenders may have under this Agreement, the other Loan Documents or the Fee Letters; (ix) any civil penalty or fine assessed by the OFAC against, and all costs and expenses (including counsel fees and disbursements) incurred in connection with defense thereof by, the Administrative Agent or any Lender as a result of conduct of any Borrower, any other Loan Party or any other Subsidiary that violates a sanction administered or enforced by the OFAC; or (x) any violation or non-compliance by any Borrower, any other Loan Party or any other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any Borrower or its Subsidiaries (or its respective properties) (or the</w:t>
      </w:r>
    </w:p>
    <w:p>
      <w:pPr>
        <w:sectPr>
          <w:pgSz w:w="11900" w:h="16838" w:orient="portrait"/>
          <w:cols w:equalWidth="0" w:num="1">
            <w:col w:w="11240"/>
          </w:cols>
          <w:pgMar w:left="320" w:top="1417" w:right="339" w:bottom="1440" w:gutter="0" w:footer="0" w:header="0"/>
        </w:sectPr>
      </w:pPr>
    </w:p>
    <w:bookmarkStart w:id="182" w:name="page183"/>
    <w:bookmarkEnd w:id="18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Administrative Agent and/or the Lenders as successors to the Borrower) to be in compliance with such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Borrower shall be obligated to indemnify any Indemnified Party (x) for any Indemnified Costs to the extent resulting from such Indemnified Party’s own gross negligence or willful misconduct or a claim brought by any Borrower against an Indemnified Party for breach in bad faith of such Indemnified Party’s obligations hereunder, in each case as determined by a court of competent jurisdiction in a final non-appealable judgment or (y) any dispute solely among Indemnified Parties other than (A) any claims against the Titled Agents in their respective capacities, as or in fulfilling their respective roles, as an administrative agent, arranger, bookrunner, syndication agent, documentation agent, issuing bank or any similar role in respect of this Agreement and the transactions contemplated hereby and (B) any claims arising out of any act or omission on the part of any of the Loan Parties or their respective Affiliates (in each case under this clause (y), as determined by a final non-appealable judgment of a court of competent jurisdiction).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- 105 -</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Each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any Loan Party or any Subsidiary, any shareholder of any Loan Party or any Subsidiary (whether such shareholder(s) are prosecuting such Indemnity Proceeding in their individual capacity or derivatively on behalf of such Loan Party), any account debtor of any Loan Party or any Subsidiary or by any Governmental Authority.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This indemnification shall apply to any Indemnity Proceeding arising during the pendency of any bankruptcy proceeding filed by or against any Loan Party and/or any Subsidiary.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All out-of-pocket fees and expenses of, and all amounts paid to third-persons by, an Indemnified Party shall be advanced by the Borrowers at the request of such Indemnified Party notwithstanding any claim or assertion by any Borrower that such Indemnified Party is not entitled to indemnification hereunder upon receipt of an undertaking by such Indemnified Party that such Indemnified Party will reimburse the Borrowers if it is actually and finally determined by a court of competent jurisdiction that such Indemnified Party is not so entitled to indemnification hereunder.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Borrowers. No action taken by legal counsel chosen by an Indemnified Party in investigating or defending against any such Indemnity Proceeding shall vitiate or in any way impair the obligations and duties of each Borrower hereunder to indemnify and hold harmless each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(i) the Borrowers are required to indemnify an Indemnified Party pursuant hereto and (ii) the Borrowers have provided evidence reasonably satisfactory to such Indemnified Party that the Borrowers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Borrowers (which consent shall not be unreasonably withheld or delayed). Notwithstanding the foregoing, an Indemnified Party may settle or compromise any such Indemnity Proceeding without the prior written consent of the Borrowers where (x) no monetary relief is sought against such Indemnified Party in such Indemnity Proceeding or (y) there is an allegation of a violation of law by such Indemnified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- 106 -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If and to the extent that the obligations of the Borrowers under this Section are unenforceable for any reason, the Borrowers hereby agree jointly and severally to make the maximum contribution to the payment and satisfaction of such obligations which is permissible under Applicable Law.</w:t>
      </w:r>
    </w:p>
    <w:p>
      <w:pPr>
        <w:sectPr>
          <w:pgSz w:w="11900" w:h="16838" w:orient="portrait"/>
          <w:cols w:equalWidth="0" w:num="1">
            <w:col w:w="11240"/>
          </w:cols>
          <w:pgMar w:left="320" w:top="1417" w:right="339" w:bottom="1440" w:gutter="0" w:footer="0" w:header="0"/>
        </w:sectPr>
      </w:pPr>
    </w:p>
    <w:bookmarkStart w:id="183" w:name="page184"/>
    <w:bookmarkEnd w:id="183"/>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Each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12.10. Termination; Survival.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Agreement shall terminate at such time as (a) all of the Commitments have been terminated, (b) none of the Lenders is obligated any longer under this Agreement to make any Loans and (c) all Obligations (other than obligations which survive as provided in the following sentence) have been paid and satisfied in full. The indemnities to which the Administrative Agent and the Lenders are entitled under the provisions of Sections 3.10., 4.1., 4.4., 11.6., 12.2. and 12.9. and any other provision of this Agreement and the other Loan Documents, and the provisions of Section 12.4.,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12.11. Severability of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or the other Loan Documents shall be determined by a court of competent jurisdiction to be invalid or unenforceable, that provision shall be deemed severed from the Loan Documents, and the validity, legality and enforceability of the remaining provisions shall remain in full force as though the invalid, illegal, or unenforceable provision had never been part of the Loan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12.12. GOVERNING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APPLICABLE TO CONTRACTS EXECUTED, AND TO BE FULLY PERFORMED, IN SUCH STATE, WITHOUT REGARD TO THE CONFLICTS OF LAW PRINCIPLES THEREOF THAT WOULD REQUIRE THE APPLICATION OF LAWS OF ANOTHER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- 107 -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12.13. Counterparts.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12.14. Obligations with Respect to Loan Parties and Subsidiaries.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any Borrower to direct or prohibit the taking of certain actions by the other Loan Parties and Subsidiaries as specified herein shall be absolute and not subject to any defense such Borrower may have that such Borrower does not control such Loan Parties or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12.15. Independence of Covenants.</w:t>
      </w:r>
    </w:p>
    <w:p>
      <w:pPr>
        <w:sectPr>
          <w:pgSz w:w="11900" w:h="16838" w:orient="portrait"/>
          <w:cols w:equalWidth="0" w:num="1">
            <w:col w:w="11240"/>
          </w:cols>
          <w:pgMar w:left="320" w:top="1440" w:right="339" w:bottom="1440" w:gutter="0" w:footer="0" w:header="0"/>
        </w:sectPr>
      </w:pPr>
    </w:p>
    <w:bookmarkStart w:id="184" w:name="page185"/>
    <w:bookmarkEnd w:id="1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covenants hereunder shall be given in any jurisdiction independent effect so that if a particular action or condition is not permitted by any of such covenants, the fact that it would be permitted by an exception to, or be otherwise within the limitations of, another covenant shall not avoid the occurrence of a Default or an Event of Default if such action is taken or condition exists.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12.16.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None of the Administrative Agent, the Sustainability Structuring Agent or any Lender, or any Affiliate, officer, director, employee, attorney, or agent of the Administrative Agent, the Sustainability Structuring Agent or any Lender shall have any liability with respect to, and each Borrower hereby waives, releases, and agrees not to sue any of them upon, any claim for any special, indirect, incidental, or consequential damages suffered or incurred by such Borrower in connection with, arising out of, or in any way related to, this Agreement, any of the other Loan Documents or any Fee Letter, or any of the transactions contemplated by this Agreement or any of the other Loan Documents. Each Borrower hereby waives, releases, and agrees not to sue the Administrative Agent or any Lender or any of the Administrative Agent’s, the Sustainability Structuring Agent’s or any Lender’s Affiliates, officers, directors, employees, attorneys, or agents for punitive damages in respect of any claim in connection with, arising out of, or in any way related to, this Agreement, any of the other Loan Documents, any Fee Letter, or any of the transactions contemplated by this Agreement or financed hereby.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12.17. Entire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- 108 -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12.18. Construction.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Administrative Agent, each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each Borrower and each Lender.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12.19. Headings.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paragraph and section headings in this Agreement are provided for convenience of reference only and shall not affect its construction or interpretation.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12.20. New York Mortgage.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The parties hereto acknowledge and agree that the Administrative Agent and the Lenders are accepting and will accept the benefits of the New York Mortgages as an accommodation to the Borrowers pursuant to the terms set forth herein.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Release of New York Mortgages</w:t>
      </w:r>
      <w:r>
        <w:rPr>
          <w:rFonts w:ascii="Times New Roman" w:cs="Times New Roman" w:eastAsia="Times New Roman" w:hAnsi="Times New Roman"/>
          <w:sz w:val="18"/>
          <w:szCs w:val="18"/>
          <w:color w:val="auto"/>
        </w:rPr>
        <w:t>. Notwithstanding any other provision of this Agreement or any other Loan Document to the contrary, including without limitation, Section 12.6., (i) upon the Borrower Representative’s written request and at the Borrowers’ sole cost and expense, the Administrative Agent shall release any or all of the New York Mortgages or assign any or all of the New York Mortgages to any Person requested by the Borrower Representative (any such assignment to be without recourse or warranty whatsoever) and (ii) the Administrative Agent may in its discretion, and shall at the direction of the Requisite Lenders, release any or all of the New York Mortgages so long as the Administrative Agent shall have given the Borrower Representative written</w:t>
      </w:r>
    </w:p>
    <w:p>
      <w:pPr>
        <w:sectPr>
          <w:pgSz w:w="11900" w:h="16838" w:orient="portrait"/>
          <w:cols w:equalWidth="0" w:num="1">
            <w:col w:w="11240"/>
          </w:cols>
          <w:pgMar w:left="320" w:top="1417" w:right="339" w:bottom="1440" w:gutter="0" w:footer="0" w:header="0"/>
        </w:sectPr>
      </w:pPr>
    </w:p>
    <w:bookmarkStart w:id="185" w:name="page186"/>
    <w:bookmarkEnd w:id="18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notice at least five (5) days’ prior to any such release;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Administrative Agent shall not be required to give any such prior notice to the Borrower Representative if the Administrative Agent, in its sole discretion, has determined that delay of such release would be detrimental to the Administrative Agent or the Lenders.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Indemnity</w:t>
      </w:r>
      <w:r>
        <w:rPr>
          <w:rFonts w:ascii="Times New Roman" w:cs="Times New Roman" w:eastAsia="Times New Roman" w:hAnsi="Times New Roman"/>
          <w:sz w:val="18"/>
          <w:szCs w:val="18"/>
          <w:color w:val="auto"/>
        </w:rPr>
        <w:t>. Not in limitation of any of the Borrowers’ obligations under Section 12.2. or 12.9., each Borrower shall and hereby jointly and severally agrees to indemnify, defend and hold harmless the Administrative Agent, each Lender and each other Indemnified Party from and against any and all losses, costs, claims,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incurred by an Indemnified Party in connection with, arising out of, or by reason of, any Indemnity Proceeding which is in any way related directly or indirectly to the failure of any Person to pay any recording tax payable pursuant to N.Y. Tax Law, Ch. 60, Art. 11, Sec. 253 et seq. or other Applicable Laws of the State of New York or any political subdivision of such State.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Assignment of New York Mortgages</w:t>
      </w:r>
      <w:r>
        <w:rPr>
          <w:rFonts w:ascii="Times New Roman" w:cs="Times New Roman" w:eastAsia="Times New Roman" w:hAnsi="Times New Roman"/>
          <w:sz w:val="18"/>
          <w:szCs w:val="18"/>
          <w:color w:val="auto"/>
        </w:rPr>
        <w:t>. In connection with the Administrative Agent’s and each Lender’s acceptance of the benefits of a New York Mortgage, the Parent shall cause to be delivered to the Administrative Agent and the Lenders each of the following, in form and substance satisfactory to the Administrative Agent:</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an assignment of the Indebtedness secured by such New York Mortgage executed and delivered by each holder of such Indebtedness;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- 109 -</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the originals (or if not available, copies) of each outstanding promissory note evidencing such Indebtedness, duly endorsed to the Administrative Agent, or its registered assignees;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a copy of such New York Mortgage, including all amendments thereto, showing all recording information thereon certified as true, correct and complete by an authorized officer of the SLGOP;</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an assignment of such New York Mortgage executed by each holder of such Indebtedness (or an authorized agent acting on behalf of each such holder);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a modification to such New York Mortgage executed by the applicable Borrowers or their Subsidiaries, such modification, among other things, to modify such New York Mortgage to provide that it secures such principal amounts of the Obligations as corresponds to the principal amount of Loans advanced hereunder in connection with the assignment of such New York Mortgage to the Administrative Agent;</w:t>
      </w:r>
    </w:p>
    <w:p>
      <w:pPr>
        <w:spacing w:after="0" w:line="176"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 xml:space="preserve">(vi)            a copy of any environmental assessment report on the Property subject to such New York Mortgage available to the Borrowers or any of their respective Subsidiaries, and if reasonably requested by the Administrative Agent, reliance letters from the environmental engineering firms performing such assessments addressed to the Administrative Agent and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if such a reliance letter is not provided, the Administrative Agent and the Lenders shall have no obligation to accept an assignment of such New York Mortgage; and</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(vii)            such other documents, agreements and instruments as the Administrative Agent on behalf of the Lenders may reasonably request.</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Each Borrower represents and warrants that none of the Properties encumbered by the New York Mortgages are located in areas determined by the Federal Emergency Management Agency to have special flood hazards. The Parent shall have notified the Administrative Agent (who will in turn notify the Lenders) at least fifteen</w:t>
      </w:r>
    </w:p>
    <w:p>
      <w:pPr>
        <w:sectPr>
          <w:pgSz w:w="11900" w:h="16838" w:orient="portrait"/>
          <w:cols w:equalWidth="0" w:num="1">
            <w:col w:w="11240"/>
          </w:cols>
          <w:pgMar w:left="320" w:top="1417" w:right="339" w:bottom="1440" w:gutter="0" w:footer="0" w:header="0"/>
        </w:sectPr>
      </w:pPr>
    </w:p>
    <w:bookmarkStart w:id="186" w:name="page187"/>
    <w:bookmarkEnd w:id="186"/>
    <w:p>
      <w:pPr>
        <w:ind w:firstLine="8"/>
        <w:spacing w:after="0" w:line="282" w:lineRule="auto"/>
        <w:tabs>
          <w:tab w:leader="none" w:pos="35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effecting the assignment of any New York Mortgage for the purposes of affording each Lenders at least fifteen (15) Business Days in which to complete flood due diligence with respect to the Property subject to such New York Mortgage.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In connection with any assignment or release of the New York Mortgages, each Lender shall, at the request of the Borrowers, be deemed to accept the repayment of, and immediately re-advance, its pro rata share of the amount of the Loans equal to the amount of the debt secured by the assigned or released New York Mortgage, as the case may be.</w:t>
      </w:r>
    </w:p>
    <w:p>
      <w:pPr>
        <w:spacing w:after="0" w:line="176"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(h)            Any increase, extension or renewal of the Loans hereunder shall be subject to flood due diligence and compliance with this Section 12.20. with respect to New York Mortgages which due diligence and compliance shall be reasonably satisfactory to each Lender. The Parent shall have notified the Administrative Agent (who will in turn notify the Lenders) at least fifteen (15) Business Days prior to any such increase, extension or renewal for the purposes of affording each Lenders at least fifteen (15) Business Days in which to complete flood due diligence with respect to the Properties subject to a New York Mortgage.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- 110 -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12.21.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12.22. Acknowledgement and Consent to Bail-In of Affected Financial Institutions.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12.23. Acknowledgement Regarding Any Supported QFCs.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To the extent that the Loan Documents </w:t>
      </w:r>
      <w:r>
        <w:rPr>
          <w:rFonts w:ascii="Times New Roman" w:cs="Times New Roman" w:eastAsia="Times New Roman" w:hAnsi="Times New Roman"/>
          <w:sz w:val="18"/>
          <w:szCs w:val="18"/>
          <w:u w:val="single" w:color="auto"/>
          <w:color w:val="auto"/>
        </w:rPr>
        <w:t>provide</w:t>
      </w:r>
      <w:r>
        <w:rPr>
          <w:rFonts w:ascii="Times New Roman" w:cs="Times New Roman" w:eastAsia="Times New Roman" w:hAnsi="Times New Roman"/>
          <w:sz w:val="18"/>
          <w:szCs w:val="18"/>
          <w:color w:val="auto"/>
        </w:rPr>
        <w:t xml:space="preserve"> support, through a guarantee or otherwise, for Derivative Contracts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w:t>
      </w:r>
    </w:p>
    <w:p>
      <w:pPr>
        <w:sectPr>
          <w:pgSz w:w="11900" w:h="16838" w:orient="portrait"/>
          <w:cols w:equalWidth="0" w:num="1">
            <w:col w:w="11240"/>
          </w:cols>
          <w:pgMar w:left="320" w:top="1417" w:right="339" w:bottom="1440" w:gutter="0" w:footer="0" w:header="0"/>
        </w:sectPr>
      </w:pPr>
    </w:p>
    <w:bookmarkStart w:id="187" w:name="page188"/>
    <w:bookmarkEnd w:id="187"/>
    <w:p>
      <w:pPr>
        <w:jc w:val="both"/>
        <w:spacing w:after="0" w:line="282" w:lineRule="auto"/>
        <w:rPr>
          <w:sz w:val="20"/>
          <w:szCs w:val="20"/>
          <w:color w:val="auto"/>
        </w:rPr>
      </w:pPr>
      <w:r>
        <w:rPr>
          <w:rFonts w:ascii="Times New Roman" w:cs="Times New Roman" w:eastAsia="Times New Roman" w:hAnsi="Times New Roman"/>
          <w:sz w:val="18"/>
          <w:szCs w:val="18"/>
          <w:color w:val="auto"/>
        </w:rPr>
        <w:t>the Loan Documents and any Supported QFC may in fact be stated to be governed by the laws of the State of New York and/or of the United States or any other state of the United States):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- 111 -</w:t>
      </w:r>
    </w:p>
    <w:p>
      <w:pPr>
        <w:spacing w:after="0" w:line="266" w:lineRule="exact"/>
        <w:rPr>
          <w:sz w:val="20"/>
          <w:szCs w:val="20"/>
          <w:color w:val="auto"/>
        </w:rPr>
      </w:pPr>
    </w:p>
    <w:p>
      <w:pPr>
        <w:ind w:left="1760" w:hanging="870"/>
        <w:spacing w:after="0"/>
        <w:tabs>
          <w:tab w:leader="none" w:pos="1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12.23, the following terms have the following meanings:</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66" w:lineRule="exact"/>
        <w:rPr>
          <w:sz w:val="20"/>
          <w:szCs w:val="20"/>
          <w:color w:val="auto"/>
        </w:rPr>
      </w:pPr>
    </w:p>
    <w:p>
      <w:pPr>
        <w:ind w:left="2620" w:hanging="866"/>
        <w:spacing w:after="0"/>
        <w:tabs>
          <w:tab w:leader="none" w:pos="2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346" w:lineRule="exact"/>
        <w:rPr>
          <w:rFonts w:ascii="Times New Roman" w:cs="Times New Roman" w:eastAsia="Times New Roman" w:hAnsi="Times New Roman"/>
          <w:sz w:val="18"/>
          <w:szCs w:val="18"/>
          <w:color w:val="auto"/>
        </w:rPr>
      </w:pPr>
    </w:p>
    <w:p>
      <w:pPr>
        <w:ind w:left="2620" w:hanging="866"/>
        <w:spacing w:after="0"/>
        <w:tabs>
          <w:tab w:leader="none" w:pos="2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360" w:lineRule="exact"/>
        <w:rPr>
          <w:rFonts w:ascii="Times New Roman" w:cs="Times New Roman" w:eastAsia="Times New Roman" w:hAnsi="Times New Roman"/>
          <w:sz w:val="18"/>
          <w:szCs w:val="18"/>
          <w:color w:val="auto"/>
        </w:rPr>
      </w:pPr>
    </w:p>
    <w:p>
      <w:pPr>
        <w:ind w:left="2620" w:hanging="866"/>
        <w:spacing w:after="0"/>
        <w:tabs>
          <w:tab w:leader="none" w:pos="2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320" w:lineRule="exact"/>
        <w:rPr>
          <w:sz w:val="20"/>
          <w:szCs w:val="20"/>
          <w:color w:val="auto"/>
        </w:rPr>
      </w:pPr>
    </w:p>
    <w:p>
      <w:pPr>
        <w:ind w:left="660"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- 112 -</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Term Loan Agreement to be executed by their authorized officers all as of the day and year first above written.</w:t>
      </w: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SL GREEN REALTY CORP.</w:t>
      </w:r>
    </w:p>
    <w:p>
      <w:pPr>
        <w:sectPr>
          <w:pgSz w:w="11900" w:h="16838" w:orient="portrait"/>
          <w:cols w:equalWidth="0" w:num="1">
            <w:col w:w="11240"/>
          </w:cols>
          <w:pgMar w:left="320" w:top="1417" w:right="339" w:bottom="1440" w:gutter="0" w:footer="0" w:header="0"/>
        </w:sectPr>
      </w:pPr>
    </w:p>
    <w:bookmarkStart w:id="188" w:name="page189"/>
    <w:bookmarkEnd w:id="188"/>
    <w:p>
      <w:pPr>
        <w:spacing w:after="0" w:line="18" w:lineRule="exact"/>
        <w:rPr>
          <w:sz w:val="20"/>
          <w:szCs w:val="20"/>
          <w:color w:val="auto"/>
        </w:rPr>
      </w:pPr>
    </w:p>
    <w:p>
      <w:pPr>
        <w:ind w:left="446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17145</wp:posOffset>
            </wp:positionV>
            <wp:extent cx="33089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Andrew S. Levine</w:t>
      </w:r>
    </w:p>
    <w:p>
      <w:pPr>
        <w:spacing w:after="0" w:line="27" w:lineRule="exact"/>
        <w:rPr>
          <w:sz w:val="20"/>
          <w:szCs w:val="20"/>
          <w:color w:val="auto"/>
        </w:rPr>
      </w:pPr>
    </w:p>
    <w:p>
      <w:pPr>
        <w:ind w:left="4920"/>
        <w:spacing w:after="0" w:line="234" w:lineRule="auto"/>
        <w:rPr>
          <w:sz w:val="20"/>
          <w:szCs w:val="20"/>
          <w:color w:val="auto"/>
        </w:rPr>
      </w:pPr>
      <w:r>
        <w:rPr>
          <w:rFonts w:ascii="Times New Roman" w:cs="Times New Roman" w:eastAsia="Times New Roman" w:hAnsi="Times New Roman"/>
          <w:sz w:val="18"/>
          <w:szCs w:val="18"/>
          <w:color w:val="auto"/>
        </w:rPr>
        <w:t>Title: Executive Vice President, Chief Legal Officer, General Counsel and Secretary</w:t>
      </w:r>
    </w:p>
    <w:p>
      <w:pPr>
        <w:spacing w:after="0" w:line="2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SL GREEN OPERATING PARTNERSHIP, L.P.</w:t>
      </w:r>
    </w:p>
    <w:p>
      <w:pPr>
        <w:spacing w:after="0" w:line="27" w:lineRule="exact"/>
        <w:rPr>
          <w:sz w:val="20"/>
          <w:szCs w:val="20"/>
          <w:color w:val="auto"/>
        </w:rPr>
      </w:pPr>
    </w:p>
    <w:p>
      <w:pPr>
        <w:ind w:left="446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SL Green Realty Corp.</w:t>
      </w:r>
    </w:p>
    <w:p>
      <w:pPr>
        <w:spacing w:after="0" w:line="234" w:lineRule="exact"/>
        <w:rPr>
          <w:sz w:val="20"/>
          <w:szCs w:val="20"/>
          <w:color w:val="auto"/>
        </w:rPr>
      </w:pPr>
    </w:p>
    <w:p>
      <w:pPr>
        <w:ind w:left="446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17145</wp:posOffset>
            </wp:positionV>
            <wp:extent cx="33089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Andrew S. Levine</w:t>
      </w:r>
    </w:p>
    <w:p>
      <w:pPr>
        <w:spacing w:after="0" w:line="27" w:lineRule="exact"/>
        <w:rPr>
          <w:sz w:val="20"/>
          <w:szCs w:val="20"/>
          <w:color w:val="auto"/>
        </w:rPr>
      </w:pPr>
    </w:p>
    <w:p>
      <w:pPr>
        <w:ind w:left="4920"/>
        <w:spacing w:after="0" w:line="234" w:lineRule="auto"/>
        <w:rPr>
          <w:sz w:val="20"/>
          <w:szCs w:val="20"/>
          <w:color w:val="auto"/>
        </w:rPr>
      </w:pPr>
      <w:r>
        <w:rPr>
          <w:rFonts w:ascii="Times New Roman" w:cs="Times New Roman" w:eastAsia="Times New Roman" w:hAnsi="Times New Roman"/>
          <w:sz w:val="18"/>
          <w:szCs w:val="18"/>
          <w:color w:val="auto"/>
        </w:rPr>
        <w:t>Title: Executive Vice President, Chief Legal Officer, General Counsel and Secretary</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7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WELLS FARGO BANK, NATIONAL ASSOCIATION, as Administrative</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Agent</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Peter Waschenko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Peter Waschenko</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0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7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MANUFACTURERS AND TRADERS TRUST COMPANY, as a Lender</w:t>
      </w: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Cameron Daboll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Cameron Daboll</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SVP/Director</w:t>
      </w:r>
    </w:p>
    <w:p>
      <w:pPr>
        <w:spacing w:after="0" w:line="31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BANK OF AMERICA, N.A., as a Lender</w:t>
      </w:r>
    </w:p>
    <w:p>
      <w:pPr>
        <w:sectPr>
          <w:pgSz w:w="11900" w:h="16838" w:orient="portrait"/>
          <w:cols w:equalWidth="0" w:num="1">
            <w:col w:w="10100"/>
          </w:cols>
          <w:pgMar w:left="1440" w:top="1440" w:right="359" w:bottom="1440" w:gutter="0" w:footer="0" w:header="0"/>
        </w:sectPr>
      </w:pPr>
    </w:p>
    <w:bookmarkStart w:id="189" w:name="page190"/>
    <w:bookmarkEnd w:id="189"/>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Dennis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Dennis Kwan</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JPMORGAN CHASE BANK, N.A., as a Lender</w:t>
      </w:r>
    </w:p>
    <w:p>
      <w:pPr>
        <w:spacing w:after="0" w:line="2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Cody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Cody Canafax</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TD BANK, N.A., as a Lender</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Gianna Gioia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Gianna Gioia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BANK OF MONTREAL. as a Lender</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Rebecca Liu Chabanon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Rebecca Liu Chabanon</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Director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ectPr>
          <w:pgSz w:w="11900" w:h="16838" w:orient="portrait"/>
          <w:cols w:equalWidth="0" w:num="1">
            <w:col w:w="9019"/>
          </w:cols>
          <w:pgMar w:left="1440" w:top="1440" w:right="1440" w:bottom="1440" w:gutter="0" w:footer="0" w:header="0"/>
        </w:sectPr>
      </w:pPr>
    </w:p>
    <w:bookmarkStart w:id="190" w:name="page191"/>
    <w:bookmarkEnd w:id="190"/>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BANK OF NEW YORK MELLON, as a Lender</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Cody Mainc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Cody Mainc</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Director</w:t>
      </w:r>
    </w:p>
    <w:p>
      <w:pPr>
        <w:spacing w:after="0" w:line="31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GOLDMAN SACHS BANK USA, as a Lender</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0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AGRICOLE CORPORATE AND INVESTMENT BANK, as 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Lender</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Amadou M. Diop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Amadou Diop</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David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David Bowers</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Title: MD</w:t>
      </w:r>
    </w:p>
    <w:p>
      <w:pPr>
        <w:spacing w:after="0" w:line="31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7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BANK OF EAST ASIA, NEW YORK BRANCH, as a Lender</w:t>
      </w: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By: /s/ Daniel Liao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191" w:name="page192"/>
    <w:bookmarkEnd w:id="19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3997325</wp:posOffset>
            </wp:positionH>
            <wp:positionV relativeFrom="page">
              <wp:posOffset>929005</wp:posOffset>
            </wp:positionV>
            <wp:extent cx="33432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8"/>
          <w:szCs w:val="18"/>
          <w:color w:val="auto"/>
        </w:rPr>
        <w:t>Name: Daniel Liao</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SVP</w:t>
      </w:r>
    </w:p>
    <w:p>
      <w:pPr>
        <w:spacing w:after="0" w:line="2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Paul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Paul Shen</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Title: VP</w:t>
      </w:r>
    </w:p>
    <w:p>
      <w:pPr>
        <w:spacing w:after="0" w:line="31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2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FIRST COMMERCIAL BANK, LTD., NEW YORK BRANCH, as a Lender</w:t>
      </w: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Chia-Feng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Chia-Feng Shen</w:t>
      </w:r>
    </w:p>
    <w:p>
      <w:pPr>
        <w:spacing w:after="0" w:line="27" w:lineRule="exact"/>
        <w:rPr>
          <w:sz w:val="20"/>
          <w:szCs w:val="20"/>
          <w:color w:val="auto"/>
        </w:rPr>
      </w:pPr>
    </w:p>
    <w:p>
      <w:pPr>
        <w:ind w:left="3160" w:right="1780" w:firstLine="1713"/>
        <w:spacing w:after="0" w:line="620" w:lineRule="auto"/>
        <w:rPr>
          <w:sz w:val="20"/>
          <w:szCs w:val="20"/>
          <w:color w:val="auto"/>
        </w:rPr>
      </w:pPr>
      <w:r>
        <w:rPr>
          <w:rFonts w:ascii="Times New Roman" w:cs="Times New Roman" w:eastAsia="Times New Roman" w:hAnsi="Times New Roman"/>
          <w:sz w:val="18"/>
          <w:szCs w:val="18"/>
          <w:color w:val="auto"/>
        </w:rPr>
        <w:t>Title: Senior Vice President &amp; General Manager [Signatures Continued on Next Page]</w:t>
      </w:r>
    </w:p>
    <w:p>
      <w:pPr>
        <w:spacing w:after="0" w:line="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to Term Loan Agreement with</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40" w:type="dxa"/>
            <w:vAlign w:val="bottom"/>
            <w:gridSpan w:val="8"/>
          </w:tcPr>
          <w:p>
            <w:pPr>
              <w:ind w:left="920"/>
              <w:spacing w:after="0"/>
              <w:rPr>
                <w:sz w:val="20"/>
                <w:szCs w:val="20"/>
                <w:color w:val="auto"/>
              </w:rPr>
            </w:pPr>
            <w:r>
              <w:rPr>
                <w:rFonts w:ascii="Times New Roman" w:cs="Times New Roman" w:eastAsia="Times New Roman" w:hAnsi="Times New Roman"/>
                <w:sz w:val="18"/>
                <w:szCs w:val="18"/>
                <w:color w:val="auto"/>
              </w:rPr>
              <w:t>TAIWAN BUSINESS BANK, as a Lender</w:t>
            </w:r>
          </w:p>
        </w:tc>
        <w:tc>
          <w:tcPr>
            <w:tcW w:w="0" w:type="dxa"/>
            <w:vAlign w:val="bottom"/>
          </w:tcPr>
          <w:p>
            <w:pPr>
              <w:spacing w:after="0"/>
              <w:rPr>
                <w:sz w:val="1"/>
                <w:szCs w:val="1"/>
                <w:color w:val="auto"/>
              </w:rPr>
            </w:pPr>
          </w:p>
        </w:tc>
      </w:tr>
      <w:tr>
        <w:trPr>
          <w:trHeight w:val="445"/>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By: /s/ Ralph Wu</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6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Name: Ralph Wu</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Title: General Manager</w:t>
            </w:r>
          </w:p>
        </w:tc>
        <w:tc>
          <w:tcPr>
            <w:tcW w:w="0" w:type="dxa"/>
            <w:vAlign w:val="bottom"/>
          </w:tcPr>
          <w:p>
            <w:pPr>
              <w:spacing w:after="0"/>
              <w:rPr>
                <w:sz w:val="1"/>
                <w:szCs w:val="1"/>
                <w:color w:val="auto"/>
              </w:rPr>
            </w:pPr>
          </w:p>
        </w:tc>
      </w:tr>
      <w:tr>
        <w:trPr>
          <w:trHeight w:val="527"/>
        </w:trPr>
        <w:tc>
          <w:tcPr>
            <w:tcW w:w="5740" w:type="dxa"/>
            <w:vAlign w:val="bottom"/>
            <w:gridSpan w:val="7"/>
          </w:tcPr>
          <w:p>
            <w:pPr>
              <w:jc w:val="center"/>
              <w:ind w:left="2850"/>
              <w:spacing w:after="0"/>
              <w:rPr>
                <w:sz w:val="20"/>
                <w:szCs w:val="20"/>
                <w:color w:val="auto"/>
              </w:rPr>
            </w:pPr>
            <w:r>
              <w:rPr>
                <w:rFonts w:ascii="Times New Roman" w:cs="Times New Roman" w:eastAsia="Times New Roman" w:hAnsi="Times New Roman"/>
                <w:sz w:val="18"/>
                <w:szCs w:val="18"/>
                <w:color w:val="auto"/>
                <w:w w:val="99"/>
              </w:rPr>
              <w:t>[Signatures Continued on Next Page]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5"/>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260" w:type="dxa"/>
            <w:vAlign w:val="bottom"/>
          </w:tcPr>
          <w:p>
            <w:pPr>
              <w:spacing w:after="0"/>
              <w:rPr>
                <w:sz w:val="24"/>
                <w:szCs w:val="24"/>
                <w:color w:val="auto"/>
              </w:rPr>
            </w:pPr>
          </w:p>
        </w:tc>
        <w:tc>
          <w:tcPr>
            <w:tcW w:w="2480" w:type="dxa"/>
            <w:vAlign w:val="bottom"/>
            <w:gridSpan w:val="6"/>
          </w:tcPr>
          <w:p>
            <w:pPr>
              <w:jc w:val="center"/>
              <w:ind w:right="210"/>
              <w:spacing w:after="0"/>
              <w:rPr>
                <w:sz w:val="20"/>
                <w:szCs w:val="20"/>
                <w:color w:val="auto"/>
              </w:rPr>
            </w:pPr>
            <w:r>
              <w:rPr>
                <w:rFonts w:ascii="Times New Roman" w:cs="Times New Roman" w:eastAsia="Times New Roman" w:hAnsi="Times New Roman"/>
                <w:sz w:val="18"/>
                <w:szCs w:val="18"/>
                <w:color w:val="auto"/>
                <w:w w:val="99"/>
              </w:rPr>
              <w:t>Term Loan Commitments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4"/>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0" w:type="dxa"/>
            <w:vAlign w:val="bottom"/>
          </w:tcPr>
          <w:p>
            <w:pPr>
              <w:spacing w:after="0"/>
              <w:rPr>
                <w:sz w:val="1"/>
                <w:szCs w:val="1"/>
                <w:color w:val="auto"/>
              </w:rPr>
            </w:pPr>
          </w:p>
        </w:tc>
      </w:tr>
      <w:tr>
        <w:trPr>
          <w:trHeight w:val="270"/>
        </w:trPr>
        <w:tc>
          <w:tcPr>
            <w:tcW w:w="3260" w:type="dxa"/>
            <w:vAlign w:val="bottom"/>
            <w:vMerge w:val="restart"/>
          </w:tcPr>
          <w:p>
            <w:pPr>
              <w:ind w:left="23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2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95"/>
        </w:trPr>
        <w:tc>
          <w:tcPr>
            <w:tcW w:w="326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2060" w:type="dxa"/>
            <w:vAlign w:val="bottom"/>
            <w:gridSpan w:val="4"/>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83,250,037.58</w:t>
            </w:r>
          </w:p>
        </w:tc>
        <w:tc>
          <w:tcPr>
            <w:tcW w:w="100" w:type="dxa"/>
            <w:vAlign w:val="bottom"/>
            <w:shd w:val="clear" w:color="auto" w:fill="CCEEFF"/>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24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83,250,037.58</w:t>
            </w: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w:t>
            </w:r>
          </w:p>
        </w:tc>
        <w:tc>
          <w:tcPr>
            <w:tcW w:w="2480" w:type="dxa"/>
            <w:vAlign w:val="bottom"/>
            <w:gridSpan w:val="6"/>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83,250,037.58</w:t>
            </w:r>
          </w:p>
        </w:tc>
        <w:tc>
          <w:tcPr>
            <w:tcW w:w="100" w:type="dxa"/>
            <w:vAlign w:val="bottom"/>
            <w:shd w:val="clear" w:color="auto" w:fill="CCEEFF"/>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TD Bank N.A.</w:t>
            </w:r>
          </w:p>
        </w:tc>
        <w:tc>
          <w:tcPr>
            <w:tcW w:w="24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83,250,037.58</w:t>
            </w: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Manufacturers and Traders Trust Company</w:t>
            </w:r>
          </w:p>
        </w:tc>
        <w:tc>
          <w:tcPr>
            <w:tcW w:w="2480" w:type="dxa"/>
            <w:vAlign w:val="bottom"/>
            <w:gridSpan w:val="6"/>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82,486,275.88</w:t>
            </w:r>
          </w:p>
        </w:tc>
        <w:tc>
          <w:tcPr>
            <w:tcW w:w="100" w:type="dxa"/>
            <w:vAlign w:val="bottom"/>
            <w:shd w:val="clear" w:color="auto" w:fill="CCEEFF"/>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1440" w:top="1440" w:right="339" w:bottom="1440" w:gutter="0" w:footer="0" w:header="0"/>
        </w:sectPr>
      </w:pPr>
    </w:p>
    <w:bookmarkStart w:id="192" w:name="page193"/>
    <w:bookmarkEnd w:id="192"/>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79,125,723.81</w:t>
            </w:r>
          </w:p>
        </w:tc>
        <w:tc>
          <w:tcPr>
            <w:tcW w:w="100" w:type="dxa"/>
            <w:vAlign w:val="bottom"/>
          </w:tcPr>
          <w:p>
            <w:pPr>
              <w:spacing w:after="0"/>
              <w:rPr>
                <w:sz w:val="20"/>
                <w:szCs w:val="20"/>
                <w:color w:val="auto"/>
              </w:rPr>
            </w:pP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66,355,626.30</w:t>
            </w:r>
          </w:p>
        </w:tc>
        <w:tc>
          <w:tcPr>
            <w:tcW w:w="100" w:type="dxa"/>
            <w:vAlign w:val="bottom"/>
            <w:shd w:val="clear" w:color="auto" w:fill="CCEEFF"/>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66,294,525.35</w:t>
            </w:r>
          </w:p>
        </w:tc>
        <w:tc>
          <w:tcPr>
            <w:tcW w:w="100" w:type="dxa"/>
            <w:vAlign w:val="bottom"/>
          </w:tcPr>
          <w:p>
            <w:pPr>
              <w:spacing w:after="0"/>
              <w:rPr>
                <w:sz w:val="19"/>
                <w:szCs w:val="19"/>
                <w:color w:val="auto"/>
              </w:rPr>
            </w:pPr>
          </w:p>
        </w:tc>
      </w:tr>
      <w:tr>
        <w:trPr>
          <w:trHeight w:val="22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59,756,724.23</w:t>
            </w:r>
          </w:p>
        </w:tc>
        <w:tc>
          <w:tcPr>
            <w:tcW w:w="100" w:type="dxa"/>
            <w:vAlign w:val="bottom"/>
            <w:shd w:val="clear" w:color="auto" w:fill="CCEEFF"/>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Bank of East Asia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53,571,428.57</w:t>
            </w:r>
          </w:p>
        </w:tc>
        <w:tc>
          <w:tcPr>
            <w:tcW w:w="100" w:type="dxa"/>
            <w:vAlign w:val="bottom"/>
          </w:tcPr>
          <w:p>
            <w:pPr>
              <w:spacing w:after="0"/>
              <w:rPr>
                <w:sz w:val="19"/>
                <w:szCs w:val="19"/>
                <w:color w:val="auto"/>
              </w:rPr>
            </w:pPr>
          </w:p>
        </w:tc>
      </w:tr>
      <w:tr>
        <w:trPr>
          <w:trHeight w:val="22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Commercial Bank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4,704,772.77</w:t>
            </w:r>
          </w:p>
        </w:tc>
        <w:tc>
          <w:tcPr>
            <w:tcW w:w="100" w:type="dxa"/>
            <w:vAlign w:val="bottom"/>
            <w:shd w:val="clear" w:color="auto" w:fill="CCEEFF"/>
          </w:tcPr>
          <w:p>
            <w:pPr>
              <w:spacing w:after="0"/>
              <w:rPr>
                <w:sz w:val="19"/>
                <w:szCs w:val="19"/>
                <w:color w:val="auto"/>
              </w:rPr>
            </w:pPr>
          </w:p>
        </w:tc>
      </w:tr>
      <w:tr>
        <w:trPr>
          <w:trHeight w:val="22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Taiwan Business Bank</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4,704,772.77</w:t>
            </w:r>
          </w:p>
        </w:tc>
        <w:tc>
          <w:tcPr>
            <w:tcW w:w="100" w:type="dxa"/>
            <w:vAlign w:val="bottom"/>
            <w:tcBorders>
              <w:bottom w:val="single" w:sz="8" w:color="CCEEFF"/>
            </w:tcBorders>
          </w:tcPr>
          <w:p>
            <w:pPr>
              <w:spacing w:after="0"/>
              <w:rPr>
                <w:sz w:val="19"/>
                <w:szCs w:val="19"/>
                <w:color w:val="auto"/>
              </w:rPr>
            </w:pPr>
          </w:p>
        </w:tc>
      </w:tr>
      <w:tr>
        <w:trPr>
          <w:trHeight w:val="22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750,000,000.00</w:t>
            </w:r>
          </w:p>
        </w:tc>
        <w:tc>
          <w:tcPr>
            <w:tcW w:w="100" w:type="dxa"/>
            <w:vAlign w:val="bottom"/>
            <w:shd w:val="clear" w:color="auto" w:fill="CCEEFF"/>
          </w:tcPr>
          <w:p>
            <w:pPr>
              <w:spacing w:after="0"/>
              <w:rPr>
                <w:sz w:val="19"/>
                <w:szCs w:val="19"/>
                <w:color w:val="auto"/>
              </w:rPr>
            </w:pPr>
          </w:p>
        </w:tc>
      </w:tr>
    </w:tbl>
    <w:p>
      <w:pPr>
        <w:sectPr>
          <w:pgSz w:w="11900" w:h="16838" w:orient="portrait"/>
          <w:cols w:equalWidth="0" w:num="1">
            <w:col w:w="9019"/>
          </w:cols>
          <w:pgMar w:left="1440" w:top="1440"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AMENDMENT TO TERM LOAN AGREEMENT</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FIRST AMENDMENT TO TERM LOAN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dated as of March 18, 2026, by and among SL GREEN REALTY CORP., a corporation formed under the laws of the State of Maryland (the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and SL GREEN OPERATING PARTNERSHIP, L.P., a limited partnership formed under the laws of the State of Delaware (“</w:t>
      </w:r>
      <w:r>
        <w:rPr>
          <w:rFonts w:ascii="Times New Roman" w:cs="Times New Roman" w:eastAsia="Times New Roman" w:hAnsi="Times New Roman"/>
          <w:sz w:val="20"/>
          <w:szCs w:val="20"/>
          <w:b w:val="1"/>
          <w:bCs w:val="1"/>
          <w:color w:val="auto"/>
        </w:rPr>
        <w:t>SLGOP</w:t>
      </w:r>
      <w:r>
        <w:rPr>
          <w:rFonts w:ascii="Times New Roman" w:cs="Times New Roman" w:eastAsia="Times New Roman" w:hAnsi="Times New Roman"/>
          <w:sz w:val="20"/>
          <w:szCs w:val="20"/>
          <w:color w:val="auto"/>
        </w:rPr>
        <w:t>”; together with the Parent,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each of the Lenders party hereto, WELLS FARGO BANK, NATIONAL ASSOCIATION, as Administrative Agent (the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and the other parties hereto.</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Borrowers, the Lenders and the Administrative Agent have entered into that certain Term Loan Agreement, dated as of November 19, 2024 (as so amended or otherwise modified and as in effect immediately prior to the effectiveness of this Amendment, the “</w:t>
      </w:r>
      <w:r>
        <w:rPr>
          <w:rFonts w:ascii="Times New Roman" w:cs="Times New Roman" w:eastAsia="Times New Roman" w:hAnsi="Times New Roman"/>
          <w:sz w:val="20"/>
          <w:szCs w:val="20"/>
          <w:b w:val="1"/>
          <w:bCs w:val="1"/>
          <w:color w:val="auto"/>
        </w:rPr>
        <w:t>Term Loan Agreement</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Borrowers, the Lenders and the Administrative Agent desire to amend certain provisions of the Term Loan Agreement on and subject to the terms and conditions contained herein;</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by the parties hereto, the parties hereto agree as follows:</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Specific Amendments to Term Loan Agreement</w:t>
      </w:r>
      <w:r>
        <w:rPr>
          <w:rFonts w:ascii="Times New Roman" w:cs="Times New Roman" w:eastAsia="Times New Roman" w:hAnsi="Times New Roman"/>
          <w:sz w:val="20"/>
          <w:szCs w:val="20"/>
          <w:color w:val="auto"/>
        </w:rPr>
        <w:t>. Upon the effectiveness of this Amendment, the parties hereto agree that the Term Loan Agreement shall be amended as follows:</w:t>
      </w:r>
    </w:p>
    <w:p>
      <w:pPr>
        <w:spacing w:after="0" w:line="133" w:lineRule="exact"/>
        <w:rPr>
          <w:sz w:val="20"/>
          <w:szCs w:val="20"/>
          <w:color w:val="auto"/>
        </w:rPr>
      </w:pPr>
    </w:p>
    <w:p>
      <w:pPr>
        <w:jc w:val="both"/>
        <w:ind w:firstLine="656"/>
        <w:spacing w:after="0" w:line="261" w:lineRule="auto"/>
        <w:tabs>
          <w:tab w:leader="none" w:pos="115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Loan Agreement is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underlined text (indicated textually in the same manner as the following example: </w:t>
      </w:r>
      <w:r>
        <w:rPr>
          <w:rFonts w:ascii="Times New Roman" w:cs="Times New Roman" w:eastAsia="Times New Roman" w:hAnsi="Times New Roman"/>
          <w:sz w:val="20"/>
          <w:szCs w:val="20"/>
          <w:u w:val="single" w:color="auto"/>
          <w:color w:val="0101FF"/>
        </w:rPr>
        <w:t>underlined text</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w:t>
      </w:r>
    </w:p>
    <w:p>
      <w:pPr>
        <w:spacing w:after="0" w:line="15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Loan Agreement is further amended by replacing Exhibit O with </w:t>
      </w:r>
      <w:r>
        <w:rPr>
          <w:rFonts w:ascii="Times New Roman" w:cs="Times New Roman" w:eastAsia="Times New Roman" w:hAnsi="Times New Roman"/>
          <w:sz w:val="20"/>
          <w:szCs w:val="20"/>
          <w:u w:val="single" w:color="auto"/>
          <w:color w:val="auto"/>
        </w:rPr>
        <w:t>Exhibit O</w:t>
      </w:r>
      <w:r>
        <w:rPr>
          <w:rFonts w:ascii="Times New Roman" w:cs="Times New Roman" w:eastAsia="Times New Roman" w:hAnsi="Times New Roman"/>
          <w:sz w:val="20"/>
          <w:szCs w:val="20"/>
          <w:color w:val="auto"/>
        </w:rPr>
        <w:t>,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-10795</wp:posOffset>
            </wp:positionV>
            <wp:extent cx="31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9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effectiveness of this Amendment is subject to the satisfaction of the following conditions precedent:</w:t>
      </w:r>
    </w:p>
    <w:p>
      <w:pPr>
        <w:spacing w:after="0" w:line="146" w:lineRule="exact"/>
        <w:rPr>
          <w:sz w:val="20"/>
          <w:szCs w:val="20"/>
          <w:color w:val="auto"/>
        </w:rPr>
      </w:pPr>
    </w:p>
    <w:p>
      <w:pPr>
        <w:ind w:firstLine="656"/>
        <w:spacing w:after="0" w:line="283" w:lineRule="auto"/>
        <w:tabs>
          <w:tab w:leader="none" w:pos="117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duly executed by SLGOP, the Parent, the Administrative Agent, and the Lenders;</w:t>
      </w:r>
    </w:p>
    <w:p>
      <w:pPr>
        <w:spacing w:after="0" w:line="13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Compliance Certificate for the Parent calculated on a pro forma basis for the Parent’s fiscal quarter ended December 31, 2025;</w:t>
      </w:r>
    </w:p>
    <w:p>
      <w:pPr>
        <w:spacing w:after="0" w:line="213" w:lineRule="exact"/>
        <w:rPr>
          <w:rFonts w:ascii="Times New Roman" w:cs="Times New Roman" w:eastAsia="Times New Roman" w:hAnsi="Times New Roman"/>
          <w:sz w:val="19"/>
          <w:szCs w:val="19"/>
          <w:color w:val="auto"/>
        </w:rPr>
      </w:pPr>
    </w:p>
    <w:p>
      <w:pPr>
        <w:jc w:val="both"/>
        <w:ind w:right="20" w:firstLine="656"/>
        <w:spacing w:after="0" w:line="268" w:lineRule="auto"/>
        <w:tabs>
          <w:tab w:leader="none" w:pos="112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Fees, if any, then due and payable under Section 3.5. of the Term Loan Agreement, together with all other fees, expenses and reimbursement amounts due and payable to the Administrative Agent and any of the Lenders, including without limitation, the fees and expenses of counsel to the Administrative Agent, have been paid; and</w:t>
      </w:r>
    </w:p>
    <w:p>
      <w:pPr>
        <w:spacing w:after="0" w:line="14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instruments and agreements as the Administrative Agent may reasonably request.</w:t>
      </w:r>
    </w:p>
    <w:p>
      <w:pPr>
        <w:spacing w:after="0" w:line="22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Each Borrower represents and warrants to the Administrative Agent and the Lenders that:</w:t>
      </w:r>
    </w:p>
    <w:p>
      <w:pPr>
        <w:sectPr>
          <w:pgSz w:w="11900" w:h="16838" w:orient="portrait"/>
          <w:cols w:equalWidth="0" w:num="1">
            <w:col w:w="11240"/>
          </w:cols>
          <w:pgMar w:left="320" w:top="112" w:right="339" w:bottom="1440" w:gutter="0" w:footer="0" w:header="0"/>
        </w:sectPr>
      </w:pPr>
    </w:p>
    <w:bookmarkStart w:id="194" w:name="page195"/>
    <w:bookmarkEnd w:id="194"/>
    <w:p>
      <w:pPr>
        <w:spacing w:after="0" w:line="176" w:lineRule="exact"/>
        <w:rPr>
          <w:sz w:val="20"/>
          <w:szCs w:val="20"/>
          <w:color w:val="auto"/>
        </w:rPr>
      </w:pPr>
    </w:p>
    <w:p>
      <w:pPr>
        <w:jc w:val="both"/>
        <w:ind w:firstLine="656"/>
        <w:spacing w:after="0" w:line="251" w:lineRule="auto"/>
        <w:tabs>
          <w:tab w:leader="none" w:pos="107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Each Borrower has the right and power, and has taken all necessary action to authorize, execute and deliver this Amendment and to perform its obligations hereunder, and under the Term Loan Agreement, as amended by this Amendment, in accordance with their respective terms. This Amendment has been duly executed and delivered by a duly authorized officer of each Borrower and each of this Amendment and the Term Loan Agreement, as amended by this Amendment, is a legal, valid and binding obligation of each Borrower enforceable against it in accordance with its respective terms except as (i) the enforceability thereof may be limited by bankruptcy, insolvency or similar laws affecting creditors’ rights generally and (ii) the availability of equitable remedies may be limited by equitable principles of general applicability.</w:t>
      </w:r>
    </w:p>
    <w:p>
      <w:pPr>
        <w:spacing w:after="0" w:line="16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3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 etc.</w:t>
      </w:r>
      <w:r>
        <w:rPr>
          <w:rFonts w:ascii="Times New Roman" w:cs="Times New Roman" w:eastAsia="Times New Roman" w:hAnsi="Times New Roman"/>
          <w:sz w:val="20"/>
          <w:szCs w:val="20"/>
          <w:color w:val="auto"/>
        </w:rPr>
        <w:t xml:space="preserve"> The execution and delivery by each Borrower of this Amendment and the performance by each Borrower of this Amendment and the Term Loan Agreement, as amended by this Amendment, in accordance with their respective terms, do not and will not, by the passage of time, the giving of notice or otherwise: (i) require any Government Approvals or violate any Applicable Laws (including Environmental Laws) relating to any Borrower; (ii) conflict with, result in a breach of or constitute a default under the organizational documents of any Borrower, or any indenture, agreement or other instrument to which any Borrower is a party or by which it or any of its respective properties may be bound; and (iii) result in or require the creation or imposition of any Lien upon or with respect to any property now owned or hereafter acquired by any Borrower.</w:t>
      </w:r>
    </w:p>
    <w:p>
      <w:pPr>
        <w:spacing w:after="0" w:line="165" w:lineRule="exact"/>
        <w:rPr>
          <w:rFonts w:ascii="Times New Roman" w:cs="Times New Roman" w:eastAsia="Times New Roman" w:hAnsi="Times New Roman"/>
          <w:sz w:val="20"/>
          <w:szCs w:val="20"/>
          <w:color w:val="auto"/>
        </w:rPr>
      </w:pPr>
    </w:p>
    <w:p>
      <w:pPr>
        <w:ind w:firstLine="656"/>
        <w:spacing w:after="0" w:line="283" w:lineRule="auto"/>
        <w:tabs>
          <w:tab w:leader="none" w:pos="107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has occurred and is continuing as of the date hereof or will exist immediately after giving effect to this Amendment.</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Reaffirmation of Representations by Borrowers</w:t>
      </w:r>
      <w:r>
        <w:rPr>
          <w:rFonts w:ascii="Times New Roman" w:cs="Times New Roman" w:eastAsia="Times New Roman" w:hAnsi="Times New Roman"/>
          <w:sz w:val="20"/>
          <w:szCs w:val="20"/>
          <w:color w:val="auto"/>
        </w:rPr>
        <w:t>. Each Borrower hereby repeats and reaffirms all representations and warranties made by such Borrower to the Administrative Agent and the Lenders in the Term Loan Agreement and the other Loan Documents to which it is a party on and as of the date hereof with the same force and effect as if such representations and warranties were set forth in this Amendment in full.</w:t>
      </w: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Certain References</w:t>
      </w:r>
      <w:r>
        <w:rPr>
          <w:rFonts w:ascii="Times New Roman" w:cs="Times New Roman" w:eastAsia="Times New Roman" w:hAnsi="Times New Roman"/>
          <w:sz w:val="20"/>
          <w:szCs w:val="20"/>
          <w:color w:val="auto"/>
        </w:rPr>
        <w:t>. Each reference to the Term Loan Agreement in any of the Loan Documents shall be deemed to be a reference to the Term Loan Agreement as amended by this Amendment.</w:t>
      </w:r>
    </w:p>
    <w:p>
      <w:pPr>
        <w:spacing w:after="0" w:line="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Borrowers shall reimburse the Administrative Agent upon demand for all reasonable out-of-pocket costs and expenses (including reasonable fees and disbursements of counsel) incurred by the Administrative Agent in connection with the preparation, negotiation and execution of this Amendment and the other agreements and documents executed and delivered in connection herewith.</w:t>
      </w:r>
    </w:p>
    <w:p>
      <w:pPr>
        <w:spacing w:after="0" w:line="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This Amendment shall be binding upon and shall inure to the benefit of the parties hereto and their respective successors and assigns.</w:t>
      </w: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AND CONSTRUED IN ACCORDANCE WITH, THE LAWS OF THE STATE OF NEW YORK APPLICABLE TO CONTRACTS EXECUTED, AND TO BE FULLY PERFORMED, IN SUCH STATE.</w:t>
      </w:r>
    </w:p>
    <w:p>
      <w:pPr>
        <w:spacing w:after="0" w:line="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Effect</w:t>
      </w:r>
      <w:r>
        <w:rPr>
          <w:rFonts w:ascii="Times New Roman" w:cs="Times New Roman" w:eastAsia="Times New Roman" w:hAnsi="Times New Roman"/>
          <w:sz w:val="20"/>
          <w:szCs w:val="20"/>
          <w:color w:val="auto"/>
        </w:rPr>
        <w:t>. Except as expressly herein amended, the terms and conditions of the Term Loan Agreement and the other Loan Documents remain in full force and effect. The amendments contained herein shall be deemed to have prospective application only.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nor constitute a course of conduct or dealing among the parties. The Administrative Agent and the Lenders reserve all rights, privileges and remedies under the Loan Documents. Nothing in this Amendment is intended, or shall be construed,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240"/>
          </w:cols>
          <w:pgMar w:left="320" w:top="1440" w:right="339" w:bottom="1440" w:gutter="0" w:footer="0" w:header="0"/>
        </w:sectPr>
      </w:pPr>
    </w:p>
    <w:bookmarkStart w:id="195" w:name="page196"/>
    <w:bookmarkEnd w:id="195"/>
    <w:p>
      <w:pPr>
        <w:jc w:val="both"/>
        <w:spacing w:after="0" w:line="258" w:lineRule="auto"/>
        <w:rPr>
          <w:sz w:val="20"/>
          <w:szCs w:val="20"/>
          <w:color w:val="auto"/>
        </w:rPr>
      </w:pPr>
      <w:r>
        <w:rPr>
          <w:rFonts w:ascii="Times New Roman" w:cs="Times New Roman" w:eastAsia="Times New Roman" w:hAnsi="Times New Roman"/>
          <w:sz w:val="20"/>
          <w:szCs w:val="20"/>
          <w:color w:val="auto"/>
        </w:rPr>
        <w:t>constitute a novation or an accord and satisfaction of any of the Obligations. On and after the effectiveness of this Amendment, this Amendment shall constitute a Loan Document.</w:t>
      </w: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constitutes the entire agreement and understanding among the parties hereto with respect to the subject matter hereof and supersedes any and all prior agreements and understandings, oral or written, relating to the subject matter hereof.</w:t>
      </w:r>
    </w:p>
    <w:p>
      <w:pPr>
        <w:spacing w:after="0" w:line="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to be an original and shall be binding upon all parties, their successors and assigns. This Amendment may be executed by any electronic means, including “pdf”.</w:t>
      </w:r>
    </w:p>
    <w:p>
      <w:pPr>
        <w:spacing w:after="0" w:line="3"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All capitalized terms not otherwise defined herein are used herein with the respective definitions given them in the Term Loan Agreement, as amended by this Amendment.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- 3 -</w:t>
      </w:r>
    </w:p>
    <w:p>
      <w:pPr>
        <w:sectPr>
          <w:pgSz w:w="11900" w:h="16838" w:orient="portrait"/>
          <w:cols w:equalWidth="0" w:num="1">
            <w:col w:w="11240"/>
          </w:cols>
          <w:pgMar w:left="320" w:top="1413" w:right="339" w:bottom="1440" w:gutter="0" w:footer="0" w:header="0"/>
        </w:sectPr>
      </w:pPr>
    </w:p>
    <w:bookmarkStart w:id="196" w:name="page197"/>
    <w:bookmarkEnd w:id="196"/>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First Amendment to Term Loan Agreement to be executed as of the date first above written.</w:t>
      </w: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BORROWERS:</w:t>
      </w:r>
    </w:p>
    <w:p>
      <w:pPr>
        <w:spacing w:after="0" w:line="3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00" w:lineRule="exact"/>
        <w:rPr>
          <w:sz w:val="20"/>
          <w:szCs w:val="20"/>
          <w:color w:val="auto"/>
        </w:rPr>
      </w:pPr>
    </w:p>
    <w:p>
      <w:pPr>
        <w:spacing w:after="0" w:line="20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-10795</wp:posOffset>
            </wp:positionV>
            <wp:extent cx="11931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Andrew S. Levine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Executive Vice President, Chief Legal</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Officer, General Counsel and Secretary</w:t>
      </w:r>
    </w:p>
    <w:p>
      <w:pPr>
        <w:spacing w:after="0" w:line="3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SL GREEN OPERATING PARTNERSHIP, L.P.</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SL Green Realty Corp.</w:t>
      </w:r>
    </w:p>
    <w:p>
      <w:pPr>
        <w:spacing w:after="0" w:line="200" w:lineRule="exact"/>
        <w:rPr>
          <w:sz w:val="20"/>
          <w:szCs w:val="20"/>
          <w:color w:val="auto"/>
        </w:rPr>
      </w:pPr>
    </w:p>
    <w:p>
      <w:pPr>
        <w:spacing w:after="0" w:line="20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-10795</wp:posOffset>
            </wp:positionV>
            <wp:extent cx="11931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Andrew S. Levine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Executive Vice President, Chief Legal</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20" w:top="1413" w:right="359" w:bottom="1440" w:gutter="0" w:footer="0" w:header="0"/>
        </w:sectPr>
      </w:pPr>
    </w:p>
    <w:bookmarkStart w:id="197" w:name="page198"/>
    <w:bookmarkEnd w:id="197"/>
    <w:p>
      <w:pPr>
        <w:spacing w:after="0" w:line="172" w:lineRule="exact"/>
        <w:rPr>
          <w:sz w:val="20"/>
          <w:szCs w:val="20"/>
          <w:color w:val="auto"/>
        </w:rPr>
      </w:pPr>
    </w:p>
    <w:p>
      <w:pPr>
        <w:jc w:val="both"/>
        <w:ind w:left="2600" w:right="2560" w:hanging="26"/>
        <w:spacing w:after="0" w:line="300" w:lineRule="auto"/>
        <w:rPr>
          <w:sz w:val="20"/>
          <w:szCs w:val="20"/>
          <w:color w:val="auto"/>
        </w:rPr>
      </w:pPr>
      <w:r>
        <w:rPr>
          <w:rFonts w:ascii="Times New Roman" w:cs="Times New Roman" w:eastAsia="Times New Roman" w:hAnsi="Times New Roman"/>
          <w:sz w:val="19"/>
          <w:szCs w:val="19"/>
          <w:b w:val="1"/>
          <w:bCs w:val="1"/>
          <w:color w:val="auto"/>
        </w:rPr>
        <w:t>[Signature Page to First Amendment to Term Loan Agreement with SL Green Realty Corp. and SL Green Operating Partnership, L.P.]</w:t>
      </w:r>
    </w:p>
    <w:p>
      <w:pPr>
        <w:spacing w:after="0" w:line="30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 and as a Lender</w:t>
      </w:r>
    </w:p>
    <w:p>
      <w:pPr>
        <w:spacing w:after="0" w:line="318" w:lineRule="exact"/>
        <w:rPr>
          <w:sz w:val="20"/>
          <w:szCs w:val="20"/>
          <w:color w:val="auto"/>
        </w:rPr>
      </w:pPr>
    </w:p>
    <w:p>
      <w:pPr>
        <w:ind w:left="3700"/>
        <w:spacing w:after="0"/>
        <w:tabs>
          <w:tab w:leader="none" w:pos="4200" w:val="left"/>
        </w:tabs>
        <w:rPr>
          <w:sz w:val="20"/>
          <w:szCs w:val="20"/>
          <w:color w:val="auto"/>
        </w:rPr>
      </w:pPr>
      <w:r>
        <w:rPr>
          <w:rFonts w:ascii="Times New Roman" w:cs="Times New Roman" w:eastAsia="Times New Roman" w:hAnsi="Times New Roman"/>
          <w:sz w:val="20"/>
          <w:szCs w:val="20"/>
          <w:color w:val="auto"/>
        </w:rPr>
        <w:t>By:</w:t>
        <w:tab/>
        <w:t>/s/ Peter Waschenko</w:t>
      </w:r>
    </w:p>
    <w:p>
      <w:pPr>
        <w:ind w:left="3700"/>
        <w:spacing w:after="0" w:line="211" w:lineRule="auto"/>
        <w:rPr>
          <w:sz w:val="20"/>
          <w:szCs w:val="20"/>
          <w:color w:val="auto"/>
        </w:rPr>
      </w:pPr>
      <w:r>
        <w:rPr>
          <w:rFonts w:ascii="Times New Roman" w:cs="Times New Roman" w:eastAsia="Times New Roman" w:hAnsi="Times New Roman"/>
          <w:sz w:val="20"/>
          <w:szCs w:val="20"/>
          <w:color w:val="auto"/>
        </w:rPr>
        <w:t>Name: Peter Waschenko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-127000</wp:posOffset>
            </wp:positionV>
            <wp:extent cx="11410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ind w:left="37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0840"/>
          </w:cols>
          <w:pgMar w:left="520" w:top="1440" w:right="539" w:bottom="1440" w:gutter="0" w:footer="0" w:header="0"/>
        </w:sectPr>
      </w:pPr>
    </w:p>
    <w:bookmarkStart w:id="198" w:name="page199"/>
    <w:bookmarkEnd w:id="198"/>
    <w:p>
      <w:pPr>
        <w:spacing w:after="0" w:line="172" w:lineRule="exact"/>
        <w:rPr>
          <w:sz w:val="20"/>
          <w:szCs w:val="20"/>
          <w:color w:val="auto"/>
        </w:rPr>
      </w:pPr>
    </w:p>
    <w:p>
      <w:pPr>
        <w:jc w:val="both"/>
        <w:ind w:left="2600" w:right="1659" w:hanging="26"/>
        <w:spacing w:after="0" w:line="300" w:lineRule="auto"/>
        <w:rPr>
          <w:sz w:val="20"/>
          <w:szCs w:val="20"/>
          <w:color w:val="auto"/>
        </w:rPr>
      </w:pPr>
      <w:r>
        <w:rPr>
          <w:rFonts w:ascii="Times New Roman" w:cs="Times New Roman" w:eastAsia="Times New Roman" w:hAnsi="Times New Roman"/>
          <w:sz w:val="19"/>
          <w:szCs w:val="19"/>
          <w:b w:val="1"/>
          <w:bCs w:val="1"/>
          <w:color w:val="auto"/>
        </w:rPr>
        <w:t>[Signature Page to First Amendment to Term Loan Agreement with SL Green Realty Corp. and SL Green Operating Partnership, L.P.]</w:t>
      </w:r>
    </w:p>
    <w:p>
      <w:pPr>
        <w:spacing w:after="0" w:line="3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386" w:lineRule="exact"/>
        <w:rPr>
          <w:sz w:val="20"/>
          <w:szCs w:val="20"/>
          <w:color w:val="auto"/>
        </w:rPr>
      </w:pPr>
    </w:p>
    <w:p>
      <w:pPr>
        <w:ind w:left="3700"/>
        <w:spacing w:after="0"/>
        <w:tabs>
          <w:tab w:leader="none" w:pos="4200" w:val="left"/>
        </w:tabs>
        <w:rPr>
          <w:sz w:val="20"/>
          <w:szCs w:val="20"/>
          <w:color w:val="auto"/>
        </w:rPr>
      </w:pPr>
      <w:r>
        <w:rPr>
          <w:rFonts w:ascii="Times New Roman" w:cs="Times New Roman" w:eastAsia="Times New Roman" w:hAnsi="Times New Roman"/>
          <w:sz w:val="20"/>
          <w:szCs w:val="20"/>
          <w:color w:val="auto"/>
        </w:rPr>
        <w:t>By:</w:t>
        <w:tab/>
        <w:t>/s/ Dennis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-7620</wp:posOffset>
            </wp:positionV>
            <wp:extent cx="9632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ind w:left="3700"/>
        <w:spacing w:after="0" w:line="197" w:lineRule="auto"/>
        <w:rPr>
          <w:sz w:val="20"/>
          <w:szCs w:val="20"/>
          <w:color w:val="auto"/>
        </w:rPr>
      </w:pPr>
      <w:r>
        <w:rPr>
          <w:rFonts w:ascii="Times New Roman" w:cs="Times New Roman" w:eastAsia="Times New Roman" w:hAnsi="Times New Roman"/>
          <w:sz w:val="20"/>
          <w:szCs w:val="20"/>
          <w:color w:val="auto"/>
        </w:rPr>
        <w:t>Name: Dennis Kwan</w:t>
      </w:r>
    </w:p>
    <w:p>
      <w:pPr>
        <w:jc w:val="center"/>
        <w:ind w:right="359"/>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9939"/>
          </w:cols>
          <w:pgMar w:left="520" w:top="1440" w:right="1440" w:bottom="1440" w:gutter="0" w:footer="0" w:header="0"/>
        </w:sectPr>
      </w:pPr>
    </w:p>
    <w:bookmarkStart w:id="199" w:name="page200"/>
    <w:bookmarkEnd w:id="199"/>
    <w:p>
      <w:pPr>
        <w:spacing w:after="0" w:line="172" w:lineRule="exact"/>
        <w:rPr>
          <w:sz w:val="20"/>
          <w:szCs w:val="20"/>
          <w:color w:val="auto"/>
        </w:rPr>
      </w:pPr>
    </w:p>
    <w:p>
      <w:pPr>
        <w:jc w:val="both"/>
        <w:ind w:left="2600" w:right="1659" w:hanging="26"/>
        <w:spacing w:after="0" w:line="300" w:lineRule="auto"/>
        <w:rPr>
          <w:sz w:val="20"/>
          <w:szCs w:val="20"/>
          <w:color w:val="auto"/>
        </w:rPr>
      </w:pPr>
      <w:r>
        <w:rPr>
          <w:rFonts w:ascii="Times New Roman" w:cs="Times New Roman" w:eastAsia="Times New Roman" w:hAnsi="Times New Roman"/>
          <w:sz w:val="19"/>
          <w:szCs w:val="19"/>
          <w:b w:val="1"/>
          <w:bCs w:val="1"/>
          <w:color w:val="auto"/>
        </w:rPr>
        <w:t>[Signature Page to First Amendment to Term Loan Agreement with SL Green Realty Corp. and SL Green Operating Partnership, L.P.]</w:t>
      </w:r>
    </w:p>
    <w:p>
      <w:pPr>
        <w:spacing w:after="0" w:line="3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BANK OF MONTREAL, as a Lender</w:t>
      </w:r>
    </w:p>
    <w:p>
      <w:pPr>
        <w:spacing w:after="0" w:line="200" w:lineRule="exact"/>
        <w:rPr>
          <w:sz w:val="20"/>
          <w:szCs w:val="20"/>
          <w:color w:val="auto"/>
        </w:rPr>
      </w:pPr>
    </w:p>
    <w:p>
      <w:pPr>
        <w:spacing w:after="0" w:line="205" w:lineRule="exact"/>
        <w:rPr>
          <w:sz w:val="20"/>
          <w:szCs w:val="20"/>
          <w:color w:val="auto"/>
        </w:rPr>
      </w:pPr>
    </w:p>
    <w:p>
      <w:pPr>
        <w:ind w:left="3700"/>
        <w:spacing w:after="0"/>
        <w:tabs>
          <w:tab w:leader="none" w:pos="4200" w:val="left"/>
        </w:tabs>
        <w:rPr>
          <w:sz w:val="20"/>
          <w:szCs w:val="20"/>
          <w:color w:val="auto"/>
        </w:rPr>
      </w:pPr>
      <w:r>
        <w:rPr>
          <w:rFonts w:ascii="Times New Roman" w:cs="Times New Roman" w:eastAsia="Times New Roman" w:hAnsi="Times New Roman"/>
          <w:sz w:val="20"/>
          <w:szCs w:val="20"/>
          <w:color w:val="auto"/>
        </w:rPr>
        <w:t>By:</w:t>
        <w:tab/>
        <w:t>/s/ Rebecca Liu Chabanon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-10795</wp:posOffset>
            </wp:positionV>
            <wp:extent cx="14478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Name: Rebecca Liu Chabanon</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9939"/>
          </w:cols>
          <w:pgMar w:left="520" w:top="1440" w:right="1440" w:bottom="1440" w:gutter="0" w:footer="0" w:header="0"/>
        </w:sectPr>
      </w:pPr>
    </w:p>
    <w:bookmarkStart w:id="200" w:name="page201"/>
    <w:bookmarkEnd w:id="200"/>
    <w:p>
      <w:pPr>
        <w:spacing w:after="0" w:line="172" w:lineRule="exact"/>
        <w:rPr>
          <w:sz w:val="20"/>
          <w:szCs w:val="20"/>
          <w:color w:val="auto"/>
        </w:rPr>
      </w:pPr>
    </w:p>
    <w:p>
      <w:pPr>
        <w:jc w:val="both"/>
        <w:ind w:left="1680" w:right="1659" w:hanging="26"/>
        <w:spacing w:after="0" w:line="300" w:lineRule="auto"/>
        <w:rPr>
          <w:sz w:val="20"/>
          <w:szCs w:val="20"/>
          <w:color w:val="auto"/>
        </w:rPr>
      </w:pPr>
      <w:r>
        <w:rPr>
          <w:rFonts w:ascii="Times New Roman" w:cs="Times New Roman" w:eastAsia="Times New Roman" w:hAnsi="Times New Roman"/>
          <w:sz w:val="19"/>
          <w:szCs w:val="19"/>
          <w:b w:val="1"/>
          <w:bCs w:val="1"/>
          <w:color w:val="auto"/>
        </w:rPr>
        <w:t>[Signature Page to First Amendment to Term Loan Agreement with SL Green Realty Corp. and SL Green Operating Partnership, L.P.]</w:t>
      </w:r>
    </w:p>
    <w:p>
      <w:pPr>
        <w:spacing w:after="0" w:line="3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TD BANK, N.A., as a Lender</w:t>
      </w:r>
    </w:p>
    <w:p>
      <w:pPr>
        <w:spacing w:after="0" w:line="200" w:lineRule="exact"/>
        <w:rPr>
          <w:sz w:val="20"/>
          <w:szCs w:val="20"/>
          <w:color w:val="auto"/>
        </w:rPr>
      </w:pPr>
    </w:p>
    <w:p>
      <w:pPr>
        <w:spacing w:after="0" w:line="20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Gianna Gioia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948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Gianna Gioia</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9019"/>
          </w:cols>
          <w:pgMar w:left="1440" w:top="1440" w:right="1440"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AMENDED TERM LOAN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9019"/>
          </w:cols>
          <w:pgMar w:left="1440" w:top="1409" w:right="1440"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Loan Number: 0000059563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u w:val="single" w:color="auto"/>
          <w:color w:val="0101FF"/>
        </w:rPr>
        <w:t>Conformed through First Amendment dated as of 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132715</wp:posOffset>
            </wp:positionV>
            <wp:extent cx="608330" cy="6172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08330" cy="6172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981710</wp:posOffset>
            </wp:positionV>
            <wp:extent cx="71323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1033145</wp:posOffset>
            </wp:positionV>
            <wp:extent cx="713232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TERM LOAN AGREEMENT</w:t>
      </w:r>
    </w:p>
    <w:p>
      <w:pPr>
        <w:spacing w:after="0" w:line="20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Dated as of November 19, 2024</w:t>
      </w:r>
    </w:p>
    <w:p>
      <w:pPr>
        <w:spacing w:after="0" w:line="2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by and among</w:t>
      </w:r>
    </w:p>
    <w:p>
      <w:pPr>
        <w:spacing w:after="0" w:line="2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Each of</w:t>
      </w:r>
    </w:p>
    <w:p>
      <w:pPr>
        <w:spacing w:after="0" w:line="20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SL GREEN OPERATING PARTNERSHIP, L.P.,</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 Borrower,</w:t>
      </w:r>
    </w:p>
    <w:p>
      <w:pPr>
        <w:spacing w:after="0" w:line="1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THE FINANCIAL INSTITUTIONS PARTY HERETO</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 THEIR ASSIGNEES UNDER SECTION 12.5.,</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Lenders,</w:t>
      </w:r>
    </w:p>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8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BOFA SECURITIES, INC. and</w:t>
      </w:r>
    </w:p>
    <w:p>
      <w:pPr>
        <w:spacing w:after="0" w:line="1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BMO CAPITAL MARKETS CORP.,</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1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20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BANK OF AMERICA, N.A. and</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BANK OF MONTREAL</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201930</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58"/>
        </w:trPr>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8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auto"/>
              </w:rPr>
              <w:t>TABLE OF CONTENTS</w:t>
            </w:r>
          </w:p>
        </w:tc>
      </w:tr>
      <w:tr>
        <w:trPr>
          <w:trHeight w:val="432"/>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Article I. Definitions  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2"/>
        </w:trPr>
        <w:tc>
          <w:tcPr>
            <w:tcW w:w="266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1.1. Definitions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2"/>
        </w:trPr>
        <w:tc>
          <w:tcPr>
            <w:tcW w:w="4800" w:type="dxa"/>
            <w:vAlign w:val="bottom"/>
            <w:gridSpan w:val="16"/>
          </w:tcPr>
          <w:p>
            <w:pPr>
              <w:ind w:left="660"/>
              <w:spacing w:after="0" w:line="212" w:lineRule="exact"/>
              <w:rPr>
                <w:sz w:val="20"/>
                <w:szCs w:val="20"/>
                <w:color w:val="auto"/>
              </w:rPr>
            </w:pPr>
            <w:r>
              <w:rPr>
                <w:rFonts w:ascii="Times New Roman" w:cs="Times New Roman" w:eastAsia="Times New Roman" w:hAnsi="Times New Roman"/>
                <w:sz w:val="20"/>
                <w:szCs w:val="20"/>
                <w:color w:val="auto"/>
              </w:rPr>
              <w:t>Section 1.2. General; References to Eastern Time.</w:t>
            </w:r>
          </w:p>
        </w:tc>
        <w:tc>
          <w:tcPr>
            <w:tcW w:w="2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89"/>
              </w:rPr>
              <w:t>34</w:t>
            </w:r>
          </w:p>
        </w:tc>
        <w:tc>
          <w:tcPr>
            <w:tcW w:w="200" w:type="dxa"/>
            <w:vAlign w:val="bottom"/>
            <w:tcBorders>
              <w:bottom w:val="single" w:sz="8" w:color="0101FF"/>
            </w:tcBorders>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0101FF"/>
                <w:w w:val="89"/>
              </w:rPr>
              <w:t>37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2660" w:type="dxa"/>
            <w:vAlign w:val="bottom"/>
            <w:gridSpan w:val="5"/>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1.3. Divisions.</w:t>
            </w:r>
          </w:p>
        </w:tc>
        <w:tc>
          <w:tcPr>
            <w:tcW w:w="1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34</w:t>
            </w:r>
          </w:p>
        </w:tc>
        <w:tc>
          <w:tcPr>
            <w:tcW w:w="320" w:type="dxa"/>
            <w:vAlign w:val="bottom"/>
            <w:gridSpan w:val="4"/>
          </w:tcPr>
          <w:p>
            <w:pPr>
              <w:jc w:val="right"/>
              <w:ind w:right="120"/>
              <w:spacing w:after="0" w:line="223" w:lineRule="exact"/>
              <w:rPr>
                <w:sz w:val="20"/>
                <w:szCs w:val="20"/>
                <w:color w:val="auto"/>
              </w:rPr>
            </w:pPr>
            <w:r>
              <w:rPr>
                <w:rFonts w:ascii="Times New Roman" w:cs="Times New Roman" w:eastAsia="Times New Roman" w:hAnsi="Times New Roman"/>
                <w:sz w:val="20"/>
                <w:szCs w:val="20"/>
                <w:color w:val="0101FF"/>
                <w:w w:val="89"/>
              </w:rPr>
              <w:t>38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2180" w:type="dxa"/>
            <w:vAlign w:val="bottom"/>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1.4. Rates.</w:t>
            </w:r>
          </w:p>
        </w:tc>
        <w:tc>
          <w:tcPr>
            <w:tcW w:w="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35</w:t>
            </w:r>
          </w:p>
        </w:tc>
        <w:tc>
          <w:tcPr>
            <w:tcW w:w="200" w:type="dxa"/>
            <w:vAlign w:val="bottom"/>
            <w:tcBorders>
              <w:bottom w:val="single" w:sz="8" w:color="0101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38</w:t>
            </w:r>
          </w:p>
        </w:tc>
        <w:tc>
          <w:tcPr>
            <w:tcW w:w="120" w:type="dxa"/>
            <w:vAlign w:val="bottom"/>
          </w:tcPr>
          <w:p>
            <w:pPr>
              <w:spacing w:after="0"/>
              <w:rPr>
                <w:sz w:val="19"/>
                <w:szCs w:val="19"/>
                <w:color w:val="auto"/>
              </w:rPr>
            </w:pPr>
          </w:p>
        </w:tc>
        <w:tc>
          <w:tcPr>
            <w:tcW w:w="120" w:type="dxa"/>
            <w:vAlign w:val="bottom"/>
            <w:tcBorders>
              <w:top w:val="single" w:sz="8" w:color="0101FF"/>
            </w:tcBorders>
          </w:tcPr>
          <w:p>
            <w:pPr>
              <w:spacing w:after="0"/>
              <w:rPr>
                <w:sz w:val="19"/>
                <w:szCs w:val="19"/>
                <w:color w:val="auto"/>
              </w:rPr>
            </w:pPr>
          </w:p>
        </w:tc>
        <w:tc>
          <w:tcPr>
            <w:tcW w:w="80" w:type="dxa"/>
            <w:vAlign w:val="bottom"/>
            <w:tcBorders>
              <w:top w:val="single" w:sz="8" w:color="0101FF"/>
            </w:tcBorders>
          </w:tcPr>
          <w:p>
            <w:pPr>
              <w:spacing w:after="0"/>
              <w:rPr>
                <w:sz w:val="19"/>
                <w:szCs w:val="19"/>
                <w:color w:val="auto"/>
              </w:rPr>
            </w:pPr>
          </w:p>
        </w:tc>
        <w:tc>
          <w:tcPr>
            <w:tcW w:w="20" w:type="dxa"/>
            <w:vAlign w:val="bottom"/>
            <w:tcBorders>
              <w:top w:val="single" w:sz="8" w:color="0101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9"/>
        </w:trPr>
        <w:tc>
          <w:tcPr>
            <w:tcW w:w="5760" w:type="dxa"/>
            <w:vAlign w:val="bottom"/>
            <w:gridSpan w:val="22"/>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1.5. Financial Attributes of Unconsolidated Affiliates.</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35</w:t>
            </w:r>
          </w:p>
        </w:tc>
        <w:tc>
          <w:tcPr>
            <w:tcW w:w="660" w:type="dxa"/>
            <w:vAlign w:val="bottom"/>
            <w:gridSpan w:val="2"/>
          </w:tcPr>
          <w:p>
            <w:pPr>
              <w:jc w:val="right"/>
              <w:ind w:right="460"/>
              <w:spacing w:after="0" w:line="209" w:lineRule="exact"/>
              <w:rPr>
                <w:sz w:val="20"/>
                <w:szCs w:val="20"/>
                <w:color w:val="auto"/>
              </w:rPr>
            </w:pPr>
            <w:r>
              <w:rPr>
                <w:rFonts w:ascii="Times New Roman" w:cs="Times New Roman" w:eastAsia="Times New Roman" w:hAnsi="Times New Roman"/>
                <w:sz w:val="20"/>
                <w:szCs w:val="20"/>
                <w:color w:val="0101FF"/>
                <w:w w:val="89"/>
              </w:rPr>
              <w:t>38</w:t>
            </w:r>
          </w:p>
        </w:tc>
      </w:tr>
      <w:tr>
        <w:trPr>
          <w:trHeight w:val="331"/>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Article II.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35</w:t>
            </w:r>
          </w:p>
        </w:tc>
        <w:tc>
          <w:tcPr>
            <w:tcW w:w="200" w:type="dxa"/>
            <w:vAlign w:val="bottom"/>
            <w:tcBorders>
              <w:bottom w:val="single" w:sz="8" w:color="0101FF"/>
            </w:tcBorders>
            <w:gridSpan w:val="2"/>
          </w:tcPr>
          <w:p>
            <w:pPr>
              <w:jc w:val="right"/>
              <w:spacing w:after="0"/>
              <w:rPr>
                <w:sz w:val="20"/>
                <w:szCs w:val="20"/>
                <w:color w:val="auto"/>
              </w:rPr>
            </w:pPr>
            <w:r>
              <w:rPr>
                <w:rFonts w:ascii="Times New Roman" w:cs="Times New Roman" w:eastAsia="Times New Roman" w:hAnsi="Times New Roman"/>
                <w:sz w:val="20"/>
                <w:szCs w:val="20"/>
                <w:color w:val="0101FF"/>
                <w:w w:val="89"/>
              </w:rPr>
              <w:t>39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0101FF"/>
            </w:tcBorders>
          </w:tcPr>
          <w:p>
            <w:pPr>
              <w:spacing w:after="0"/>
              <w:rPr>
                <w:sz w:val="24"/>
                <w:szCs w:val="24"/>
                <w:color w:val="auto"/>
              </w:rPr>
            </w:pPr>
          </w:p>
        </w:tc>
        <w:tc>
          <w:tcPr>
            <w:tcW w:w="460" w:type="dxa"/>
            <w:vAlign w:val="bottom"/>
          </w:tcPr>
          <w:p>
            <w:pPr>
              <w:spacing w:after="0"/>
              <w:rPr>
                <w:sz w:val="24"/>
                <w:szCs w:val="24"/>
                <w:color w:val="auto"/>
              </w:rPr>
            </w:pPr>
          </w:p>
        </w:tc>
      </w:tr>
      <w:tr>
        <w:trPr>
          <w:trHeight w:val="318"/>
        </w:trPr>
        <w:tc>
          <w:tcPr>
            <w:tcW w:w="266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2.1. [Reserved].</w:t>
            </w:r>
          </w:p>
        </w:tc>
        <w:tc>
          <w:tcPr>
            <w:tcW w:w="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35</w:t>
            </w:r>
          </w:p>
        </w:tc>
        <w:tc>
          <w:tcPr>
            <w:tcW w:w="200" w:type="dxa"/>
            <w:vAlign w:val="bottom"/>
            <w:tcBorders>
              <w:bottom w:val="single" w:sz="8" w:color="0101FF"/>
            </w:tcBorders>
            <w:gridSpan w:val="3"/>
          </w:tcPr>
          <w:p>
            <w:pPr>
              <w:jc w:val="right"/>
              <w:spacing w:after="0"/>
              <w:rPr>
                <w:sz w:val="20"/>
                <w:szCs w:val="20"/>
                <w:color w:val="auto"/>
              </w:rPr>
            </w:pPr>
            <w:r>
              <w:rPr>
                <w:rFonts w:ascii="Times New Roman" w:cs="Times New Roman" w:eastAsia="Times New Roman" w:hAnsi="Times New Roman"/>
                <w:sz w:val="20"/>
                <w:szCs w:val="20"/>
                <w:color w:val="0101FF"/>
                <w:w w:val="89"/>
              </w:rPr>
              <w:t>39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3"/>
        </w:trPr>
        <w:tc>
          <w:tcPr>
            <w:tcW w:w="2840" w:type="dxa"/>
            <w:vAlign w:val="bottom"/>
            <w:gridSpan w:val="7"/>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2.2. Term Loans.</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35</w:t>
            </w:r>
          </w:p>
        </w:tc>
        <w:tc>
          <w:tcPr>
            <w:tcW w:w="200" w:type="dxa"/>
            <w:vAlign w:val="bottom"/>
            <w:tcBorders>
              <w:bottom w:val="single" w:sz="8" w:color="0101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39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spacing w:after="0"/>
              <w:rPr>
                <w:sz w:val="19"/>
                <w:szCs w:val="19"/>
                <w:color w:val="auto"/>
              </w:rPr>
            </w:pPr>
          </w:p>
        </w:tc>
        <w:tc>
          <w:tcPr>
            <w:tcW w:w="2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spacing w:after="0"/>
              <w:rPr>
                <w:sz w:val="19"/>
                <w:szCs w:val="19"/>
                <w:color w:val="auto"/>
              </w:rPr>
            </w:pPr>
          </w:p>
        </w:tc>
      </w:tr>
      <w:tr>
        <w:trPr>
          <w:trHeight w:val="223"/>
        </w:trPr>
        <w:tc>
          <w:tcPr>
            <w:tcW w:w="2660" w:type="dxa"/>
            <w:vAlign w:val="bottom"/>
            <w:gridSpan w:val="5"/>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2.3. [Reserved].</w:t>
            </w:r>
          </w:p>
        </w:tc>
        <w:tc>
          <w:tcPr>
            <w:tcW w:w="60" w:type="dxa"/>
            <w:vAlign w:val="bottom"/>
          </w:tcPr>
          <w:p>
            <w:pPr>
              <w:spacing w:after="0"/>
              <w:rPr>
                <w:sz w:val="19"/>
                <w:szCs w:val="19"/>
                <w:color w:val="auto"/>
              </w:rPr>
            </w:pPr>
          </w:p>
        </w:tc>
        <w:tc>
          <w:tcPr>
            <w:tcW w:w="2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36</w:t>
            </w:r>
          </w:p>
        </w:tc>
        <w:tc>
          <w:tcPr>
            <w:tcW w:w="200" w:type="dxa"/>
            <w:vAlign w:val="bottom"/>
            <w:tcBorders>
              <w:bottom w:val="single" w:sz="8" w:color="0101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40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2660" w:type="dxa"/>
            <w:vAlign w:val="bottom"/>
            <w:gridSpan w:val="5"/>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2.4. [Reserved].</w:t>
            </w:r>
          </w:p>
        </w:tc>
        <w:tc>
          <w:tcPr>
            <w:tcW w:w="60" w:type="dxa"/>
            <w:vAlign w:val="bottom"/>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36</w:t>
            </w:r>
          </w:p>
        </w:tc>
        <w:tc>
          <w:tcPr>
            <w:tcW w:w="200" w:type="dxa"/>
            <w:vAlign w:val="bottom"/>
            <w:tcBorders>
              <w:bottom w:val="single" w:sz="8" w:color="0101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101FF"/>
                <w:w w:val="89"/>
              </w:rPr>
              <w:t>40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2660" w:type="dxa"/>
            <w:vAlign w:val="bottom"/>
            <w:gridSpan w:val="5"/>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2.5. [Reserved].</w:t>
            </w:r>
          </w:p>
        </w:tc>
        <w:tc>
          <w:tcPr>
            <w:tcW w:w="60" w:type="dxa"/>
            <w:vAlign w:val="bottom"/>
          </w:tcPr>
          <w:p>
            <w:pPr>
              <w:spacing w:after="0"/>
              <w:rPr>
                <w:sz w:val="19"/>
                <w:szCs w:val="19"/>
                <w:color w:val="auto"/>
              </w:rPr>
            </w:pPr>
          </w:p>
        </w:tc>
        <w:tc>
          <w:tcPr>
            <w:tcW w:w="2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36</w:t>
            </w:r>
          </w:p>
        </w:tc>
        <w:tc>
          <w:tcPr>
            <w:tcW w:w="200" w:type="dxa"/>
            <w:vAlign w:val="bottom"/>
            <w:tcBorders>
              <w:bottom w:val="single" w:sz="8" w:color="0101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40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5040" w:type="dxa"/>
            <w:vAlign w:val="bottom"/>
            <w:gridSpan w:val="18"/>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2.6. Rates and Payment of Interest on Loans.</w:t>
            </w:r>
          </w:p>
        </w:tc>
        <w:tc>
          <w:tcPr>
            <w:tcW w:w="2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36</w:t>
            </w:r>
          </w:p>
        </w:tc>
        <w:tc>
          <w:tcPr>
            <w:tcW w:w="1380" w:type="dxa"/>
            <w:vAlign w:val="bottom"/>
            <w:gridSpan w:val="5"/>
          </w:tcPr>
          <w:p>
            <w:pPr>
              <w:jc w:val="right"/>
              <w:ind w:right="1180"/>
              <w:spacing w:after="0" w:line="209" w:lineRule="exact"/>
              <w:rPr>
                <w:sz w:val="20"/>
                <w:szCs w:val="20"/>
                <w:color w:val="auto"/>
              </w:rPr>
            </w:pPr>
            <w:r>
              <w:rPr>
                <w:rFonts w:ascii="Times New Roman" w:cs="Times New Roman" w:eastAsia="Times New Roman" w:hAnsi="Times New Roman"/>
                <w:sz w:val="20"/>
                <w:szCs w:val="20"/>
                <w:color w:val="0101FF"/>
                <w:w w:val="89"/>
              </w:rPr>
              <w:t>40</w:t>
            </w:r>
          </w:p>
        </w:tc>
      </w:tr>
      <w:tr>
        <w:trPr>
          <w:trHeight w:val="223"/>
        </w:trPr>
        <w:tc>
          <w:tcPr>
            <w:tcW w:w="4040" w:type="dxa"/>
            <w:vAlign w:val="bottom"/>
            <w:gridSpan w:val="13"/>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2.7. Number of Interest Periods.</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37</w:t>
            </w:r>
          </w:p>
        </w:tc>
        <w:tc>
          <w:tcPr>
            <w:tcW w:w="200" w:type="dxa"/>
            <w:vAlign w:val="bottom"/>
            <w:tcBorders>
              <w:bottom w:val="single" w:sz="8" w:color="0101FF"/>
            </w:tcBorders>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41</w:t>
            </w:r>
          </w:p>
        </w:tc>
        <w:tc>
          <w:tcPr>
            <w:tcW w:w="800" w:type="dxa"/>
            <w:vAlign w:val="bottom"/>
            <w:gridSpan w:val="5"/>
          </w:tcPr>
          <w:p>
            <w:pPr>
              <w:spacing w:after="0"/>
              <w:rPr>
                <w:sz w:val="19"/>
                <w:szCs w:val="19"/>
                <w:color w:val="auto"/>
              </w:rPr>
            </w:pPr>
          </w:p>
        </w:tc>
        <w:tc>
          <w:tcPr>
            <w:tcW w:w="200" w:type="dxa"/>
            <w:vAlign w:val="bottom"/>
            <w:tcBorders>
              <w:top w:val="single" w:sz="8" w:color="0101FF"/>
            </w:tcBorders>
          </w:tcPr>
          <w:p>
            <w:pPr>
              <w:spacing w:after="0"/>
              <w:rPr>
                <w:sz w:val="19"/>
                <w:szCs w:val="19"/>
                <w:color w:val="auto"/>
              </w:rPr>
            </w:pPr>
          </w:p>
        </w:tc>
        <w:tc>
          <w:tcPr>
            <w:tcW w:w="1180" w:type="dxa"/>
            <w:vAlign w:val="bottom"/>
            <w:gridSpan w:val="4"/>
          </w:tcPr>
          <w:p>
            <w:pPr>
              <w:spacing w:after="0"/>
              <w:rPr>
                <w:sz w:val="19"/>
                <w:szCs w:val="19"/>
                <w:color w:val="auto"/>
              </w:rPr>
            </w:pPr>
          </w:p>
        </w:tc>
      </w:tr>
    </w:tbl>
    <w:p>
      <w:pPr>
        <w:spacing w:after="0" w:line="18" w:lineRule="exact"/>
        <w:rPr>
          <w:sz w:val="20"/>
          <w:szCs w:val="20"/>
          <w:color w:val="auto"/>
        </w:rPr>
      </w:pPr>
    </w:p>
    <w:p>
      <w:pPr>
        <w:ind w:left="660"/>
        <w:spacing w:after="0"/>
        <w:tabs>
          <w:tab w:leader="none" w:pos="3520" w:val="left"/>
        </w:tabs>
        <w:rPr>
          <w:sz w:val="20"/>
          <w:szCs w:val="20"/>
          <w:color w:val="auto"/>
        </w:rPr>
      </w:pPr>
      <w:r>
        <w:rPr>
          <w:rFonts w:ascii="Times New Roman" w:cs="Times New Roman" w:eastAsia="Times New Roman" w:hAnsi="Times New Roman"/>
          <w:sz w:val="20"/>
          <w:szCs w:val="20"/>
          <w:color w:val="auto"/>
        </w:rPr>
        <w:t>Section 2.8. Repayment of Loans.</w:t>
      </w:r>
      <w:r>
        <w:rPr>
          <w:sz w:val="20"/>
          <w:szCs w:val="20"/>
          <w:color w:val="auto"/>
        </w:rPr>
        <w:tab/>
      </w:r>
      <w:r>
        <w:rPr>
          <w:rFonts w:ascii="Times New Roman" w:cs="Times New Roman" w:eastAsia="Times New Roman" w:hAnsi="Times New Roman"/>
          <w:sz w:val="19"/>
          <w:szCs w:val="19"/>
          <w:color w:val="FF0000"/>
          <w:strike w:val="1"/>
        </w:rPr>
        <w:t>37</w:t>
      </w:r>
      <w:r>
        <w:rPr>
          <w:rFonts w:ascii="Times New Roman" w:cs="Times New Roman" w:eastAsia="Times New Roman" w:hAnsi="Times New Roman"/>
          <w:sz w:val="19"/>
          <w:szCs w:val="19"/>
          <w:u w:val="single" w:color="auto"/>
          <w:color w:val="0101FF"/>
          <w:strike w:val="1"/>
        </w:rPr>
        <w:t>41</w:t>
      </w:r>
    </w:p>
    <w:p>
      <w:pPr>
        <w:spacing w:after="0" w:line="22" w:lineRule="exact"/>
        <w:rPr>
          <w:sz w:val="20"/>
          <w:szCs w:val="20"/>
          <w:color w:val="auto"/>
        </w:rPr>
      </w:pPr>
    </w:p>
    <w:p>
      <w:pPr>
        <w:ind w:left="660"/>
        <w:spacing w:after="0"/>
        <w:tabs>
          <w:tab w:leader="none" w:pos="3640" w:val="left"/>
        </w:tabs>
        <w:rPr>
          <w:sz w:val="20"/>
          <w:szCs w:val="20"/>
          <w:color w:val="auto"/>
        </w:rPr>
      </w:pPr>
      <w:r>
        <w:rPr>
          <w:rFonts w:ascii="Times New Roman" w:cs="Times New Roman" w:eastAsia="Times New Roman" w:hAnsi="Times New Roman"/>
          <w:sz w:val="20"/>
          <w:szCs w:val="20"/>
          <w:color w:val="auto"/>
        </w:rPr>
        <w:t>Section 2.9. Optional Prepayments.</w:t>
      </w:r>
      <w:r>
        <w:rPr>
          <w:sz w:val="20"/>
          <w:szCs w:val="20"/>
          <w:color w:val="auto"/>
        </w:rPr>
        <w:tab/>
      </w:r>
      <w:r>
        <w:rPr>
          <w:rFonts w:ascii="Times New Roman" w:cs="Times New Roman" w:eastAsia="Times New Roman" w:hAnsi="Times New Roman"/>
          <w:sz w:val="19"/>
          <w:szCs w:val="19"/>
          <w:color w:val="FF0000"/>
          <w:strike w:val="1"/>
        </w:rPr>
        <w:t>37</w:t>
      </w:r>
      <w:r>
        <w:rPr>
          <w:rFonts w:ascii="Times New Roman" w:cs="Times New Roman" w:eastAsia="Times New Roman" w:hAnsi="Times New Roman"/>
          <w:sz w:val="19"/>
          <w:szCs w:val="19"/>
          <w:u w:val="single" w:color="auto"/>
          <w:color w:val="0101FF"/>
          <w:strike w:val="1"/>
        </w:rPr>
        <w:t>41</w:t>
      </w:r>
    </w:p>
    <w:tbl>
      <w:tblPr>
        <w:tblLayout w:type="fixed"/>
        <w:tblInd w:w="0" w:type="dxa"/>
        <w:tblCellMar>
          <w:top w:w="0" w:type="dxa"/>
          <w:left w:w="0" w:type="dxa"/>
          <w:bottom w:w="0" w:type="dxa"/>
          <w:right w:w="0" w:type="dxa"/>
        </w:tblCellMar>
      </w:tblPr>
      <w:tr>
        <w:trPr>
          <w:trHeight w:val="203"/>
        </w:trPr>
        <w:tc>
          <w:tcPr>
            <w:tcW w:w="2860" w:type="dxa"/>
            <w:vAlign w:val="bottom"/>
            <w:gridSpan w:val="8"/>
          </w:tcPr>
          <w:p>
            <w:pPr>
              <w:ind w:left="660"/>
              <w:spacing w:after="0" w:line="203" w:lineRule="exact"/>
              <w:rPr>
                <w:sz w:val="20"/>
                <w:szCs w:val="20"/>
                <w:color w:val="auto"/>
              </w:rPr>
            </w:pPr>
            <w:r>
              <w:rPr>
                <w:rFonts w:ascii="Times New Roman" w:cs="Times New Roman" w:eastAsia="Times New Roman" w:hAnsi="Times New Roman"/>
                <w:sz w:val="20"/>
                <w:szCs w:val="20"/>
                <w:color w:val="auto"/>
                <w:w w:val="99"/>
              </w:rPr>
              <w:t>Section 2.10. Continuation.</w:t>
            </w:r>
          </w:p>
        </w:tc>
        <w:tc>
          <w:tcPr>
            <w:tcW w:w="360" w:type="dxa"/>
            <w:vAlign w:val="bottom"/>
            <w:gridSpan w:val="5"/>
          </w:tcPr>
          <w:p>
            <w:pPr>
              <w:jc w:val="right"/>
              <w:spacing w:after="0" w:line="203" w:lineRule="exact"/>
              <w:rPr>
                <w:sz w:val="20"/>
                <w:szCs w:val="20"/>
                <w:color w:val="auto"/>
              </w:rPr>
            </w:pPr>
            <w:r>
              <w:rPr>
                <w:rFonts w:ascii="Times New Roman" w:cs="Times New Roman" w:eastAsia="Times New Roman" w:hAnsi="Times New Roman"/>
                <w:sz w:val="20"/>
                <w:szCs w:val="20"/>
                <w:color w:val="FF0000"/>
                <w:strike w:val="1"/>
              </w:rPr>
              <w:t>38</w:t>
            </w:r>
          </w:p>
        </w:tc>
        <w:tc>
          <w:tcPr>
            <w:tcW w:w="200" w:type="dxa"/>
            <w:vAlign w:val="bottom"/>
            <w:tcBorders>
              <w:bottom w:val="single" w:sz="8" w:color="0101FF"/>
            </w:tcBorders>
            <w:gridSpan w:val="5"/>
          </w:tcPr>
          <w:p>
            <w:pPr>
              <w:jc w:val="right"/>
              <w:spacing w:after="0" w:line="203" w:lineRule="exact"/>
              <w:rPr>
                <w:sz w:val="20"/>
                <w:szCs w:val="20"/>
                <w:color w:val="auto"/>
              </w:rPr>
            </w:pPr>
            <w:r>
              <w:rPr>
                <w:rFonts w:ascii="Times New Roman" w:cs="Times New Roman" w:eastAsia="Times New Roman" w:hAnsi="Times New Roman"/>
                <w:sz w:val="20"/>
                <w:szCs w:val="20"/>
                <w:color w:val="0101FF"/>
                <w:w w:val="89"/>
              </w:rPr>
              <w:t>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2860" w:type="dxa"/>
            <w:vAlign w:val="bottom"/>
            <w:gridSpan w:val="8"/>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2.11. Conversion.</w:t>
            </w:r>
          </w:p>
        </w:tc>
        <w:tc>
          <w:tcPr>
            <w:tcW w:w="2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38</w:t>
            </w:r>
          </w:p>
        </w:tc>
        <w:tc>
          <w:tcPr>
            <w:tcW w:w="280" w:type="dxa"/>
            <w:vAlign w:val="bottom"/>
            <w:gridSpan w:val="5"/>
          </w:tcPr>
          <w:p>
            <w:pPr>
              <w:jc w:val="right"/>
              <w:ind w:right="80"/>
              <w:spacing w:after="0" w:line="209" w:lineRule="exact"/>
              <w:rPr>
                <w:sz w:val="20"/>
                <w:szCs w:val="20"/>
                <w:color w:val="auto"/>
              </w:rPr>
            </w:pPr>
            <w:r>
              <w:rPr>
                <w:rFonts w:ascii="Times New Roman" w:cs="Times New Roman" w:eastAsia="Times New Roman" w:hAnsi="Times New Roman"/>
                <w:sz w:val="20"/>
                <w:szCs w:val="20"/>
                <w:color w:val="0101FF"/>
                <w:w w:val="89"/>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260" w:type="dxa"/>
            <w:vAlign w:val="bottom"/>
          </w:tcPr>
          <w:p>
            <w:pPr>
              <w:ind w:left="660"/>
              <w:spacing w:after="0" w:line="223" w:lineRule="exact"/>
              <w:rPr>
                <w:sz w:val="20"/>
                <w:szCs w:val="20"/>
                <w:color w:val="auto"/>
              </w:rPr>
            </w:pPr>
            <w:r>
              <w:rPr>
                <w:rFonts w:ascii="Times New Roman" w:cs="Times New Roman" w:eastAsia="Times New Roman" w:hAnsi="Times New Roman"/>
                <w:sz w:val="20"/>
                <w:szCs w:val="20"/>
                <w:color w:val="auto"/>
                <w:w w:val="97"/>
              </w:rPr>
              <w:t>Section 2.12. Notes.</w:t>
            </w:r>
          </w:p>
        </w:tc>
        <w:tc>
          <w:tcPr>
            <w:tcW w:w="200" w:type="dxa"/>
            <w:vAlign w:val="bottom"/>
          </w:tcPr>
          <w:p>
            <w:pPr>
              <w:spacing w:after="0"/>
              <w:rPr>
                <w:sz w:val="19"/>
                <w:szCs w:val="19"/>
                <w:color w:val="auto"/>
              </w:rPr>
            </w:pPr>
          </w:p>
        </w:tc>
        <w:tc>
          <w:tcPr>
            <w:tcW w:w="2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2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0101FF"/>
                <w:w w:val="89"/>
              </w:rPr>
              <w:t>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0101FF"/>
            </w:tcBorders>
          </w:tcPr>
          <w:p>
            <w:pPr>
              <w:spacing w:after="0"/>
              <w:rPr>
                <w:sz w:val="19"/>
                <w:szCs w:val="19"/>
                <w:color w:val="auto"/>
              </w:rPr>
            </w:pPr>
          </w:p>
        </w:tc>
        <w:tc>
          <w:tcPr>
            <w:tcW w:w="20" w:type="dxa"/>
            <w:vAlign w:val="bottom"/>
            <w:tcBorders>
              <w:top w:val="single" w:sz="8" w:color="0101FF"/>
            </w:tcBorders>
          </w:tcPr>
          <w:p>
            <w:pPr>
              <w:spacing w:after="0"/>
              <w:rPr>
                <w:sz w:val="19"/>
                <w:szCs w:val="19"/>
                <w:color w:val="auto"/>
              </w:rPr>
            </w:pPr>
          </w:p>
        </w:tc>
        <w:tc>
          <w:tcPr>
            <w:tcW w:w="40" w:type="dxa"/>
            <w:vAlign w:val="bottom"/>
            <w:tcBorders>
              <w:top w:val="single" w:sz="8" w:color="0101FF"/>
            </w:tcBorders>
          </w:tcPr>
          <w:p>
            <w:pPr>
              <w:spacing w:after="0"/>
              <w:rPr>
                <w:sz w:val="19"/>
                <w:szCs w:val="19"/>
                <w:color w:val="auto"/>
              </w:rPr>
            </w:pPr>
          </w:p>
        </w:tc>
        <w:tc>
          <w:tcPr>
            <w:tcW w:w="40" w:type="dxa"/>
            <w:vAlign w:val="bottom"/>
            <w:tcBorders>
              <w:top w:val="single" w:sz="8" w:color="0101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101FF"/>
          </w:tcPr>
          <w:p>
            <w:pPr>
              <w:spacing w:after="0" w:line="20" w:lineRule="exact"/>
              <w:rPr>
                <w:sz w:val="1"/>
                <w:szCs w:val="1"/>
                <w:color w:val="auto"/>
              </w:rPr>
            </w:pPr>
          </w:p>
        </w:tc>
        <w:tc>
          <w:tcPr>
            <w:tcW w:w="80" w:type="dxa"/>
            <w:vAlign w:val="bottom"/>
            <w:shd w:val="clear" w:color="auto" w:fill="0101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2860" w:type="dxa"/>
            <w:vAlign w:val="bottom"/>
            <w:gridSpan w:val="8"/>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2.13. [Reserved].</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39</w:t>
            </w:r>
          </w:p>
        </w:tc>
        <w:tc>
          <w:tcPr>
            <w:tcW w:w="200" w:type="dxa"/>
            <w:vAlign w:val="bottom"/>
            <w:tcBorders>
              <w:bottom w:val="single" w:sz="8" w:color="0101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9"/>
        </w:trPr>
        <w:tc>
          <w:tcPr>
            <w:tcW w:w="4160" w:type="dxa"/>
            <w:vAlign w:val="bottom"/>
            <w:gridSpan w:val="29"/>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2.14. Extension of Maturity Date.</w:t>
            </w:r>
          </w:p>
        </w:tc>
        <w:tc>
          <w:tcPr>
            <w:tcW w:w="2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39</w:t>
            </w:r>
          </w:p>
        </w:tc>
        <w:tc>
          <w:tcPr>
            <w:tcW w:w="260" w:type="dxa"/>
            <w:vAlign w:val="bottom"/>
            <w:gridSpan w:val="4"/>
          </w:tcPr>
          <w:p>
            <w:pPr>
              <w:jc w:val="right"/>
              <w:ind w:right="60"/>
              <w:spacing w:after="0" w:line="209" w:lineRule="exact"/>
              <w:rPr>
                <w:sz w:val="20"/>
                <w:szCs w:val="20"/>
                <w:color w:val="auto"/>
              </w:rPr>
            </w:pPr>
            <w:r>
              <w:rPr>
                <w:rFonts w:ascii="Times New Roman" w:cs="Times New Roman" w:eastAsia="Times New Roman" w:hAnsi="Times New Roman"/>
                <w:sz w:val="20"/>
                <w:szCs w:val="20"/>
                <w:color w:val="0101FF"/>
                <w:w w:val="89"/>
              </w:rPr>
              <w:t>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860" w:type="dxa"/>
            <w:vAlign w:val="bottom"/>
            <w:gridSpan w:val="8"/>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2.15. [Reserved].</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40</w:t>
            </w:r>
          </w:p>
        </w:tc>
        <w:tc>
          <w:tcPr>
            <w:tcW w:w="200" w:type="dxa"/>
            <w:vAlign w:val="bottom"/>
            <w:tcBorders>
              <w:bottom w:val="single" w:sz="8" w:color="0101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0101FF"/>
            </w:tcBorders>
          </w:tcPr>
          <w:p>
            <w:pPr>
              <w:spacing w:after="0"/>
              <w:rPr>
                <w:sz w:val="19"/>
                <w:szCs w:val="19"/>
                <w:color w:val="auto"/>
              </w:rPr>
            </w:pPr>
          </w:p>
        </w:tc>
        <w:tc>
          <w:tcPr>
            <w:tcW w:w="40" w:type="dxa"/>
            <w:vAlign w:val="bottom"/>
            <w:tcBorders>
              <w:top w:val="single" w:sz="8" w:color="0101FF"/>
            </w:tcBorders>
          </w:tcPr>
          <w:p>
            <w:pPr>
              <w:spacing w:after="0"/>
              <w:rPr>
                <w:sz w:val="19"/>
                <w:szCs w:val="19"/>
                <w:color w:val="auto"/>
              </w:rPr>
            </w:pPr>
          </w:p>
        </w:tc>
        <w:tc>
          <w:tcPr>
            <w:tcW w:w="140" w:type="dxa"/>
            <w:vAlign w:val="bottom"/>
            <w:tcBorders>
              <w:top w:val="single" w:sz="8" w:color="0101FF"/>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5480" w:type="dxa"/>
            <w:vAlign w:val="bottom"/>
            <w:gridSpan w:val="41"/>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2.16. Joint and Several Liability of the Borrowers.</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40</w:t>
            </w:r>
          </w:p>
        </w:tc>
        <w:tc>
          <w:tcPr>
            <w:tcW w:w="200" w:type="dxa"/>
            <w:vAlign w:val="bottom"/>
            <w:tcBorders>
              <w:bottom w:val="single" w:sz="8" w:color="0101FF"/>
            </w:tcBorders>
          </w:tcPr>
          <w:p>
            <w:pPr>
              <w:jc w:val="right"/>
              <w:spacing w:after="0" w:line="209" w:lineRule="exact"/>
              <w:rPr>
                <w:sz w:val="20"/>
                <w:szCs w:val="20"/>
                <w:color w:val="auto"/>
              </w:rPr>
            </w:pPr>
            <w:r>
              <w:rPr>
                <w:rFonts w:ascii="Times New Roman" w:cs="Times New Roman" w:eastAsia="Times New Roman" w:hAnsi="Times New Roman"/>
                <w:sz w:val="20"/>
                <w:szCs w:val="20"/>
                <w:color w:val="0101FF"/>
                <w:w w:val="89"/>
              </w:rPr>
              <w:t>43</w:t>
            </w:r>
          </w:p>
        </w:tc>
      </w:tr>
      <w:tr>
        <w:trPr>
          <w:trHeight w:val="223"/>
        </w:trPr>
        <w:tc>
          <w:tcPr>
            <w:tcW w:w="3980" w:type="dxa"/>
            <w:vAlign w:val="bottom"/>
            <w:gridSpan w:val="27"/>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2.17. Borrower Representative.</w:t>
            </w:r>
          </w:p>
        </w:tc>
        <w:tc>
          <w:tcPr>
            <w:tcW w:w="2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41</w:t>
            </w:r>
          </w:p>
        </w:tc>
        <w:tc>
          <w:tcPr>
            <w:tcW w:w="240" w:type="dxa"/>
            <w:vAlign w:val="bottom"/>
            <w:gridSpan w:val="4"/>
          </w:tcPr>
          <w:p>
            <w:pPr>
              <w:jc w:val="right"/>
              <w:ind w:right="40"/>
              <w:spacing w:after="0" w:line="223" w:lineRule="exact"/>
              <w:rPr>
                <w:sz w:val="20"/>
                <w:szCs w:val="20"/>
                <w:color w:val="auto"/>
              </w:rPr>
            </w:pPr>
            <w:r>
              <w:rPr>
                <w:rFonts w:ascii="Times New Roman" w:cs="Times New Roman" w:eastAsia="Times New Roman" w:hAnsi="Times New Roman"/>
                <w:sz w:val="20"/>
                <w:szCs w:val="20"/>
                <w:color w:val="0101FF"/>
                <w:w w:val="89"/>
              </w:rPr>
              <w:t>44</w:t>
            </w:r>
          </w:p>
        </w:tc>
        <w:tc>
          <w:tcPr>
            <w:tcW w:w="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spacing w:after="0"/>
              <w:rPr>
                <w:sz w:val="19"/>
                <w:szCs w:val="19"/>
                <w:color w:val="auto"/>
              </w:rPr>
            </w:pPr>
          </w:p>
        </w:tc>
      </w:tr>
      <w:tr>
        <w:trPr>
          <w:trHeight w:val="223"/>
        </w:trPr>
        <w:tc>
          <w:tcPr>
            <w:tcW w:w="2860" w:type="dxa"/>
            <w:vAlign w:val="bottom"/>
            <w:gridSpan w:val="8"/>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2.18. [Reserved].</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41</w:t>
            </w:r>
          </w:p>
        </w:tc>
        <w:tc>
          <w:tcPr>
            <w:tcW w:w="200" w:type="dxa"/>
            <w:vAlign w:val="bottom"/>
            <w:tcBorders>
              <w:bottom w:val="single" w:sz="8" w:color="0101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0101FF"/>
            </w:tcBorders>
          </w:tcPr>
          <w:p>
            <w:pPr>
              <w:spacing w:after="0"/>
              <w:rPr>
                <w:sz w:val="19"/>
                <w:szCs w:val="19"/>
                <w:color w:val="auto"/>
              </w:rPr>
            </w:pPr>
          </w:p>
        </w:tc>
        <w:tc>
          <w:tcPr>
            <w:tcW w:w="60" w:type="dxa"/>
            <w:vAlign w:val="bottom"/>
            <w:tcBorders>
              <w:top w:val="single" w:sz="8" w:color="0101FF"/>
            </w:tcBorders>
          </w:tcPr>
          <w:p>
            <w:pPr>
              <w:spacing w:after="0"/>
              <w:rPr>
                <w:sz w:val="19"/>
                <w:szCs w:val="19"/>
                <w:color w:val="auto"/>
              </w:rPr>
            </w:pPr>
          </w:p>
        </w:tc>
        <w:tc>
          <w:tcPr>
            <w:tcW w:w="20" w:type="dxa"/>
            <w:vAlign w:val="bottom"/>
            <w:tcBorders>
              <w:top w:val="single" w:sz="8" w:color="0101FF"/>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3380" w:type="dxa"/>
            <w:vAlign w:val="bottom"/>
            <w:gridSpan w:val="16"/>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2.19. Additional Loans.</w:t>
            </w:r>
          </w:p>
        </w:tc>
        <w:tc>
          <w:tcPr>
            <w:tcW w:w="280" w:type="dxa"/>
            <w:vAlign w:val="bottom"/>
            <w:gridSpan w:val="5"/>
          </w:tcPr>
          <w:p>
            <w:pPr>
              <w:jc w:val="right"/>
              <w:ind w:right="1"/>
              <w:spacing w:after="0" w:line="209" w:lineRule="exact"/>
              <w:rPr>
                <w:sz w:val="20"/>
                <w:szCs w:val="20"/>
                <w:color w:val="auto"/>
              </w:rPr>
            </w:pPr>
            <w:r>
              <w:rPr>
                <w:rFonts w:ascii="Times New Roman" w:cs="Times New Roman" w:eastAsia="Times New Roman" w:hAnsi="Times New Roman"/>
                <w:sz w:val="20"/>
                <w:szCs w:val="20"/>
                <w:color w:val="FF0000"/>
                <w:strike w:val="1"/>
                <w:w w:val="79"/>
              </w:rPr>
              <w:t>41</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101FF"/>
                <w:w w:val="72"/>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120" w:type="dxa"/>
            <w:vAlign w:val="bottom"/>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101FF"/>
            </w:tcBorders>
          </w:tcPr>
          <w:p>
            <w:pPr>
              <w:spacing w:after="0" w:line="20" w:lineRule="exact"/>
              <w:rPr>
                <w:sz w:val="1"/>
                <w:szCs w:val="1"/>
                <w:color w:val="auto"/>
              </w:rPr>
            </w:pPr>
          </w:p>
        </w:tc>
        <w:tc>
          <w:tcPr>
            <w:tcW w:w="100" w:type="dxa"/>
            <w:vAlign w:val="bottom"/>
            <w:tcBorders>
              <w:left w:val="single" w:sz="8" w:color="0101FF"/>
            </w:tcBorders>
            <w:shd w:val="clear" w:color="auto" w:fill="0101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223"/>
        </w:trPr>
        <w:tc>
          <w:tcPr>
            <w:tcW w:w="4420" w:type="dxa"/>
            <w:vAlign w:val="bottom"/>
            <w:gridSpan w:val="34"/>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2.20. Funds Transfer Disbursements.</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42</w:t>
            </w:r>
          </w:p>
        </w:tc>
        <w:tc>
          <w:tcPr>
            <w:tcW w:w="30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0101FF"/>
                <w:w w:val="79"/>
              </w:rPr>
              <w:t>46</w:t>
            </w:r>
          </w:p>
        </w:tc>
        <w:tc>
          <w:tcPr>
            <w:tcW w:w="200" w:type="dxa"/>
            <w:vAlign w:val="bottom"/>
          </w:tcPr>
          <w:p>
            <w:pPr>
              <w:spacing w:after="0"/>
              <w:rPr>
                <w:sz w:val="19"/>
                <w:szCs w:val="19"/>
                <w:color w:val="auto"/>
              </w:rPr>
            </w:pPr>
          </w:p>
        </w:tc>
        <w:tc>
          <w:tcPr>
            <w:tcW w:w="760" w:type="dxa"/>
            <w:vAlign w:val="bottom"/>
            <w:gridSpan w:val="3"/>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101FF"/>
          </w:tcPr>
          <w:p>
            <w:pPr>
              <w:spacing w:after="0" w:line="20" w:lineRule="exact"/>
              <w:rPr>
                <w:sz w:val="1"/>
                <w:szCs w:val="1"/>
                <w:color w:val="auto"/>
              </w:rPr>
            </w:pPr>
          </w:p>
        </w:tc>
        <w:tc>
          <w:tcPr>
            <w:tcW w:w="80" w:type="dxa"/>
            <w:vAlign w:val="bottom"/>
            <w:shd w:val="clear" w:color="auto" w:fill="0101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318"/>
        </w:trPr>
        <w:tc>
          <w:tcPr>
            <w:tcW w:w="462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Article III. Payments, Fees and Other General Provisions</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43</w:t>
            </w:r>
          </w:p>
        </w:tc>
        <w:tc>
          <w:tcPr>
            <w:tcW w:w="200" w:type="dxa"/>
            <w:vAlign w:val="bottom"/>
            <w:tcBorders>
              <w:bottom w:val="single" w:sz="8" w:color="0101FF"/>
            </w:tcBorders>
          </w:tcPr>
          <w:p>
            <w:pPr>
              <w:jc w:val="right"/>
              <w:spacing w:after="0"/>
              <w:rPr>
                <w:sz w:val="20"/>
                <w:szCs w:val="20"/>
                <w:color w:val="auto"/>
              </w:rPr>
            </w:pPr>
            <w:r>
              <w:rPr>
                <w:rFonts w:ascii="Times New Roman" w:cs="Times New Roman" w:eastAsia="Times New Roman" w:hAnsi="Times New Roman"/>
                <w:sz w:val="20"/>
                <w:szCs w:val="20"/>
                <w:color w:val="0101FF"/>
                <w:w w:val="89"/>
              </w:rPr>
              <w:t>47</w:t>
            </w:r>
          </w:p>
        </w:tc>
        <w:tc>
          <w:tcPr>
            <w:tcW w:w="760" w:type="dxa"/>
            <w:vAlign w:val="bottom"/>
            <w:gridSpan w:val="3"/>
          </w:tcPr>
          <w:p>
            <w:pPr>
              <w:spacing w:after="0"/>
              <w:rPr>
                <w:sz w:val="24"/>
                <w:szCs w:val="24"/>
                <w:color w:val="auto"/>
              </w:rPr>
            </w:pPr>
          </w:p>
        </w:tc>
      </w:tr>
      <w:tr>
        <w:trPr>
          <w:trHeight w:val="331"/>
        </w:trPr>
        <w:tc>
          <w:tcPr>
            <w:tcW w:w="266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3.1. Payments.</w:t>
            </w:r>
          </w:p>
        </w:tc>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89"/>
              </w:rPr>
              <w:t>43</w:t>
            </w:r>
          </w:p>
        </w:tc>
        <w:tc>
          <w:tcPr>
            <w:tcW w:w="220" w:type="dxa"/>
            <w:vAlign w:val="bottom"/>
            <w:tcBorders>
              <w:bottom w:val="single" w:sz="8" w:color="0101FF"/>
            </w:tcBorders>
            <w:gridSpan w:val="2"/>
          </w:tcPr>
          <w:p>
            <w:pPr>
              <w:jc w:val="right"/>
              <w:spacing w:after="0"/>
              <w:rPr>
                <w:sz w:val="20"/>
                <w:szCs w:val="20"/>
                <w:color w:val="auto"/>
              </w:rPr>
            </w:pPr>
            <w:r>
              <w:rPr>
                <w:rFonts w:ascii="Times New Roman" w:cs="Times New Roman" w:eastAsia="Times New Roman" w:hAnsi="Times New Roman"/>
                <w:sz w:val="20"/>
                <w:szCs w:val="20"/>
                <w:color w:val="0101FF"/>
                <w:w w:val="89"/>
              </w:rPr>
              <w:t>47</w:t>
            </w:r>
          </w:p>
        </w:tc>
        <w:tc>
          <w:tcPr>
            <w:tcW w:w="120" w:type="dxa"/>
            <w:vAlign w:val="bottom"/>
            <w:gridSpan w:val="2"/>
          </w:tcPr>
          <w:p>
            <w:pPr>
              <w:spacing w:after="0"/>
              <w:rPr>
                <w:sz w:val="24"/>
                <w:szCs w:val="24"/>
                <w:color w:val="auto"/>
              </w:rPr>
            </w:pPr>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gridSpan w:val="3"/>
          </w:tcPr>
          <w:p>
            <w:pPr>
              <w:spacing w:after="0"/>
              <w:rPr>
                <w:sz w:val="24"/>
                <w:szCs w:val="24"/>
                <w:color w:val="auto"/>
              </w:rPr>
            </w:pPr>
          </w:p>
        </w:tc>
        <w:tc>
          <w:tcPr>
            <w:tcW w:w="120" w:type="dxa"/>
            <w:vAlign w:val="bottom"/>
            <w:gridSpan w:val="3"/>
          </w:tcPr>
          <w:p>
            <w:pPr>
              <w:spacing w:after="0"/>
              <w:rPr>
                <w:sz w:val="24"/>
                <w:szCs w:val="24"/>
                <w:color w:val="auto"/>
              </w:rPr>
            </w:pPr>
          </w:p>
        </w:tc>
        <w:tc>
          <w:tcPr>
            <w:tcW w:w="1460" w:type="dxa"/>
            <w:vAlign w:val="bottom"/>
            <w:gridSpan w:val="9"/>
          </w:tcPr>
          <w:p>
            <w:pPr>
              <w:spacing w:after="0"/>
              <w:rPr>
                <w:sz w:val="24"/>
                <w:szCs w:val="24"/>
                <w:color w:val="auto"/>
              </w:rPr>
            </w:pPr>
          </w:p>
        </w:tc>
      </w:tr>
      <w:tr>
        <w:trPr>
          <w:trHeight w:val="209"/>
        </w:trPr>
        <w:tc>
          <w:tcPr>
            <w:tcW w:w="3440" w:type="dxa"/>
            <w:vAlign w:val="bottom"/>
            <w:gridSpan w:val="19"/>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3.2. Pro Rata Treatment.</w:t>
            </w:r>
          </w:p>
        </w:tc>
        <w:tc>
          <w:tcPr>
            <w:tcW w:w="2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44</w:t>
            </w:r>
          </w:p>
        </w:tc>
        <w:tc>
          <w:tcPr>
            <w:tcW w:w="180" w:type="dxa"/>
            <w:vAlign w:val="bottom"/>
            <w:tcBorders>
              <w:bottom w:val="single" w:sz="8" w:color="0101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101FF"/>
                <w:w w:val="79"/>
              </w:rPr>
              <w:t>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120" w:type="dxa"/>
            <w:vAlign w:val="bottom"/>
            <w:gridSpan w:val="3"/>
          </w:tcPr>
          <w:p>
            <w:pPr>
              <w:spacing w:after="0"/>
              <w:rPr>
                <w:sz w:val="18"/>
                <w:szCs w:val="18"/>
                <w:color w:val="auto"/>
              </w:rPr>
            </w:pPr>
          </w:p>
        </w:tc>
        <w:tc>
          <w:tcPr>
            <w:tcW w:w="1460" w:type="dxa"/>
            <w:vAlign w:val="bottom"/>
            <w:gridSpan w:val="9"/>
          </w:tcPr>
          <w:p>
            <w:pPr>
              <w:spacing w:after="0"/>
              <w:rPr>
                <w:sz w:val="18"/>
                <w:szCs w:val="18"/>
                <w:color w:val="auto"/>
              </w:rPr>
            </w:pPr>
          </w:p>
        </w:tc>
      </w:tr>
      <w:tr>
        <w:trPr>
          <w:trHeight w:val="223"/>
        </w:trPr>
        <w:tc>
          <w:tcPr>
            <w:tcW w:w="3900" w:type="dxa"/>
            <w:vAlign w:val="bottom"/>
            <w:gridSpan w:val="26"/>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3.3. Sharing of Payments, Etc.</w:t>
            </w:r>
          </w:p>
        </w:tc>
        <w:tc>
          <w:tcPr>
            <w:tcW w:w="2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FF0000"/>
                <w:strike w:val="1"/>
                <w:w w:val="89"/>
              </w:rPr>
              <w:t>44</w:t>
            </w:r>
          </w:p>
        </w:tc>
        <w:tc>
          <w:tcPr>
            <w:tcW w:w="200" w:type="dxa"/>
            <w:vAlign w:val="bottom"/>
            <w:tcBorders>
              <w:bottom w:val="single" w:sz="8" w:color="0101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48</w:t>
            </w:r>
          </w:p>
        </w:tc>
        <w:tc>
          <w:tcPr>
            <w:tcW w:w="120" w:type="dxa"/>
            <w:vAlign w:val="bottom"/>
            <w:gridSpan w:val="3"/>
          </w:tcPr>
          <w:p>
            <w:pPr>
              <w:spacing w:after="0"/>
              <w:rPr>
                <w:sz w:val="19"/>
                <w:szCs w:val="19"/>
                <w:color w:val="auto"/>
              </w:rPr>
            </w:pPr>
          </w:p>
        </w:tc>
        <w:tc>
          <w:tcPr>
            <w:tcW w:w="1460" w:type="dxa"/>
            <w:vAlign w:val="bottom"/>
            <w:gridSpan w:val="9"/>
          </w:tcPr>
          <w:p>
            <w:pPr>
              <w:spacing w:after="0"/>
              <w:rPr>
                <w:sz w:val="19"/>
                <w:szCs w:val="19"/>
                <w:color w:val="auto"/>
              </w:rPr>
            </w:pPr>
          </w:p>
        </w:tc>
      </w:tr>
      <w:tr>
        <w:trPr>
          <w:trHeight w:val="223"/>
        </w:trPr>
        <w:tc>
          <w:tcPr>
            <w:tcW w:w="3460" w:type="dxa"/>
            <w:vAlign w:val="bottom"/>
            <w:gridSpan w:val="20"/>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3.4. Several Obligations.</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44</w:t>
            </w:r>
          </w:p>
        </w:tc>
        <w:tc>
          <w:tcPr>
            <w:tcW w:w="200" w:type="dxa"/>
            <w:vAlign w:val="bottom"/>
            <w:tcBorders>
              <w:bottom w:val="single" w:sz="8" w:color="0101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101FF"/>
                <w:w w:val="89"/>
              </w:rPr>
              <w:t>48</w:t>
            </w:r>
          </w:p>
        </w:tc>
        <w:tc>
          <w:tcPr>
            <w:tcW w:w="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320" w:type="dxa"/>
            <w:vAlign w:val="bottom"/>
            <w:gridSpan w:val="6"/>
          </w:tcPr>
          <w:p>
            <w:pPr>
              <w:spacing w:after="0"/>
              <w:rPr>
                <w:sz w:val="19"/>
                <w:szCs w:val="19"/>
                <w:color w:val="auto"/>
              </w:rPr>
            </w:pPr>
          </w:p>
        </w:tc>
        <w:tc>
          <w:tcPr>
            <w:tcW w:w="1460" w:type="dxa"/>
            <w:vAlign w:val="bottom"/>
            <w:gridSpan w:val="9"/>
          </w:tcPr>
          <w:p>
            <w:pPr>
              <w:spacing w:after="0"/>
              <w:rPr>
                <w:sz w:val="19"/>
                <w:szCs w:val="19"/>
                <w:color w:val="auto"/>
              </w:rPr>
            </w:pPr>
          </w:p>
        </w:tc>
      </w:tr>
      <w:tr>
        <w:trPr>
          <w:trHeight w:val="209"/>
        </w:trPr>
        <w:tc>
          <w:tcPr>
            <w:tcW w:w="2260" w:type="dxa"/>
            <w:vAlign w:val="bottom"/>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3.5. Fees.</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44</w:t>
            </w:r>
          </w:p>
        </w:tc>
        <w:tc>
          <w:tcPr>
            <w:tcW w:w="200" w:type="dxa"/>
            <w:vAlign w:val="bottom"/>
            <w:tcBorders>
              <w:bottom w:val="single" w:sz="8" w:color="0101FF"/>
            </w:tcBorders>
            <w:gridSpan w:val="3"/>
          </w:tcPr>
          <w:p>
            <w:pPr>
              <w:spacing w:after="0" w:line="209" w:lineRule="exact"/>
              <w:rPr>
                <w:sz w:val="20"/>
                <w:szCs w:val="20"/>
                <w:color w:val="auto"/>
              </w:rPr>
            </w:pPr>
            <w:r>
              <w:rPr>
                <w:rFonts w:ascii="Times New Roman" w:cs="Times New Roman" w:eastAsia="Times New Roman" w:hAnsi="Times New Roman"/>
                <w:sz w:val="20"/>
                <w:szCs w:val="20"/>
                <w:color w:val="0101FF"/>
                <w:w w:val="89"/>
              </w:rPr>
              <w:t>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860" w:type="dxa"/>
            <w:vAlign w:val="bottom"/>
            <w:gridSpan w:val="8"/>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3.6. Computations.</w:t>
            </w:r>
          </w:p>
        </w:tc>
        <w:tc>
          <w:tcPr>
            <w:tcW w:w="34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45</w:t>
            </w:r>
          </w:p>
        </w:tc>
        <w:tc>
          <w:tcPr>
            <w:tcW w:w="220" w:type="dxa"/>
            <w:vAlign w:val="bottom"/>
            <w:gridSpan w:val="6"/>
          </w:tcPr>
          <w:p>
            <w:pPr>
              <w:jc w:val="right"/>
              <w:ind w:right="20"/>
              <w:spacing w:after="0" w:line="223" w:lineRule="exact"/>
              <w:rPr>
                <w:sz w:val="20"/>
                <w:szCs w:val="20"/>
                <w:color w:val="auto"/>
              </w:rPr>
            </w:pPr>
            <w:r>
              <w:rPr>
                <w:rFonts w:ascii="Times New Roman" w:cs="Times New Roman" w:eastAsia="Times New Roman" w:hAnsi="Times New Roman"/>
                <w:sz w:val="20"/>
                <w:szCs w:val="20"/>
                <w:color w:val="0101FF"/>
                <w:w w:val="89"/>
              </w:rPr>
              <w:t>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9"/>
        </w:trPr>
        <w:tc>
          <w:tcPr>
            <w:tcW w:w="2260" w:type="dxa"/>
            <w:vAlign w:val="bottom"/>
          </w:tcPr>
          <w:p>
            <w:pPr>
              <w:ind w:left="660"/>
              <w:spacing w:after="0" w:line="209" w:lineRule="exact"/>
              <w:rPr>
                <w:sz w:val="20"/>
                <w:szCs w:val="20"/>
                <w:color w:val="auto"/>
              </w:rPr>
            </w:pPr>
            <w:r>
              <w:rPr>
                <w:rFonts w:ascii="Times New Roman" w:cs="Times New Roman" w:eastAsia="Times New Roman" w:hAnsi="Times New Roman"/>
                <w:sz w:val="20"/>
                <w:szCs w:val="20"/>
                <w:color w:val="auto"/>
              </w:rPr>
              <w:t>Section 3.7. Usury.</w:t>
            </w:r>
          </w:p>
        </w:tc>
        <w:tc>
          <w:tcPr>
            <w:tcW w:w="3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45</w:t>
            </w:r>
          </w:p>
        </w:tc>
        <w:tc>
          <w:tcPr>
            <w:tcW w:w="200" w:type="dxa"/>
            <w:vAlign w:val="bottom"/>
            <w:tcBorders>
              <w:bottom w:val="single" w:sz="8" w:color="0101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101FF"/>
                <w:w w:val="89"/>
              </w:rPr>
              <w:t>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0101FF"/>
            </w:tcBorders>
          </w:tcPr>
          <w:p>
            <w:pPr>
              <w:spacing w:after="0"/>
              <w:rPr>
                <w:sz w:val="18"/>
                <w:szCs w:val="18"/>
                <w:color w:val="auto"/>
              </w:rPr>
            </w:pPr>
          </w:p>
        </w:tc>
        <w:tc>
          <w:tcPr>
            <w:tcW w:w="40" w:type="dxa"/>
            <w:vAlign w:val="bottom"/>
            <w:tcBorders>
              <w:top w:val="single" w:sz="8" w:color="0101FF"/>
            </w:tcBorders>
          </w:tcPr>
          <w:p>
            <w:pPr>
              <w:spacing w:after="0"/>
              <w:rPr>
                <w:sz w:val="18"/>
                <w:szCs w:val="18"/>
                <w:color w:val="auto"/>
              </w:rPr>
            </w:pPr>
          </w:p>
        </w:tc>
        <w:tc>
          <w:tcPr>
            <w:tcW w:w="40" w:type="dxa"/>
            <w:vAlign w:val="bottom"/>
            <w:tcBorders>
              <w:top w:val="single" w:sz="8" w:color="0101FF"/>
            </w:tcBorders>
          </w:tcPr>
          <w:p>
            <w:pPr>
              <w:spacing w:after="0"/>
              <w:rPr>
                <w:sz w:val="18"/>
                <w:szCs w:val="18"/>
                <w:color w:val="auto"/>
              </w:rPr>
            </w:pPr>
          </w:p>
        </w:tc>
        <w:tc>
          <w:tcPr>
            <w:tcW w:w="80" w:type="dxa"/>
            <w:vAlign w:val="bottom"/>
            <w:tcBorders>
              <w:top w:val="single" w:sz="8" w:color="0101FF"/>
            </w:tcBorders>
          </w:tcPr>
          <w:p>
            <w:pPr>
              <w:spacing w:after="0"/>
              <w:rPr>
                <w:sz w:val="18"/>
                <w:szCs w:val="18"/>
                <w:color w:val="auto"/>
              </w:rPr>
            </w:pPr>
          </w:p>
        </w:tc>
        <w:tc>
          <w:tcPr>
            <w:tcW w:w="20" w:type="dxa"/>
            <w:vAlign w:val="bottom"/>
            <w:tcBorders>
              <w:top w:val="single" w:sz="8" w:color="0101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660" w:type="dxa"/>
            <w:vAlign w:val="bottom"/>
            <w:gridSpan w:val="21"/>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3.8. Statements of Account.</w:t>
            </w:r>
          </w:p>
        </w:tc>
        <w:tc>
          <w:tcPr>
            <w:tcW w:w="24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46</w:t>
            </w:r>
          </w:p>
        </w:tc>
        <w:tc>
          <w:tcPr>
            <w:tcW w:w="200" w:type="dxa"/>
            <w:vAlign w:val="bottom"/>
            <w:tcBorders>
              <w:bottom w:val="single" w:sz="8" w:color="0101FF"/>
            </w:tcBorders>
            <w:gridSpan w:val="2"/>
          </w:tcPr>
          <w:p>
            <w:pPr>
              <w:spacing w:after="0" w:line="223" w:lineRule="exact"/>
              <w:rPr>
                <w:sz w:val="20"/>
                <w:szCs w:val="20"/>
                <w:color w:val="auto"/>
              </w:rPr>
            </w:pPr>
            <w:r>
              <w:rPr>
                <w:rFonts w:ascii="Times New Roman" w:cs="Times New Roman" w:eastAsia="Times New Roman" w:hAnsi="Times New Roman"/>
                <w:sz w:val="20"/>
                <w:szCs w:val="20"/>
                <w:color w:val="0101FF"/>
                <w:w w:val="89"/>
              </w:rPr>
              <w:t>49</w:t>
            </w:r>
          </w:p>
        </w:tc>
        <w:tc>
          <w:tcPr>
            <w:tcW w:w="320" w:type="dxa"/>
            <w:vAlign w:val="bottom"/>
            <w:gridSpan w:val="6"/>
          </w:tcPr>
          <w:p>
            <w:pPr>
              <w:spacing w:after="0"/>
              <w:rPr>
                <w:sz w:val="19"/>
                <w:szCs w:val="19"/>
                <w:color w:val="auto"/>
              </w:rPr>
            </w:pPr>
          </w:p>
        </w:tc>
        <w:tc>
          <w:tcPr>
            <w:tcW w:w="1460" w:type="dxa"/>
            <w:vAlign w:val="bottom"/>
            <w:gridSpan w:val="9"/>
          </w:tcPr>
          <w:p>
            <w:pPr>
              <w:spacing w:after="0"/>
              <w:rPr>
                <w:sz w:val="19"/>
                <w:szCs w:val="19"/>
                <w:color w:val="auto"/>
              </w:rPr>
            </w:pPr>
          </w:p>
        </w:tc>
      </w:tr>
      <w:tr>
        <w:trPr>
          <w:trHeight w:val="223"/>
        </w:trPr>
        <w:tc>
          <w:tcPr>
            <w:tcW w:w="3420" w:type="dxa"/>
            <w:vAlign w:val="bottom"/>
            <w:gridSpan w:val="18"/>
          </w:tcPr>
          <w:p>
            <w:pPr>
              <w:ind w:left="660"/>
              <w:spacing w:after="0" w:line="223" w:lineRule="exact"/>
              <w:rPr>
                <w:sz w:val="20"/>
                <w:szCs w:val="20"/>
                <w:color w:val="auto"/>
              </w:rPr>
            </w:pPr>
            <w:r>
              <w:rPr>
                <w:rFonts w:ascii="Times New Roman" w:cs="Times New Roman" w:eastAsia="Times New Roman" w:hAnsi="Times New Roman"/>
                <w:sz w:val="20"/>
                <w:szCs w:val="20"/>
                <w:color w:val="auto"/>
              </w:rPr>
              <w:t>Section 3.9. Defaulting Lenders.</w:t>
            </w:r>
          </w:p>
        </w:tc>
        <w:tc>
          <w:tcPr>
            <w:tcW w:w="2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46</w:t>
            </w:r>
          </w:p>
        </w:tc>
        <w:tc>
          <w:tcPr>
            <w:tcW w:w="760" w:type="dxa"/>
            <w:vAlign w:val="bottom"/>
            <w:gridSpan w:val="13"/>
          </w:tcPr>
          <w:p>
            <w:pPr>
              <w:jc w:val="right"/>
              <w:ind w:right="600"/>
              <w:spacing w:after="0"/>
              <w:rPr>
                <w:sz w:val="20"/>
                <w:szCs w:val="20"/>
                <w:color w:val="auto"/>
              </w:rPr>
            </w:pPr>
            <w:r>
              <w:rPr>
                <w:rFonts w:ascii="Times New Roman" w:cs="Times New Roman" w:eastAsia="Times New Roman" w:hAnsi="Times New Roman"/>
                <w:sz w:val="19"/>
                <w:szCs w:val="19"/>
                <w:color w:val="0101FF"/>
                <w:w w:val="73"/>
              </w:rPr>
              <w:t>50</w:t>
            </w:r>
          </w:p>
        </w:tc>
        <w:tc>
          <w:tcPr>
            <w:tcW w:w="1460" w:type="dxa"/>
            <w:vAlign w:val="bottom"/>
            <w:gridSpan w:val="9"/>
          </w:tcPr>
          <w:p>
            <w:pPr>
              <w:spacing w:after="0"/>
              <w:rPr>
                <w:sz w:val="19"/>
                <w:szCs w:val="19"/>
                <w:color w:val="auto"/>
              </w:rPr>
            </w:pPr>
          </w:p>
        </w:tc>
      </w:tr>
      <w:tr>
        <w:trPr>
          <w:trHeight w:val="209"/>
        </w:trPr>
        <w:tc>
          <w:tcPr>
            <w:tcW w:w="2260" w:type="dxa"/>
            <w:vAlign w:val="bottom"/>
          </w:tcPr>
          <w:p>
            <w:pPr>
              <w:ind w:left="660"/>
              <w:spacing w:after="0" w:line="209" w:lineRule="exact"/>
              <w:rPr>
                <w:sz w:val="20"/>
                <w:szCs w:val="20"/>
                <w:color w:val="auto"/>
              </w:rPr>
            </w:pPr>
            <w:r>
              <w:rPr>
                <w:rFonts w:ascii="Times New Roman" w:cs="Times New Roman" w:eastAsia="Times New Roman" w:hAnsi="Times New Roman"/>
                <w:sz w:val="20"/>
                <w:szCs w:val="20"/>
                <w:color w:val="auto"/>
                <w:w w:val="97"/>
              </w:rPr>
              <w:t>Section 3.10. Taxes.</w:t>
            </w:r>
          </w:p>
        </w:tc>
        <w:tc>
          <w:tcPr>
            <w:tcW w:w="380" w:type="dxa"/>
            <w:vAlign w:val="bottom"/>
            <w:gridSpan w:val="3"/>
          </w:tcPr>
          <w:p>
            <w:pPr>
              <w:ind w:left="200"/>
              <w:spacing w:after="0" w:line="209" w:lineRule="exact"/>
              <w:rPr>
                <w:sz w:val="20"/>
                <w:szCs w:val="20"/>
                <w:color w:val="auto"/>
              </w:rPr>
            </w:pPr>
            <w:r>
              <w:rPr>
                <w:rFonts w:ascii="Times New Roman" w:cs="Times New Roman" w:eastAsia="Times New Roman" w:hAnsi="Times New Roman"/>
                <w:sz w:val="20"/>
                <w:szCs w:val="20"/>
                <w:color w:val="FF0000"/>
                <w:strike w:val="1"/>
                <w:w w:val="79"/>
              </w:rPr>
              <w:t>47</w:t>
            </w:r>
          </w:p>
        </w:tc>
        <w:tc>
          <w:tcPr>
            <w:tcW w:w="200" w:type="dxa"/>
            <w:vAlign w:val="bottom"/>
            <w:tcBorders>
              <w:bottom w:val="single" w:sz="8" w:color="0101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101FF"/>
                <w:w w:val="89"/>
              </w:rPr>
              <w:t>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0101FF"/>
            </w:tcBorders>
          </w:tcPr>
          <w:p>
            <w:pPr>
              <w:spacing w:after="0"/>
              <w:rPr>
                <w:sz w:val="18"/>
                <w:szCs w:val="18"/>
                <w:color w:val="auto"/>
              </w:rPr>
            </w:pPr>
          </w:p>
        </w:tc>
        <w:tc>
          <w:tcPr>
            <w:tcW w:w="60" w:type="dxa"/>
            <w:vAlign w:val="bottom"/>
            <w:tcBorders>
              <w:top w:val="single" w:sz="8" w:color="0101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26"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color w:val="auto"/>
        </w:rPr>
        <w:t>Article IV. Yield Protection, Etc.</w:t>
      </w:r>
      <w:r>
        <w:rPr>
          <w:sz w:val="20"/>
          <w:szCs w:val="20"/>
          <w:color w:val="auto"/>
        </w:rPr>
        <w:tab/>
      </w:r>
      <w:r>
        <w:rPr>
          <w:rFonts w:ascii="Times New Roman" w:cs="Times New Roman" w:eastAsia="Times New Roman" w:hAnsi="Times New Roman"/>
          <w:sz w:val="18"/>
          <w:szCs w:val="18"/>
          <w:color w:val="FF0000"/>
          <w:strike w:val="1"/>
        </w:rPr>
        <w:t>50</w:t>
      </w:r>
      <w:r>
        <w:rPr>
          <w:rFonts w:ascii="Times New Roman" w:cs="Times New Roman" w:eastAsia="Times New Roman" w:hAnsi="Times New Roman"/>
          <w:sz w:val="18"/>
          <w:szCs w:val="18"/>
          <w:u w:val="single" w:color="auto"/>
          <w:color w:val="0101FF"/>
          <w:strike w:val="1"/>
        </w:rPr>
        <w:t>55</w:t>
      </w:r>
    </w:p>
    <w:p>
      <w:pPr>
        <w:spacing w:after="0" w:line="108" w:lineRule="exact"/>
        <w:rPr>
          <w:sz w:val="20"/>
          <w:szCs w:val="20"/>
          <w:color w:val="auto"/>
        </w:rPr>
      </w:pPr>
    </w:p>
    <w:p>
      <w:pPr>
        <w:ind w:left="660"/>
        <w:spacing w:after="0"/>
        <w:tabs>
          <w:tab w:leader="none" w:pos="4720" w:val="left"/>
        </w:tabs>
        <w:rPr>
          <w:sz w:val="20"/>
          <w:szCs w:val="20"/>
          <w:color w:val="auto"/>
        </w:rPr>
      </w:pPr>
      <w:r>
        <w:rPr>
          <w:rFonts w:ascii="Times New Roman" w:cs="Times New Roman" w:eastAsia="Times New Roman" w:hAnsi="Times New Roman"/>
          <w:sz w:val="20"/>
          <w:szCs w:val="20"/>
          <w:color w:val="auto"/>
        </w:rPr>
        <w:t>Section 4.1. Additional Costs; Capital Adequacy.</w:t>
      </w:r>
      <w:r>
        <w:rPr>
          <w:sz w:val="20"/>
          <w:szCs w:val="20"/>
          <w:color w:val="auto"/>
        </w:rPr>
        <w:tab/>
      </w:r>
      <w:r>
        <w:rPr>
          <w:rFonts w:ascii="Times New Roman" w:cs="Times New Roman" w:eastAsia="Times New Roman" w:hAnsi="Times New Roman"/>
          <w:sz w:val="19"/>
          <w:szCs w:val="19"/>
          <w:color w:val="FF0000"/>
          <w:strike w:val="1"/>
        </w:rPr>
        <w:t>50</w:t>
      </w:r>
      <w:r>
        <w:rPr>
          <w:rFonts w:ascii="Times New Roman" w:cs="Times New Roman" w:eastAsia="Times New Roman" w:hAnsi="Times New Roman"/>
          <w:sz w:val="19"/>
          <w:szCs w:val="19"/>
          <w:u w:val="single" w:color="auto"/>
          <w:color w:val="0101FF"/>
          <w:strike w:val="1"/>
        </w:rPr>
        <w:t>55</w:t>
      </w:r>
    </w:p>
    <w:p>
      <w:pPr>
        <w:spacing w:after="0" w:line="28" w:lineRule="exact"/>
        <w:rPr>
          <w:sz w:val="20"/>
          <w:szCs w:val="20"/>
          <w:color w:val="auto"/>
        </w:rPr>
      </w:pPr>
    </w:p>
    <w:p>
      <w:pPr>
        <w:ind w:left="660"/>
        <w:spacing w:after="0"/>
        <w:tabs>
          <w:tab w:leader="none" w:pos="4060" w:val="left"/>
        </w:tabs>
        <w:rPr>
          <w:sz w:val="20"/>
          <w:szCs w:val="20"/>
          <w:color w:val="auto"/>
        </w:rPr>
      </w:pPr>
      <w:r>
        <w:rPr>
          <w:rFonts w:ascii="Times New Roman" w:cs="Times New Roman" w:eastAsia="Times New Roman" w:hAnsi="Times New Roman"/>
          <w:sz w:val="20"/>
          <w:szCs w:val="20"/>
          <w:color w:val="auto"/>
        </w:rPr>
        <w:t>Section 4.2. Suspension of SOFR Loans.</w:t>
      </w:r>
      <w:r>
        <w:rPr>
          <w:sz w:val="20"/>
          <w:szCs w:val="20"/>
          <w:color w:val="auto"/>
        </w:rPr>
        <w:tab/>
      </w:r>
      <w:r>
        <w:rPr>
          <w:rFonts w:ascii="Times New Roman" w:cs="Times New Roman" w:eastAsia="Times New Roman" w:hAnsi="Times New Roman"/>
          <w:sz w:val="19"/>
          <w:szCs w:val="19"/>
          <w:color w:val="FF0000"/>
          <w:strike w:val="1"/>
        </w:rPr>
        <w:t>52</w:t>
      </w:r>
      <w:r>
        <w:rPr>
          <w:rFonts w:ascii="Times New Roman" w:cs="Times New Roman" w:eastAsia="Times New Roman" w:hAnsi="Times New Roman"/>
          <w:sz w:val="19"/>
          <w:szCs w:val="19"/>
          <w:u w:val="single" w:color="auto"/>
          <w:color w:val="0101FF"/>
          <w:strike w:val="1"/>
        </w:rPr>
        <w:t>56</w:t>
      </w:r>
    </w:p>
    <w:p>
      <w:pPr>
        <w:spacing w:after="0" w:line="13"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4.3. Illegality.</w:t>
      </w:r>
      <w:r>
        <w:rPr>
          <w:sz w:val="20"/>
          <w:szCs w:val="20"/>
          <w:color w:val="auto"/>
        </w:rPr>
        <w:tab/>
      </w:r>
      <w:r>
        <w:rPr>
          <w:rFonts w:ascii="Times New Roman" w:cs="Times New Roman" w:eastAsia="Times New Roman" w:hAnsi="Times New Roman"/>
          <w:sz w:val="18"/>
          <w:szCs w:val="18"/>
          <w:color w:val="FF0000"/>
          <w:strike w:val="1"/>
        </w:rPr>
        <w:t>54</w:t>
      </w:r>
      <w:r>
        <w:rPr>
          <w:rFonts w:ascii="Times New Roman" w:cs="Times New Roman" w:eastAsia="Times New Roman" w:hAnsi="Times New Roman"/>
          <w:sz w:val="18"/>
          <w:szCs w:val="18"/>
          <w:u w:val="single" w:color="auto"/>
          <w:color w:val="0101FF"/>
          <w:strike w:val="1"/>
        </w:rPr>
        <w:t>58</w:t>
      </w:r>
    </w:p>
    <w:p>
      <w:pPr>
        <w:spacing w:after="0" w:line="6" w:lineRule="exact"/>
        <w:rPr>
          <w:sz w:val="20"/>
          <w:szCs w:val="20"/>
          <w:color w:val="auto"/>
        </w:rPr>
      </w:pPr>
    </w:p>
    <w:p>
      <w:pPr>
        <w:ind w:left="660"/>
        <w:spacing w:after="0"/>
        <w:tabs>
          <w:tab w:leader="none" w:pos="3020" w:val="left"/>
        </w:tabs>
        <w:rPr>
          <w:sz w:val="20"/>
          <w:szCs w:val="20"/>
          <w:color w:val="auto"/>
        </w:rPr>
      </w:pPr>
      <w:r>
        <w:rPr>
          <w:rFonts w:ascii="Times New Roman" w:cs="Times New Roman" w:eastAsia="Times New Roman" w:hAnsi="Times New Roman"/>
          <w:sz w:val="20"/>
          <w:szCs w:val="20"/>
          <w:color w:val="auto"/>
        </w:rPr>
        <w:t>Section 4.4. Compensation.</w:t>
      </w:r>
      <w:r>
        <w:rPr>
          <w:sz w:val="20"/>
          <w:szCs w:val="20"/>
          <w:color w:val="auto"/>
        </w:rPr>
        <w:tab/>
      </w:r>
      <w:r>
        <w:rPr>
          <w:rFonts w:ascii="Times New Roman" w:cs="Times New Roman" w:eastAsia="Times New Roman" w:hAnsi="Times New Roman"/>
          <w:sz w:val="19"/>
          <w:szCs w:val="19"/>
          <w:color w:val="FF0000"/>
          <w:strike w:val="1"/>
        </w:rPr>
        <w:t>54</w:t>
      </w:r>
      <w:r>
        <w:rPr>
          <w:rFonts w:ascii="Times New Roman" w:cs="Times New Roman" w:eastAsia="Times New Roman" w:hAnsi="Times New Roman"/>
          <w:sz w:val="19"/>
          <w:szCs w:val="19"/>
          <w:u w:val="single" w:color="auto"/>
          <w:color w:val="0101FF"/>
          <w:strike w:val="1"/>
        </w:rPr>
        <w:t>59</w:t>
      </w:r>
    </w:p>
    <w:p>
      <w:pPr>
        <w:spacing w:after="0" w:line="6" w:lineRule="exact"/>
        <w:rPr>
          <w:sz w:val="20"/>
          <w:szCs w:val="20"/>
          <w:color w:val="auto"/>
        </w:rPr>
      </w:pPr>
    </w:p>
    <w:p>
      <w:pPr>
        <w:ind w:left="660"/>
        <w:spacing w:after="0"/>
        <w:tabs>
          <w:tab w:leader="none" w:pos="4160" w:val="left"/>
        </w:tabs>
        <w:rPr>
          <w:sz w:val="20"/>
          <w:szCs w:val="20"/>
          <w:color w:val="auto"/>
        </w:rPr>
      </w:pPr>
      <w:r>
        <w:rPr>
          <w:rFonts w:ascii="Times New Roman" w:cs="Times New Roman" w:eastAsia="Times New Roman" w:hAnsi="Times New Roman"/>
          <w:sz w:val="20"/>
          <w:szCs w:val="20"/>
          <w:color w:val="auto"/>
        </w:rPr>
        <w:t>Section 4.5. Treatment of Affected Loans.</w:t>
      </w:r>
      <w:r>
        <w:rPr>
          <w:sz w:val="20"/>
          <w:szCs w:val="20"/>
          <w:color w:val="auto"/>
        </w:rPr>
        <w:tab/>
      </w:r>
      <w:r>
        <w:rPr>
          <w:rFonts w:ascii="Times New Roman" w:cs="Times New Roman" w:eastAsia="Times New Roman" w:hAnsi="Times New Roman"/>
          <w:sz w:val="19"/>
          <w:szCs w:val="19"/>
          <w:color w:val="FF0000"/>
          <w:strike w:val="1"/>
        </w:rPr>
        <w:t>55</w:t>
      </w:r>
      <w:r>
        <w:rPr>
          <w:rFonts w:ascii="Times New Roman" w:cs="Times New Roman" w:eastAsia="Times New Roman" w:hAnsi="Times New Roman"/>
          <w:sz w:val="19"/>
          <w:szCs w:val="19"/>
          <w:u w:val="single" w:color="auto"/>
          <w:color w:val="0101FF"/>
          <w:strike w:val="1"/>
        </w:rPr>
        <w:t>60</w:t>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 i -</w:t>
      </w:r>
    </w:p>
    <w:p>
      <w:pPr>
        <w:sectPr>
          <w:pgSz w:w="11900" w:h="16838" w:orient="portrait"/>
          <w:cols w:equalWidth="0" w:num="1">
            <w:col w:w="10139"/>
          </w:cols>
          <w:pgMar w:left="320" w:top="1413" w:right="1440" w:bottom="1440" w:gutter="0" w:footer="0" w:header="0"/>
          <w:type w:val="continuous"/>
        </w:sectPr>
      </w:pPr>
    </w:p>
    <w:bookmarkStart w:id="204" w:name="page205"/>
    <w:bookmarkEnd w:id="204"/>
    <w:p>
      <w:pPr>
        <w:ind w:left="660"/>
        <w:spacing w:after="0"/>
        <w:tabs>
          <w:tab w:leader="none" w:pos="3240" w:val="left"/>
        </w:tabs>
        <w:rPr>
          <w:sz w:val="20"/>
          <w:szCs w:val="20"/>
          <w:color w:val="auto"/>
        </w:rPr>
      </w:pPr>
      <w:r>
        <w:rPr>
          <w:rFonts w:ascii="Times New Roman" w:cs="Times New Roman" w:eastAsia="Times New Roman" w:hAnsi="Times New Roman"/>
          <w:sz w:val="20"/>
          <w:szCs w:val="20"/>
          <w:color w:val="auto"/>
        </w:rPr>
        <w:t>Section 4.6. Affected Lenders.</w:t>
      </w:r>
      <w:r>
        <w:rPr>
          <w:sz w:val="20"/>
          <w:szCs w:val="20"/>
          <w:color w:val="auto"/>
        </w:rPr>
        <w:tab/>
      </w:r>
      <w:r>
        <w:rPr>
          <w:rFonts w:ascii="Times New Roman" w:cs="Times New Roman" w:eastAsia="Times New Roman" w:hAnsi="Times New Roman"/>
          <w:sz w:val="19"/>
          <w:szCs w:val="19"/>
          <w:color w:val="FF0000"/>
          <w:strike w:val="1"/>
        </w:rPr>
        <w:t>56</w:t>
      </w:r>
      <w:r>
        <w:rPr>
          <w:rFonts w:ascii="Times New Roman" w:cs="Times New Roman" w:eastAsia="Times New Roman" w:hAnsi="Times New Roman"/>
          <w:sz w:val="19"/>
          <w:szCs w:val="19"/>
          <w:u w:val="single" w:color="auto"/>
          <w:color w:val="0101FF"/>
          <w:strike w:val="1"/>
        </w:rPr>
        <w:t>60</w:t>
      </w:r>
    </w:p>
    <w:p>
      <w:pPr>
        <w:spacing w:after="0" w:line="28" w:lineRule="exact"/>
        <w:rPr>
          <w:sz w:val="20"/>
          <w:szCs w:val="20"/>
          <w:color w:val="auto"/>
        </w:rPr>
      </w:pPr>
    </w:p>
    <w:p>
      <w:pPr>
        <w:ind w:left="660"/>
        <w:spacing w:after="0"/>
        <w:tabs>
          <w:tab w:leader="none" w:pos="3960" w:val="left"/>
        </w:tabs>
        <w:rPr>
          <w:sz w:val="20"/>
          <w:szCs w:val="20"/>
          <w:color w:val="auto"/>
        </w:rPr>
      </w:pPr>
      <w:r>
        <w:rPr>
          <w:rFonts w:ascii="Times New Roman" w:cs="Times New Roman" w:eastAsia="Times New Roman" w:hAnsi="Times New Roman"/>
          <w:sz w:val="20"/>
          <w:szCs w:val="20"/>
          <w:color w:val="auto"/>
        </w:rPr>
        <w:t>Section 4.7. Change of Lending Office.</w:t>
      </w:r>
      <w:r>
        <w:rPr>
          <w:sz w:val="20"/>
          <w:szCs w:val="20"/>
          <w:color w:val="auto"/>
        </w:rPr>
        <w:tab/>
      </w:r>
      <w:r>
        <w:rPr>
          <w:rFonts w:ascii="Times New Roman" w:cs="Times New Roman" w:eastAsia="Times New Roman" w:hAnsi="Times New Roman"/>
          <w:sz w:val="18"/>
          <w:szCs w:val="18"/>
          <w:color w:val="FF0000"/>
          <w:strike w:val="1"/>
        </w:rPr>
        <w:t>56</w:t>
      </w:r>
      <w:r>
        <w:rPr>
          <w:rFonts w:ascii="Times New Roman" w:cs="Times New Roman" w:eastAsia="Times New Roman" w:hAnsi="Times New Roman"/>
          <w:sz w:val="18"/>
          <w:szCs w:val="18"/>
          <w:u w:val="single" w:color="auto"/>
          <w:color w:val="0101FF"/>
          <w:strike w:val="1"/>
        </w:rPr>
        <w:t>61</w:t>
      </w:r>
    </w:p>
    <w:p>
      <w:pPr>
        <w:spacing w:after="0" w:line="92"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Article V. Conditions Precedent</w:t>
      </w:r>
      <w:r>
        <w:rPr>
          <w:sz w:val="20"/>
          <w:szCs w:val="20"/>
          <w:color w:val="auto"/>
        </w:rPr>
        <w:tab/>
      </w:r>
      <w:r>
        <w:rPr>
          <w:rFonts w:ascii="Times New Roman" w:cs="Times New Roman" w:eastAsia="Times New Roman" w:hAnsi="Times New Roman"/>
          <w:sz w:val="19"/>
          <w:szCs w:val="19"/>
          <w:color w:val="FF0000"/>
          <w:strike w:val="1"/>
        </w:rPr>
        <w:t>56</w:t>
      </w:r>
      <w:r>
        <w:rPr>
          <w:rFonts w:ascii="Times New Roman" w:cs="Times New Roman" w:eastAsia="Times New Roman" w:hAnsi="Times New Roman"/>
          <w:sz w:val="19"/>
          <w:szCs w:val="19"/>
          <w:u w:val="single" w:color="auto"/>
          <w:color w:val="0101FF"/>
          <w:strike w:val="1"/>
        </w:rPr>
        <w:t>61</w:t>
      </w:r>
    </w:p>
    <w:p>
      <w:pPr>
        <w:spacing w:after="0" w:line="121" w:lineRule="exact"/>
        <w:rPr>
          <w:sz w:val="20"/>
          <w:szCs w:val="20"/>
          <w:color w:val="auto"/>
        </w:rPr>
      </w:pPr>
    </w:p>
    <w:p>
      <w:pPr>
        <w:ind w:left="660"/>
        <w:spacing w:after="0"/>
        <w:tabs>
          <w:tab w:leader="none" w:pos="4100" w:val="left"/>
        </w:tabs>
        <w:rPr>
          <w:sz w:val="20"/>
          <w:szCs w:val="20"/>
          <w:color w:val="auto"/>
        </w:rPr>
      </w:pPr>
      <w:r>
        <w:rPr>
          <w:rFonts w:ascii="Times New Roman" w:cs="Times New Roman" w:eastAsia="Times New Roman" w:hAnsi="Times New Roman"/>
          <w:sz w:val="20"/>
          <w:szCs w:val="20"/>
          <w:color w:val="auto"/>
        </w:rPr>
        <w:t>Section 5.1. Initial Conditions Precedent.</w:t>
      </w:r>
      <w:r>
        <w:rPr>
          <w:sz w:val="20"/>
          <w:szCs w:val="20"/>
          <w:color w:val="auto"/>
        </w:rPr>
        <w:tab/>
      </w:r>
      <w:r>
        <w:rPr>
          <w:rFonts w:ascii="Times New Roman" w:cs="Times New Roman" w:eastAsia="Times New Roman" w:hAnsi="Times New Roman"/>
          <w:sz w:val="18"/>
          <w:szCs w:val="18"/>
          <w:color w:val="FF0000"/>
          <w:strike w:val="1"/>
        </w:rPr>
        <w:t>56</w:t>
      </w:r>
      <w:r>
        <w:rPr>
          <w:rFonts w:ascii="Times New Roman" w:cs="Times New Roman" w:eastAsia="Times New Roman" w:hAnsi="Times New Roman"/>
          <w:sz w:val="18"/>
          <w:szCs w:val="18"/>
          <w:u w:val="single" w:color="auto"/>
          <w:color w:val="0101FF"/>
          <w:strike w:val="1"/>
        </w:rPr>
        <w:t>61</w:t>
      </w:r>
    </w:p>
    <w:p>
      <w:pPr>
        <w:spacing w:after="0" w:line="22" w:lineRule="exact"/>
        <w:rPr>
          <w:sz w:val="20"/>
          <w:szCs w:val="20"/>
          <w:color w:val="auto"/>
        </w:rPr>
      </w:pPr>
    </w:p>
    <w:p>
      <w:pPr>
        <w:ind w:left="660"/>
        <w:spacing w:after="0"/>
        <w:tabs>
          <w:tab w:leader="none" w:pos="4600" w:val="left"/>
        </w:tabs>
        <w:rPr>
          <w:sz w:val="20"/>
          <w:szCs w:val="20"/>
          <w:color w:val="auto"/>
        </w:rPr>
      </w:pPr>
      <w:r>
        <w:rPr>
          <w:rFonts w:ascii="Times New Roman" w:cs="Times New Roman" w:eastAsia="Times New Roman" w:hAnsi="Times New Roman"/>
          <w:sz w:val="20"/>
          <w:szCs w:val="20"/>
          <w:color w:val="auto"/>
        </w:rPr>
        <w:t>Section 5.2. Conditions Precedent to All Loans.</w:t>
      </w:r>
      <w:r>
        <w:rPr>
          <w:sz w:val="20"/>
          <w:szCs w:val="20"/>
          <w:color w:val="auto"/>
        </w:rPr>
        <w:tab/>
      </w:r>
      <w:r>
        <w:rPr>
          <w:rFonts w:ascii="Times New Roman" w:cs="Times New Roman" w:eastAsia="Times New Roman" w:hAnsi="Times New Roman"/>
          <w:sz w:val="19"/>
          <w:szCs w:val="19"/>
          <w:color w:val="FF0000"/>
          <w:strike w:val="1"/>
        </w:rPr>
        <w:t>58</w:t>
      </w:r>
      <w:r>
        <w:rPr>
          <w:rFonts w:ascii="Times New Roman" w:cs="Times New Roman" w:eastAsia="Times New Roman" w:hAnsi="Times New Roman"/>
          <w:sz w:val="19"/>
          <w:szCs w:val="19"/>
          <w:u w:val="single" w:color="auto"/>
          <w:color w:val="0101FF"/>
          <w:strike w:val="1"/>
        </w:rPr>
        <w:t>63</w:t>
      </w:r>
    </w:p>
    <w:p>
      <w:pPr>
        <w:spacing w:after="0" w:line="6" w:lineRule="exact"/>
        <w:rPr>
          <w:sz w:val="20"/>
          <w:szCs w:val="20"/>
          <w:color w:val="auto"/>
        </w:rPr>
      </w:pPr>
    </w:p>
    <w:p>
      <w:pPr>
        <w:ind w:left="660"/>
        <w:spacing w:after="0"/>
        <w:tabs>
          <w:tab w:leader="none" w:pos="4240" w:val="left"/>
        </w:tabs>
        <w:rPr>
          <w:sz w:val="20"/>
          <w:szCs w:val="20"/>
          <w:color w:val="auto"/>
        </w:rPr>
      </w:pPr>
      <w:r>
        <w:rPr>
          <w:rFonts w:ascii="Times New Roman" w:cs="Times New Roman" w:eastAsia="Times New Roman" w:hAnsi="Times New Roman"/>
          <w:sz w:val="20"/>
          <w:szCs w:val="20"/>
          <w:color w:val="auto"/>
        </w:rPr>
        <w:t>Article VI. Representations and Warranties</w:t>
      </w:r>
      <w:r>
        <w:rPr>
          <w:sz w:val="20"/>
          <w:szCs w:val="20"/>
          <w:color w:val="auto"/>
        </w:rPr>
        <w:tab/>
      </w:r>
      <w:r>
        <w:rPr>
          <w:rFonts w:ascii="Times New Roman" w:cs="Times New Roman" w:eastAsia="Times New Roman" w:hAnsi="Times New Roman"/>
          <w:sz w:val="19"/>
          <w:szCs w:val="19"/>
          <w:color w:val="FF0000"/>
          <w:strike w:val="1"/>
        </w:rPr>
        <w:t>59</w:t>
      </w:r>
      <w:r>
        <w:rPr>
          <w:rFonts w:ascii="Times New Roman" w:cs="Times New Roman" w:eastAsia="Times New Roman" w:hAnsi="Times New Roman"/>
          <w:sz w:val="19"/>
          <w:szCs w:val="19"/>
          <w:u w:val="single" w:color="auto"/>
          <w:color w:val="0101FF"/>
          <w:strike w:val="1"/>
        </w:rPr>
        <w:t>64</w:t>
      </w:r>
    </w:p>
    <w:p>
      <w:pPr>
        <w:spacing w:after="0" w:line="13" w:lineRule="exact"/>
        <w:rPr>
          <w:sz w:val="20"/>
          <w:szCs w:val="20"/>
          <w:color w:val="auto"/>
        </w:rPr>
      </w:pPr>
    </w:p>
    <w:p>
      <w:pPr>
        <w:ind w:left="660"/>
        <w:spacing w:after="0"/>
        <w:tabs>
          <w:tab w:leader="none" w:pos="4380" w:val="left"/>
        </w:tabs>
        <w:rPr>
          <w:sz w:val="20"/>
          <w:szCs w:val="20"/>
          <w:color w:val="auto"/>
        </w:rPr>
      </w:pPr>
      <w:r>
        <w:rPr>
          <w:rFonts w:ascii="Times New Roman" w:cs="Times New Roman" w:eastAsia="Times New Roman" w:hAnsi="Times New Roman"/>
          <w:sz w:val="20"/>
          <w:szCs w:val="20"/>
          <w:color w:val="auto"/>
        </w:rPr>
        <w:t>Section 6.1. Representations and Warranties.</w:t>
      </w:r>
      <w:r>
        <w:rPr>
          <w:sz w:val="20"/>
          <w:szCs w:val="20"/>
          <w:color w:val="auto"/>
        </w:rPr>
        <w:tab/>
      </w:r>
      <w:r>
        <w:rPr>
          <w:rFonts w:ascii="Times New Roman" w:cs="Times New Roman" w:eastAsia="Times New Roman" w:hAnsi="Times New Roman"/>
          <w:sz w:val="18"/>
          <w:szCs w:val="18"/>
          <w:color w:val="FF0000"/>
          <w:strike w:val="1"/>
        </w:rPr>
        <w:t>59</w:t>
      </w:r>
      <w:r>
        <w:rPr>
          <w:rFonts w:ascii="Times New Roman" w:cs="Times New Roman" w:eastAsia="Times New Roman" w:hAnsi="Times New Roman"/>
          <w:sz w:val="18"/>
          <w:szCs w:val="18"/>
          <w:u w:val="single" w:color="auto"/>
          <w:color w:val="0101FF"/>
          <w:strike w:val="1"/>
        </w:rPr>
        <w:t>64</w:t>
      </w:r>
    </w:p>
    <w:p>
      <w:pPr>
        <w:spacing w:after="0" w:line="6" w:lineRule="exact"/>
        <w:rPr>
          <w:sz w:val="20"/>
          <w:szCs w:val="20"/>
          <w:color w:val="auto"/>
        </w:rPr>
      </w:pPr>
    </w:p>
    <w:p>
      <w:pPr>
        <w:ind w:right="4059" w:firstLine="648"/>
        <w:spacing w:after="0" w:line="347" w:lineRule="auto"/>
        <w:rPr>
          <w:sz w:val="20"/>
          <w:szCs w:val="20"/>
          <w:color w:val="auto"/>
        </w:rPr>
      </w:pPr>
      <w:r>
        <w:rPr>
          <w:rFonts w:ascii="Times New Roman" w:cs="Times New Roman" w:eastAsia="Times New Roman" w:hAnsi="Times New Roman"/>
          <w:sz w:val="20"/>
          <w:szCs w:val="20"/>
          <w:color w:val="auto"/>
        </w:rPr>
        <w:t xml:space="preserve">Section 6.2. Survival of Representations and Warranties, Etc. </w:t>
      </w:r>
      <w:r>
        <w:rPr>
          <w:rFonts w:ascii="Times New Roman" w:cs="Times New Roman" w:eastAsia="Times New Roman" w:hAnsi="Times New Roman"/>
          <w:sz w:val="20"/>
          <w:szCs w:val="20"/>
          <w:color w:val="FF0000"/>
          <w:strike w:val="1"/>
        </w:rPr>
        <w:t>65</w:t>
      </w:r>
      <w:r>
        <w:rPr>
          <w:rFonts w:ascii="Times New Roman" w:cs="Times New Roman" w:eastAsia="Times New Roman" w:hAnsi="Times New Roman"/>
          <w:sz w:val="20"/>
          <w:szCs w:val="20"/>
          <w:u w:val="single" w:color="auto"/>
          <w:color w:val="0101FF"/>
        </w:rPr>
        <w:t>71</w:t>
      </w:r>
      <w:r>
        <w:rPr>
          <w:rFonts w:ascii="Times New Roman" w:cs="Times New Roman" w:eastAsia="Times New Roman" w:hAnsi="Times New Roman"/>
          <w:sz w:val="20"/>
          <w:szCs w:val="20"/>
          <w:color w:val="auto"/>
        </w:rPr>
        <w:t xml:space="preserve"> Article VII. Affirmative Covenants </w:t>
      </w:r>
      <w:r>
        <w:rPr>
          <w:rFonts w:ascii="Times New Roman" w:cs="Times New Roman" w:eastAsia="Times New Roman" w:hAnsi="Times New Roman"/>
          <w:sz w:val="20"/>
          <w:szCs w:val="20"/>
          <w:color w:val="FF0000"/>
          <w:strike w:val="1"/>
        </w:rPr>
        <w:t>65</w:t>
      </w:r>
      <w:r>
        <w:rPr>
          <w:rFonts w:ascii="Times New Roman" w:cs="Times New Roman" w:eastAsia="Times New Roman" w:hAnsi="Times New Roman"/>
          <w:sz w:val="20"/>
          <w:szCs w:val="20"/>
          <w:u w:val="single" w:color="auto"/>
          <w:color w:val="0101FF"/>
        </w:rPr>
        <w:t>71</w:t>
      </w:r>
    </w:p>
    <w:p>
      <w:pPr>
        <w:spacing w:after="0" w:line="1" w:lineRule="exact"/>
        <w:rPr>
          <w:sz w:val="20"/>
          <w:szCs w:val="20"/>
          <w:color w:val="auto"/>
        </w:rPr>
      </w:pPr>
    </w:p>
    <w:p>
      <w:pPr>
        <w:ind w:left="660" w:right="4199"/>
        <w:spacing w:after="0" w:line="256" w:lineRule="auto"/>
        <w:rPr>
          <w:sz w:val="20"/>
          <w:szCs w:val="20"/>
          <w:color w:val="auto"/>
        </w:rPr>
      </w:pPr>
      <w:r>
        <w:rPr>
          <w:rFonts w:ascii="Times New Roman" w:cs="Times New Roman" w:eastAsia="Times New Roman" w:hAnsi="Times New Roman"/>
          <w:sz w:val="20"/>
          <w:szCs w:val="20"/>
          <w:color w:val="auto"/>
        </w:rPr>
        <w:t xml:space="preserve">Section 7.1. Preservation of Existence and Similar Matters. </w:t>
      </w:r>
      <w:r>
        <w:rPr>
          <w:rFonts w:ascii="Times New Roman" w:cs="Times New Roman" w:eastAsia="Times New Roman" w:hAnsi="Times New Roman"/>
          <w:sz w:val="20"/>
          <w:szCs w:val="20"/>
          <w:color w:val="FF0000"/>
          <w:strike w:val="1"/>
        </w:rPr>
        <w:t>66</w:t>
      </w:r>
      <w:r>
        <w:rPr>
          <w:rFonts w:ascii="Times New Roman" w:cs="Times New Roman" w:eastAsia="Times New Roman" w:hAnsi="Times New Roman"/>
          <w:sz w:val="20"/>
          <w:szCs w:val="20"/>
          <w:u w:val="single" w:color="auto"/>
          <w:color w:val="0101FF"/>
        </w:rPr>
        <w:t>71</w:t>
      </w:r>
      <w:r>
        <w:rPr>
          <w:rFonts w:ascii="Times New Roman" w:cs="Times New Roman" w:eastAsia="Times New Roman" w:hAnsi="Times New Roman"/>
          <w:sz w:val="20"/>
          <w:szCs w:val="20"/>
          <w:color w:val="auto"/>
        </w:rPr>
        <w:t xml:space="preserve"> Section 7.2. Compliance with Applicable Law. </w:t>
      </w:r>
      <w:r>
        <w:rPr>
          <w:rFonts w:ascii="Times New Roman" w:cs="Times New Roman" w:eastAsia="Times New Roman" w:hAnsi="Times New Roman"/>
          <w:sz w:val="20"/>
          <w:szCs w:val="20"/>
          <w:color w:val="FF0000"/>
          <w:strike w:val="1"/>
        </w:rPr>
        <w:t>66</w:t>
      </w:r>
      <w:r>
        <w:rPr>
          <w:rFonts w:ascii="Times New Roman" w:cs="Times New Roman" w:eastAsia="Times New Roman" w:hAnsi="Times New Roman"/>
          <w:sz w:val="20"/>
          <w:szCs w:val="20"/>
          <w:u w:val="single" w:color="auto"/>
          <w:color w:val="0101FF"/>
        </w:rPr>
        <w:t>71</w:t>
      </w:r>
      <w:r>
        <w:rPr>
          <w:rFonts w:ascii="Times New Roman" w:cs="Times New Roman" w:eastAsia="Times New Roman" w:hAnsi="Times New Roman"/>
          <w:sz w:val="20"/>
          <w:szCs w:val="20"/>
          <w:color w:val="auto"/>
        </w:rPr>
        <w:t xml:space="preserve"> Section 7.3. Maintenance of Property. </w:t>
      </w:r>
      <w:r>
        <w:rPr>
          <w:rFonts w:ascii="Times New Roman" w:cs="Times New Roman" w:eastAsia="Times New Roman" w:hAnsi="Times New Roman"/>
          <w:sz w:val="20"/>
          <w:szCs w:val="20"/>
          <w:color w:val="FF0000"/>
          <w:strike w:val="1"/>
        </w:rPr>
        <w:t>66</w:t>
      </w:r>
      <w:r>
        <w:rPr>
          <w:rFonts w:ascii="Times New Roman" w:cs="Times New Roman" w:eastAsia="Times New Roman" w:hAnsi="Times New Roman"/>
          <w:sz w:val="20"/>
          <w:szCs w:val="20"/>
          <w:u w:val="single" w:color="auto"/>
          <w:color w:val="0101FF"/>
        </w:rPr>
        <w:t>71</w:t>
      </w:r>
    </w:p>
    <w:p>
      <w:pPr>
        <w:spacing w:after="0" w:line="2" w:lineRule="exact"/>
        <w:rPr>
          <w:sz w:val="20"/>
          <w:szCs w:val="20"/>
          <w:color w:val="auto"/>
        </w:rPr>
      </w:pPr>
    </w:p>
    <w:p>
      <w:pPr>
        <w:ind w:left="660"/>
        <w:spacing w:after="0"/>
        <w:tabs>
          <w:tab w:leader="none" w:pos="3520" w:val="left"/>
        </w:tabs>
        <w:rPr>
          <w:sz w:val="20"/>
          <w:szCs w:val="20"/>
          <w:color w:val="auto"/>
        </w:rPr>
      </w:pPr>
      <w:r>
        <w:rPr>
          <w:rFonts w:ascii="Times New Roman" w:cs="Times New Roman" w:eastAsia="Times New Roman" w:hAnsi="Times New Roman"/>
          <w:sz w:val="20"/>
          <w:szCs w:val="20"/>
          <w:color w:val="auto"/>
        </w:rPr>
        <w:t>Section 7.4. Conduct of Business.</w:t>
      </w:r>
      <w:r>
        <w:rPr>
          <w:sz w:val="20"/>
          <w:szCs w:val="20"/>
          <w:color w:val="auto"/>
        </w:rPr>
        <w:tab/>
      </w:r>
      <w:r>
        <w:rPr>
          <w:rFonts w:ascii="Times New Roman" w:cs="Times New Roman" w:eastAsia="Times New Roman" w:hAnsi="Times New Roman"/>
          <w:sz w:val="18"/>
          <w:szCs w:val="18"/>
          <w:color w:val="FF0000"/>
          <w:strike w:val="1"/>
        </w:rPr>
        <w:t>66</w:t>
      </w:r>
      <w:r>
        <w:rPr>
          <w:rFonts w:ascii="Times New Roman" w:cs="Times New Roman" w:eastAsia="Times New Roman" w:hAnsi="Times New Roman"/>
          <w:sz w:val="18"/>
          <w:szCs w:val="18"/>
          <w:u w:val="single" w:color="auto"/>
          <w:color w:val="0101FF"/>
          <w:strike w:val="1"/>
        </w:rPr>
        <w:t>72</w:t>
      </w:r>
    </w:p>
    <w:p>
      <w:pPr>
        <w:spacing w:after="0" w:line="6" w:lineRule="exact"/>
        <w:rPr>
          <w:sz w:val="20"/>
          <w:szCs w:val="20"/>
          <w:color w:val="auto"/>
        </w:rPr>
      </w:pPr>
    </w:p>
    <w:p>
      <w:pPr>
        <w:ind w:left="660"/>
        <w:spacing w:after="0"/>
        <w:tabs>
          <w:tab w:leader="none" w:pos="2640" w:val="left"/>
        </w:tabs>
        <w:rPr>
          <w:sz w:val="20"/>
          <w:szCs w:val="20"/>
          <w:color w:val="auto"/>
        </w:rPr>
      </w:pPr>
      <w:r>
        <w:rPr>
          <w:rFonts w:ascii="Times New Roman" w:cs="Times New Roman" w:eastAsia="Times New Roman" w:hAnsi="Times New Roman"/>
          <w:sz w:val="20"/>
          <w:szCs w:val="20"/>
          <w:color w:val="auto"/>
        </w:rPr>
        <w:t>Section 7.5. Insurance.</w:t>
      </w:r>
      <w:r>
        <w:rPr>
          <w:sz w:val="20"/>
          <w:szCs w:val="20"/>
          <w:color w:val="auto"/>
        </w:rPr>
        <w:tab/>
      </w:r>
      <w:r>
        <w:rPr>
          <w:rFonts w:ascii="Times New Roman" w:cs="Times New Roman" w:eastAsia="Times New Roman" w:hAnsi="Times New Roman"/>
          <w:sz w:val="19"/>
          <w:szCs w:val="19"/>
          <w:color w:val="FF0000"/>
          <w:strike w:val="1"/>
        </w:rPr>
        <w:t>66</w:t>
      </w:r>
      <w:r>
        <w:rPr>
          <w:rFonts w:ascii="Times New Roman" w:cs="Times New Roman" w:eastAsia="Times New Roman" w:hAnsi="Times New Roman"/>
          <w:sz w:val="19"/>
          <w:szCs w:val="19"/>
          <w:u w:val="single" w:color="auto"/>
          <w:color w:val="0101FF"/>
          <w:strike w:val="1"/>
        </w:rPr>
        <w:t>72</w:t>
      </w:r>
    </w:p>
    <w:p>
      <w:pPr>
        <w:spacing w:after="0" w:line="6" w:lineRule="exact"/>
        <w:rPr>
          <w:sz w:val="20"/>
          <w:szCs w:val="20"/>
          <w:color w:val="auto"/>
        </w:rPr>
      </w:pPr>
    </w:p>
    <w:p>
      <w:pPr>
        <w:ind w:left="660"/>
        <w:spacing w:after="0"/>
        <w:tabs>
          <w:tab w:leader="none" w:pos="4240" w:val="left"/>
        </w:tabs>
        <w:rPr>
          <w:sz w:val="20"/>
          <w:szCs w:val="20"/>
          <w:color w:val="auto"/>
        </w:rPr>
      </w:pPr>
      <w:r>
        <w:rPr>
          <w:rFonts w:ascii="Times New Roman" w:cs="Times New Roman" w:eastAsia="Times New Roman" w:hAnsi="Times New Roman"/>
          <w:sz w:val="20"/>
          <w:szCs w:val="20"/>
          <w:color w:val="auto"/>
        </w:rPr>
        <w:t>Section 7.6. Payment of Taxes and Claims.</w:t>
      </w:r>
      <w:r>
        <w:rPr>
          <w:sz w:val="20"/>
          <w:szCs w:val="20"/>
          <w:color w:val="auto"/>
        </w:rPr>
        <w:tab/>
      </w:r>
      <w:r>
        <w:rPr>
          <w:rFonts w:ascii="Times New Roman" w:cs="Times New Roman" w:eastAsia="Times New Roman" w:hAnsi="Times New Roman"/>
          <w:sz w:val="18"/>
          <w:szCs w:val="18"/>
          <w:color w:val="FF0000"/>
          <w:strike w:val="1"/>
        </w:rPr>
        <w:t>66</w:t>
      </w:r>
      <w:r>
        <w:rPr>
          <w:rFonts w:ascii="Times New Roman" w:cs="Times New Roman" w:eastAsia="Times New Roman" w:hAnsi="Times New Roman"/>
          <w:sz w:val="18"/>
          <w:szCs w:val="18"/>
          <w:u w:val="single" w:color="auto"/>
          <w:color w:val="0101FF"/>
          <w:strike w:val="1"/>
        </w:rPr>
        <w:t>72</w:t>
      </w:r>
    </w:p>
    <w:p>
      <w:pPr>
        <w:spacing w:after="0" w:line="6" w:lineRule="exact"/>
        <w:rPr>
          <w:sz w:val="20"/>
          <w:szCs w:val="20"/>
          <w:color w:val="auto"/>
        </w:rPr>
      </w:pPr>
    </w:p>
    <w:p>
      <w:pPr>
        <w:ind w:left="660"/>
        <w:spacing w:after="0"/>
        <w:tabs>
          <w:tab w:leader="none" w:pos="4420" w:val="left"/>
        </w:tabs>
        <w:rPr>
          <w:sz w:val="20"/>
          <w:szCs w:val="20"/>
          <w:color w:val="auto"/>
        </w:rPr>
      </w:pPr>
      <w:r>
        <w:rPr>
          <w:rFonts w:ascii="Times New Roman" w:cs="Times New Roman" w:eastAsia="Times New Roman" w:hAnsi="Times New Roman"/>
          <w:sz w:val="20"/>
          <w:szCs w:val="20"/>
          <w:color w:val="auto"/>
        </w:rPr>
        <w:t>Section 7.7. Books and Records; Inspections.</w:t>
      </w:r>
      <w:r>
        <w:rPr>
          <w:sz w:val="20"/>
          <w:szCs w:val="20"/>
          <w:color w:val="auto"/>
        </w:rPr>
        <w:tab/>
      </w:r>
      <w:r>
        <w:rPr>
          <w:rFonts w:ascii="Times New Roman" w:cs="Times New Roman" w:eastAsia="Times New Roman" w:hAnsi="Times New Roman"/>
          <w:sz w:val="19"/>
          <w:szCs w:val="19"/>
          <w:color w:val="FF0000"/>
          <w:strike w:val="1"/>
        </w:rPr>
        <w:t>67</w:t>
      </w:r>
      <w:r>
        <w:rPr>
          <w:rFonts w:ascii="Times New Roman" w:cs="Times New Roman" w:eastAsia="Times New Roman" w:hAnsi="Times New Roman"/>
          <w:sz w:val="19"/>
          <w:szCs w:val="19"/>
          <w:u w:val="single" w:color="auto"/>
          <w:color w:val="0101FF"/>
          <w:strike w:val="1"/>
        </w:rPr>
        <w:t>72</w:t>
      </w:r>
    </w:p>
    <w:p>
      <w:pPr>
        <w:spacing w:after="0" w:line="13" w:lineRule="exact"/>
        <w:rPr>
          <w:sz w:val="20"/>
          <w:szCs w:val="20"/>
          <w:color w:val="auto"/>
        </w:rPr>
      </w:pPr>
    </w:p>
    <w:p>
      <w:pPr>
        <w:ind w:left="660"/>
        <w:spacing w:after="0"/>
        <w:tabs>
          <w:tab w:leader="none" w:pos="3160" w:val="left"/>
        </w:tabs>
        <w:rPr>
          <w:sz w:val="20"/>
          <w:szCs w:val="20"/>
          <w:color w:val="auto"/>
        </w:rPr>
      </w:pPr>
      <w:r>
        <w:rPr>
          <w:rFonts w:ascii="Times New Roman" w:cs="Times New Roman" w:eastAsia="Times New Roman" w:hAnsi="Times New Roman"/>
          <w:sz w:val="20"/>
          <w:szCs w:val="20"/>
          <w:color w:val="auto"/>
        </w:rPr>
        <w:t>Section 7.8. Use of Proceeds.</w:t>
      </w:r>
      <w:r>
        <w:rPr>
          <w:sz w:val="20"/>
          <w:szCs w:val="20"/>
          <w:color w:val="auto"/>
        </w:rPr>
        <w:tab/>
      </w:r>
      <w:r>
        <w:rPr>
          <w:rFonts w:ascii="Times New Roman" w:cs="Times New Roman" w:eastAsia="Times New Roman" w:hAnsi="Times New Roman"/>
          <w:sz w:val="19"/>
          <w:szCs w:val="19"/>
          <w:color w:val="FF0000"/>
          <w:strike w:val="1"/>
        </w:rPr>
        <w:t>67</w:t>
      </w:r>
      <w:r>
        <w:rPr>
          <w:rFonts w:ascii="Times New Roman" w:cs="Times New Roman" w:eastAsia="Times New Roman" w:hAnsi="Times New Roman"/>
          <w:sz w:val="19"/>
          <w:szCs w:val="19"/>
          <w:u w:val="single" w:color="auto"/>
          <w:color w:val="0101FF"/>
          <w:strike w:val="1"/>
        </w:rPr>
        <w:t>73</w:t>
      </w:r>
    </w:p>
    <w:p>
      <w:pPr>
        <w:spacing w:after="0" w:line="6" w:lineRule="exact"/>
        <w:rPr>
          <w:sz w:val="20"/>
          <w:szCs w:val="20"/>
          <w:color w:val="auto"/>
        </w:rPr>
      </w:pPr>
    </w:p>
    <w:p>
      <w:pPr>
        <w:ind w:left="660"/>
        <w:spacing w:after="0"/>
        <w:tabs>
          <w:tab w:leader="none" w:pos="3700" w:val="left"/>
        </w:tabs>
        <w:rPr>
          <w:sz w:val="20"/>
          <w:szCs w:val="20"/>
          <w:color w:val="auto"/>
        </w:rPr>
      </w:pPr>
      <w:r>
        <w:rPr>
          <w:rFonts w:ascii="Times New Roman" w:cs="Times New Roman" w:eastAsia="Times New Roman" w:hAnsi="Times New Roman"/>
          <w:sz w:val="20"/>
          <w:szCs w:val="20"/>
          <w:color w:val="auto"/>
        </w:rPr>
        <w:t>Section 7.9. Environmental Matters.</w:t>
      </w:r>
      <w:r>
        <w:rPr>
          <w:sz w:val="20"/>
          <w:szCs w:val="20"/>
          <w:color w:val="auto"/>
        </w:rPr>
        <w:tab/>
      </w:r>
      <w:r>
        <w:rPr>
          <w:rFonts w:ascii="Times New Roman" w:cs="Times New Roman" w:eastAsia="Times New Roman" w:hAnsi="Times New Roman"/>
          <w:sz w:val="19"/>
          <w:szCs w:val="19"/>
          <w:color w:val="FF0000"/>
          <w:strike w:val="1"/>
        </w:rPr>
        <w:t>68</w:t>
      </w:r>
      <w:r>
        <w:rPr>
          <w:rFonts w:ascii="Times New Roman" w:cs="Times New Roman" w:eastAsia="Times New Roman" w:hAnsi="Times New Roman"/>
          <w:sz w:val="19"/>
          <w:szCs w:val="19"/>
          <w:u w:val="single" w:color="auto"/>
          <w:color w:val="0101FF"/>
          <w:strike w:val="1"/>
        </w:rPr>
        <w:t>73</w:t>
      </w:r>
    </w:p>
    <w:p>
      <w:pPr>
        <w:spacing w:after="0" w:line="6" w:lineRule="exact"/>
        <w:rPr>
          <w:sz w:val="20"/>
          <w:szCs w:val="20"/>
          <w:color w:val="auto"/>
        </w:rPr>
      </w:pPr>
    </w:p>
    <w:p>
      <w:pPr>
        <w:ind w:left="660"/>
        <w:spacing w:after="0"/>
        <w:tabs>
          <w:tab w:leader="none" w:pos="3500" w:val="left"/>
        </w:tabs>
        <w:rPr>
          <w:sz w:val="20"/>
          <w:szCs w:val="20"/>
          <w:color w:val="auto"/>
        </w:rPr>
      </w:pPr>
      <w:r>
        <w:rPr>
          <w:rFonts w:ascii="Times New Roman" w:cs="Times New Roman" w:eastAsia="Times New Roman" w:hAnsi="Times New Roman"/>
          <w:sz w:val="20"/>
          <w:szCs w:val="20"/>
          <w:color w:val="auto"/>
        </w:rPr>
        <w:t>Section 7.10. Further Assurances.</w:t>
      </w:r>
      <w:r>
        <w:rPr>
          <w:sz w:val="20"/>
          <w:szCs w:val="20"/>
          <w:color w:val="auto"/>
        </w:rPr>
        <w:tab/>
      </w:r>
      <w:r>
        <w:rPr>
          <w:rFonts w:ascii="Times New Roman" w:cs="Times New Roman" w:eastAsia="Times New Roman" w:hAnsi="Times New Roman"/>
          <w:sz w:val="19"/>
          <w:szCs w:val="19"/>
          <w:color w:val="FF0000"/>
          <w:strike w:val="1"/>
        </w:rPr>
        <w:t>68</w:t>
      </w:r>
      <w:r>
        <w:rPr>
          <w:rFonts w:ascii="Times New Roman" w:cs="Times New Roman" w:eastAsia="Times New Roman" w:hAnsi="Times New Roman"/>
          <w:sz w:val="19"/>
          <w:szCs w:val="19"/>
          <w:u w:val="single" w:color="auto"/>
          <w:color w:val="0101FF"/>
          <w:strike w:val="1"/>
        </w:rPr>
        <w:t>74</w:t>
      </w:r>
    </w:p>
    <w:p>
      <w:pPr>
        <w:spacing w:after="0" w:line="6" w:lineRule="exact"/>
        <w:rPr>
          <w:sz w:val="20"/>
          <w:szCs w:val="20"/>
          <w:color w:val="auto"/>
        </w:rPr>
      </w:pPr>
    </w:p>
    <w:p>
      <w:pPr>
        <w:ind w:left="660"/>
        <w:spacing w:after="0"/>
        <w:tabs>
          <w:tab w:leader="none" w:pos="2940" w:val="left"/>
        </w:tabs>
        <w:rPr>
          <w:sz w:val="20"/>
          <w:szCs w:val="20"/>
          <w:color w:val="auto"/>
        </w:rPr>
      </w:pPr>
      <w:r>
        <w:rPr>
          <w:rFonts w:ascii="Times New Roman" w:cs="Times New Roman" w:eastAsia="Times New Roman" w:hAnsi="Times New Roman"/>
          <w:sz w:val="20"/>
          <w:szCs w:val="20"/>
          <w:color w:val="auto"/>
        </w:rPr>
        <w:t>Section 7.11. REIT Status.</w:t>
      </w:r>
      <w:r>
        <w:rPr>
          <w:sz w:val="20"/>
          <w:szCs w:val="20"/>
          <w:color w:val="auto"/>
        </w:rPr>
        <w:tab/>
      </w:r>
      <w:r>
        <w:rPr>
          <w:rFonts w:ascii="Times New Roman" w:cs="Times New Roman" w:eastAsia="Times New Roman" w:hAnsi="Times New Roman"/>
          <w:sz w:val="19"/>
          <w:szCs w:val="19"/>
          <w:color w:val="FF0000"/>
          <w:strike w:val="1"/>
        </w:rPr>
        <w:t>68</w:t>
      </w:r>
      <w:r>
        <w:rPr>
          <w:rFonts w:ascii="Times New Roman" w:cs="Times New Roman" w:eastAsia="Times New Roman" w:hAnsi="Times New Roman"/>
          <w:sz w:val="19"/>
          <w:szCs w:val="19"/>
          <w:u w:val="single" w:color="auto"/>
          <w:color w:val="0101FF"/>
          <w:strike w:val="1"/>
        </w:rPr>
        <w:t>74</w:t>
      </w:r>
    </w:p>
    <w:p>
      <w:pPr>
        <w:spacing w:after="0" w:line="6" w:lineRule="exact"/>
        <w:rPr>
          <w:sz w:val="20"/>
          <w:szCs w:val="20"/>
          <w:color w:val="auto"/>
        </w:rPr>
      </w:pPr>
    </w:p>
    <w:p>
      <w:pPr>
        <w:ind w:left="660"/>
        <w:spacing w:after="0"/>
        <w:tabs>
          <w:tab w:leader="none" w:pos="3360" w:val="left"/>
        </w:tabs>
        <w:rPr>
          <w:sz w:val="20"/>
          <w:szCs w:val="20"/>
          <w:color w:val="auto"/>
        </w:rPr>
      </w:pPr>
      <w:r>
        <w:rPr>
          <w:rFonts w:ascii="Times New Roman" w:cs="Times New Roman" w:eastAsia="Times New Roman" w:hAnsi="Times New Roman"/>
          <w:sz w:val="20"/>
          <w:szCs w:val="20"/>
          <w:color w:val="auto"/>
        </w:rPr>
        <w:t>Section 7.12. Exchange Listing.</w:t>
      </w:r>
      <w:r>
        <w:rPr>
          <w:sz w:val="20"/>
          <w:szCs w:val="20"/>
          <w:color w:val="auto"/>
        </w:rPr>
        <w:tab/>
      </w:r>
      <w:r>
        <w:rPr>
          <w:rFonts w:ascii="Times New Roman" w:cs="Times New Roman" w:eastAsia="Times New Roman" w:hAnsi="Times New Roman"/>
          <w:sz w:val="19"/>
          <w:szCs w:val="19"/>
          <w:color w:val="FF0000"/>
          <w:strike w:val="1"/>
        </w:rPr>
        <w:t>68</w:t>
      </w:r>
      <w:r>
        <w:rPr>
          <w:rFonts w:ascii="Times New Roman" w:cs="Times New Roman" w:eastAsia="Times New Roman" w:hAnsi="Times New Roman"/>
          <w:sz w:val="19"/>
          <w:szCs w:val="19"/>
          <w:u w:val="single" w:color="auto"/>
          <w:color w:val="0101FF"/>
          <w:strike w:val="1"/>
        </w:rPr>
        <w:t>74</w:t>
      </w:r>
    </w:p>
    <w:p>
      <w:pPr>
        <w:spacing w:after="0" w:line="92"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20"/>
          <w:szCs w:val="20"/>
          <w:color w:val="auto"/>
        </w:rPr>
        <w:t>Article VIII. Information</w:t>
      </w:r>
      <w:r>
        <w:rPr>
          <w:sz w:val="20"/>
          <w:szCs w:val="20"/>
          <w:color w:val="auto"/>
        </w:rPr>
        <w:tab/>
      </w:r>
      <w:r>
        <w:rPr>
          <w:rFonts w:ascii="Times New Roman" w:cs="Times New Roman" w:eastAsia="Times New Roman" w:hAnsi="Times New Roman"/>
          <w:sz w:val="19"/>
          <w:szCs w:val="19"/>
          <w:color w:val="FF0000"/>
          <w:strike w:val="1"/>
        </w:rPr>
        <w:t>68</w:t>
      </w:r>
      <w:r>
        <w:rPr>
          <w:rFonts w:ascii="Times New Roman" w:cs="Times New Roman" w:eastAsia="Times New Roman" w:hAnsi="Times New Roman"/>
          <w:sz w:val="19"/>
          <w:szCs w:val="19"/>
          <w:u w:val="single" w:color="auto"/>
          <w:color w:val="0101FF"/>
          <w:strike w:val="1"/>
        </w:rPr>
        <w:t>74</w:t>
      </w:r>
    </w:p>
    <w:p>
      <w:pPr>
        <w:spacing w:after="0" w:line="121" w:lineRule="exact"/>
        <w:rPr>
          <w:sz w:val="20"/>
          <w:szCs w:val="20"/>
          <w:color w:val="auto"/>
        </w:rPr>
      </w:pPr>
    </w:p>
    <w:p>
      <w:pPr>
        <w:ind w:left="660"/>
        <w:spacing w:after="0"/>
        <w:tabs>
          <w:tab w:leader="none" w:pos="4340" w:val="left"/>
        </w:tabs>
        <w:rPr>
          <w:sz w:val="20"/>
          <w:szCs w:val="20"/>
          <w:color w:val="auto"/>
        </w:rPr>
      </w:pPr>
      <w:r>
        <w:rPr>
          <w:rFonts w:ascii="Times New Roman" w:cs="Times New Roman" w:eastAsia="Times New Roman" w:hAnsi="Times New Roman"/>
          <w:sz w:val="20"/>
          <w:szCs w:val="20"/>
          <w:color w:val="auto"/>
        </w:rPr>
        <w:t>Section 8.1. Quarterly Financial Statements.</w:t>
      </w:r>
      <w:r>
        <w:rPr>
          <w:sz w:val="20"/>
          <w:szCs w:val="20"/>
          <w:color w:val="auto"/>
        </w:rPr>
        <w:tab/>
      </w:r>
      <w:r>
        <w:rPr>
          <w:rFonts w:ascii="Times New Roman" w:cs="Times New Roman" w:eastAsia="Times New Roman" w:hAnsi="Times New Roman"/>
          <w:sz w:val="18"/>
          <w:szCs w:val="18"/>
          <w:color w:val="FF0000"/>
          <w:strike w:val="1"/>
        </w:rPr>
        <w:t>68</w:t>
      </w:r>
      <w:r>
        <w:rPr>
          <w:rFonts w:ascii="Times New Roman" w:cs="Times New Roman" w:eastAsia="Times New Roman" w:hAnsi="Times New Roman"/>
          <w:sz w:val="18"/>
          <w:szCs w:val="18"/>
          <w:u w:val="single" w:color="auto"/>
          <w:color w:val="0101FF"/>
          <w:strike w:val="1"/>
        </w:rPr>
        <w:t>74</w:t>
      </w:r>
    </w:p>
    <w:p>
      <w:pPr>
        <w:spacing w:after="0" w:line="28" w:lineRule="exact"/>
        <w:rPr>
          <w:sz w:val="20"/>
          <w:szCs w:val="20"/>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20"/>
          <w:szCs w:val="20"/>
          <w:color w:val="auto"/>
        </w:rPr>
        <w:t>Section 8.2. Year-End Statements.</w:t>
      </w:r>
      <w:r>
        <w:rPr>
          <w:sz w:val="20"/>
          <w:szCs w:val="20"/>
          <w:color w:val="auto"/>
        </w:rPr>
        <w:tab/>
      </w:r>
      <w:r>
        <w:rPr>
          <w:rFonts w:ascii="Times New Roman" w:cs="Times New Roman" w:eastAsia="Times New Roman" w:hAnsi="Times New Roman"/>
          <w:sz w:val="19"/>
          <w:szCs w:val="19"/>
          <w:color w:val="FF0000"/>
          <w:strike w:val="1"/>
        </w:rPr>
        <w:t>69</w:t>
      </w:r>
      <w:r>
        <w:rPr>
          <w:rFonts w:ascii="Times New Roman" w:cs="Times New Roman" w:eastAsia="Times New Roman" w:hAnsi="Times New Roman"/>
          <w:sz w:val="19"/>
          <w:szCs w:val="19"/>
          <w:u w:val="single" w:color="auto"/>
          <w:color w:val="0101FF"/>
          <w:strike w:val="1"/>
        </w:rPr>
        <w:t>74</w:t>
      </w:r>
    </w:p>
    <w:p>
      <w:pPr>
        <w:spacing w:after="0" w:line="6" w:lineRule="exact"/>
        <w:rPr>
          <w:sz w:val="20"/>
          <w:szCs w:val="20"/>
          <w:color w:val="auto"/>
        </w:rPr>
      </w:pPr>
    </w:p>
    <w:p>
      <w:pPr>
        <w:ind w:left="660"/>
        <w:spacing w:after="0"/>
        <w:tabs>
          <w:tab w:leader="none" w:pos="3720" w:val="left"/>
        </w:tabs>
        <w:rPr>
          <w:sz w:val="20"/>
          <w:szCs w:val="20"/>
          <w:color w:val="auto"/>
        </w:rPr>
      </w:pPr>
      <w:r>
        <w:rPr>
          <w:rFonts w:ascii="Times New Roman" w:cs="Times New Roman" w:eastAsia="Times New Roman" w:hAnsi="Times New Roman"/>
          <w:sz w:val="20"/>
          <w:szCs w:val="20"/>
          <w:color w:val="auto"/>
        </w:rPr>
        <w:t>Section 8.3. Compliance Certificate.</w:t>
      </w:r>
      <w:r>
        <w:rPr>
          <w:sz w:val="20"/>
          <w:szCs w:val="20"/>
          <w:color w:val="auto"/>
        </w:rPr>
        <w:tab/>
      </w:r>
      <w:r>
        <w:rPr>
          <w:rFonts w:ascii="Times New Roman" w:cs="Times New Roman" w:eastAsia="Times New Roman" w:hAnsi="Times New Roman"/>
          <w:sz w:val="18"/>
          <w:szCs w:val="18"/>
          <w:color w:val="FF0000"/>
          <w:strike w:val="1"/>
        </w:rPr>
        <w:t>69</w:t>
      </w:r>
      <w:r>
        <w:rPr>
          <w:rFonts w:ascii="Times New Roman" w:cs="Times New Roman" w:eastAsia="Times New Roman" w:hAnsi="Times New Roman"/>
          <w:sz w:val="18"/>
          <w:szCs w:val="18"/>
          <w:u w:val="single" w:color="auto"/>
          <w:color w:val="0101FF"/>
          <w:strike w:val="1"/>
        </w:rPr>
        <w:t>75</w:t>
      </w:r>
    </w:p>
    <w:p>
      <w:pPr>
        <w:spacing w:after="0" w:line="6" w:lineRule="exact"/>
        <w:rPr>
          <w:sz w:val="20"/>
          <w:szCs w:val="20"/>
          <w:color w:val="auto"/>
        </w:rPr>
      </w:pPr>
    </w:p>
    <w:p>
      <w:pPr>
        <w:ind w:left="660"/>
        <w:spacing w:after="0"/>
        <w:tabs>
          <w:tab w:leader="none" w:pos="3320" w:val="left"/>
        </w:tabs>
        <w:rPr>
          <w:sz w:val="20"/>
          <w:szCs w:val="20"/>
          <w:color w:val="auto"/>
        </w:rPr>
      </w:pPr>
      <w:r>
        <w:rPr>
          <w:rFonts w:ascii="Times New Roman" w:cs="Times New Roman" w:eastAsia="Times New Roman" w:hAnsi="Times New Roman"/>
          <w:sz w:val="20"/>
          <w:szCs w:val="20"/>
          <w:color w:val="auto"/>
        </w:rPr>
        <w:t>Section 8.4. Other Information.</w:t>
      </w:r>
      <w:r>
        <w:rPr>
          <w:sz w:val="20"/>
          <w:szCs w:val="20"/>
          <w:color w:val="auto"/>
        </w:rPr>
        <w:tab/>
      </w:r>
      <w:r>
        <w:rPr>
          <w:rFonts w:ascii="Times New Roman" w:cs="Times New Roman" w:eastAsia="Times New Roman" w:hAnsi="Times New Roman"/>
          <w:sz w:val="19"/>
          <w:szCs w:val="19"/>
          <w:color w:val="FF0000"/>
          <w:strike w:val="1"/>
        </w:rPr>
        <w:t>69</w:t>
      </w:r>
      <w:r>
        <w:rPr>
          <w:rFonts w:ascii="Times New Roman" w:cs="Times New Roman" w:eastAsia="Times New Roman" w:hAnsi="Times New Roman"/>
          <w:sz w:val="19"/>
          <w:szCs w:val="19"/>
          <w:u w:val="single" w:color="auto"/>
          <w:color w:val="0101FF"/>
          <w:strike w:val="1"/>
        </w:rPr>
        <w:t>75</w:t>
      </w:r>
    </w:p>
    <w:p>
      <w:pPr>
        <w:spacing w:after="0" w:line="6" w:lineRule="exact"/>
        <w:rPr>
          <w:sz w:val="20"/>
          <w:szCs w:val="20"/>
          <w:color w:val="auto"/>
        </w:rPr>
      </w:pPr>
    </w:p>
    <w:p>
      <w:pPr>
        <w:ind w:left="660"/>
        <w:spacing w:after="0"/>
        <w:tabs>
          <w:tab w:leader="none" w:pos="5260" w:val="left"/>
        </w:tabs>
        <w:rPr>
          <w:sz w:val="20"/>
          <w:szCs w:val="20"/>
          <w:color w:val="auto"/>
        </w:rPr>
      </w:pPr>
      <w:r>
        <w:rPr>
          <w:rFonts w:ascii="Times New Roman" w:cs="Times New Roman" w:eastAsia="Times New Roman" w:hAnsi="Times New Roman"/>
          <w:sz w:val="20"/>
          <w:szCs w:val="20"/>
          <w:color w:val="auto"/>
        </w:rPr>
        <w:t>Section 8.5. Electronic Delivery of Certain Information.</w:t>
      </w:r>
      <w:r>
        <w:rPr>
          <w:sz w:val="20"/>
          <w:szCs w:val="20"/>
          <w:color w:val="auto"/>
        </w:rPr>
        <w:tab/>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101FF"/>
          <w:strike w:val="1"/>
        </w:rPr>
        <w:t>77</w:t>
      </w:r>
    </w:p>
    <w:p>
      <w:pPr>
        <w:spacing w:after="0" w:line="6" w:lineRule="exact"/>
        <w:rPr>
          <w:sz w:val="20"/>
          <w:szCs w:val="20"/>
          <w:color w:val="auto"/>
        </w:rPr>
      </w:pPr>
    </w:p>
    <w:p>
      <w:pPr>
        <w:ind w:left="660"/>
        <w:spacing w:after="0"/>
        <w:tabs>
          <w:tab w:leader="none" w:pos="3980" w:val="left"/>
        </w:tabs>
        <w:rPr>
          <w:sz w:val="20"/>
          <w:szCs w:val="20"/>
          <w:color w:val="auto"/>
        </w:rPr>
      </w:pPr>
      <w:r>
        <w:rPr>
          <w:rFonts w:ascii="Times New Roman" w:cs="Times New Roman" w:eastAsia="Times New Roman" w:hAnsi="Times New Roman"/>
          <w:sz w:val="20"/>
          <w:szCs w:val="20"/>
          <w:color w:val="auto"/>
        </w:rPr>
        <w:t>Section 8.6. Public/Private Information.</w:t>
      </w:r>
      <w:r>
        <w:rPr>
          <w:sz w:val="20"/>
          <w:szCs w:val="20"/>
          <w:color w:val="auto"/>
        </w:rPr>
        <w:tab/>
      </w:r>
      <w:r>
        <w:rPr>
          <w:rFonts w:ascii="Times New Roman" w:cs="Times New Roman" w:eastAsia="Times New Roman" w:hAnsi="Times New Roman"/>
          <w:sz w:val="19"/>
          <w:szCs w:val="19"/>
          <w:color w:val="FF0000"/>
          <w:strike w:val="1"/>
        </w:rPr>
        <w:t>72</w:t>
      </w:r>
      <w:r>
        <w:rPr>
          <w:rFonts w:ascii="Times New Roman" w:cs="Times New Roman" w:eastAsia="Times New Roman" w:hAnsi="Times New Roman"/>
          <w:sz w:val="19"/>
          <w:szCs w:val="19"/>
          <w:u w:val="single" w:color="auto"/>
          <w:color w:val="0101FF"/>
          <w:strike w:val="1"/>
        </w:rPr>
        <w:t>78</w:t>
      </w:r>
    </w:p>
    <w:p>
      <w:pPr>
        <w:spacing w:after="0" w:line="13" w:lineRule="exact"/>
        <w:rPr>
          <w:sz w:val="20"/>
          <w:szCs w:val="20"/>
          <w:color w:val="auto"/>
        </w:rPr>
      </w:pPr>
    </w:p>
    <w:p>
      <w:pPr>
        <w:ind w:right="4899" w:firstLine="648"/>
        <w:spacing w:after="0" w:line="351" w:lineRule="auto"/>
        <w:rPr>
          <w:sz w:val="20"/>
          <w:szCs w:val="20"/>
          <w:color w:val="auto"/>
        </w:rPr>
      </w:pPr>
      <w:r>
        <w:rPr>
          <w:rFonts w:ascii="Times New Roman" w:cs="Times New Roman" w:eastAsia="Times New Roman" w:hAnsi="Times New Roman"/>
          <w:sz w:val="20"/>
          <w:szCs w:val="20"/>
          <w:color w:val="auto"/>
        </w:rPr>
        <w:t xml:space="preserve">Section 8.7. USA Patriot Act Notice; Compliance. </w:t>
      </w:r>
      <w:r>
        <w:rPr>
          <w:rFonts w:ascii="Times New Roman" w:cs="Times New Roman" w:eastAsia="Times New Roman" w:hAnsi="Times New Roman"/>
          <w:sz w:val="20"/>
          <w:szCs w:val="20"/>
          <w:color w:val="FF0000"/>
          <w:strike w:val="1"/>
        </w:rPr>
        <w:t>72</w:t>
      </w:r>
      <w:r>
        <w:rPr>
          <w:rFonts w:ascii="Times New Roman" w:cs="Times New Roman" w:eastAsia="Times New Roman" w:hAnsi="Times New Roman"/>
          <w:sz w:val="20"/>
          <w:szCs w:val="20"/>
          <w:u w:val="single" w:color="auto"/>
          <w:color w:val="0101FF"/>
        </w:rPr>
        <w:t>78</w:t>
      </w:r>
      <w:r>
        <w:rPr>
          <w:rFonts w:ascii="Times New Roman" w:cs="Times New Roman" w:eastAsia="Times New Roman" w:hAnsi="Times New Roman"/>
          <w:sz w:val="20"/>
          <w:szCs w:val="20"/>
          <w:color w:val="auto"/>
        </w:rPr>
        <w:t xml:space="preserve"> Article IX. Negative Covenants </w:t>
      </w:r>
      <w:r>
        <w:rPr>
          <w:rFonts w:ascii="Times New Roman" w:cs="Times New Roman" w:eastAsia="Times New Roman" w:hAnsi="Times New Roman"/>
          <w:sz w:val="20"/>
          <w:szCs w:val="20"/>
          <w:color w:val="FF0000"/>
          <w:strike w:val="1"/>
        </w:rPr>
        <w:t>72</w:t>
      </w:r>
      <w:r>
        <w:rPr>
          <w:rFonts w:ascii="Times New Roman" w:cs="Times New Roman" w:eastAsia="Times New Roman" w:hAnsi="Times New Roman"/>
          <w:sz w:val="20"/>
          <w:szCs w:val="20"/>
          <w:u w:val="single" w:color="auto"/>
          <w:color w:val="0101FF"/>
        </w:rPr>
        <w:t>78</w:t>
      </w:r>
    </w:p>
    <w:p>
      <w:pPr>
        <w:ind w:left="660"/>
        <w:spacing w:after="0"/>
        <w:tabs>
          <w:tab w:leader="none" w:pos="3500" w:val="left"/>
        </w:tabs>
        <w:rPr>
          <w:sz w:val="20"/>
          <w:szCs w:val="20"/>
          <w:color w:val="auto"/>
        </w:rPr>
      </w:pPr>
      <w:r>
        <w:rPr>
          <w:rFonts w:ascii="Times New Roman" w:cs="Times New Roman" w:eastAsia="Times New Roman" w:hAnsi="Times New Roman"/>
          <w:sz w:val="20"/>
          <w:szCs w:val="20"/>
          <w:color w:val="auto"/>
        </w:rPr>
        <w:t>Section 9.1. Financial Covenants.</w:t>
      </w:r>
      <w:r>
        <w:rPr>
          <w:sz w:val="20"/>
          <w:szCs w:val="20"/>
          <w:color w:val="auto"/>
        </w:rPr>
        <w:tab/>
      </w:r>
      <w:r>
        <w:rPr>
          <w:rFonts w:ascii="Times New Roman" w:cs="Times New Roman" w:eastAsia="Times New Roman" w:hAnsi="Times New Roman"/>
          <w:sz w:val="18"/>
          <w:szCs w:val="18"/>
          <w:color w:val="FF0000"/>
          <w:strike w:val="1"/>
        </w:rPr>
        <w:t>73</w:t>
      </w:r>
      <w:r>
        <w:rPr>
          <w:rFonts w:ascii="Times New Roman" w:cs="Times New Roman" w:eastAsia="Times New Roman" w:hAnsi="Times New Roman"/>
          <w:sz w:val="18"/>
          <w:szCs w:val="18"/>
          <w:u w:val="single" w:color="auto"/>
          <w:color w:val="0101FF"/>
          <w:strike w:val="1"/>
        </w:rPr>
        <w:t>78</w:t>
      </w:r>
    </w:p>
    <w:p>
      <w:pPr>
        <w:spacing w:after="0" w:line="22" w:lineRule="exact"/>
        <w:rPr>
          <w:sz w:val="20"/>
          <w:szCs w:val="20"/>
          <w:color w:val="auto"/>
        </w:rPr>
      </w:pPr>
    </w:p>
    <w:p>
      <w:pPr>
        <w:ind w:left="660"/>
        <w:spacing w:after="0"/>
        <w:tabs>
          <w:tab w:leader="none" w:pos="3720" w:val="left"/>
        </w:tabs>
        <w:rPr>
          <w:sz w:val="20"/>
          <w:szCs w:val="20"/>
          <w:color w:val="auto"/>
        </w:rPr>
      </w:pPr>
      <w:r>
        <w:rPr>
          <w:rFonts w:ascii="Times New Roman" w:cs="Times New Roman" w:eastAsia="Times New Roman" w:hAnsi="Times New Roman"/>
          <w:sz w:val="20"/>
          <w:szCs w:val="20"/>
          <w:color w:val="auto"/>
        </w:rPr>
        <w:t>Section 9.2. Liens; Negative Pledge.</w:t>
      </w:r>
      <w:r>
        <w:rPr>
          <w:sz w:val="20"/>
          <w:szCs w:val="20"/>
          <w:color w:val="auto"/>
        </w:rPr>
        <w:tab/>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u w:val="single" w:color="auto"/>
          <w:color w:val="0101FF"/>
          <w:strike w:val="1"/>
        </w:rPr>
        <w:t>80</w:t>
      </w:r>
    </w:p>
    <w:p>
      <w:pPr>
        <w:spacing w:after="0" w:line="6" w:lineRule="exact"/>
        <w:rPr>
          <w:sz w:val="20"/>
          <w:szCs w:val="20"/>
          <w:color w:val="auto"/>
        </w:rPr>
      </w:pPr>
    </w:p>
    <w:p>
      <w:pPr>
        <w:ind w:left="660" w:right="2759"/>
        <w:spacing w:after="0" w:line="250" w:lineRule="auto"/>
        <w:rPr>
          <w:sz w:val="20"/>
          <w:szCs w:val="20"/>
          <w:color w:val="auto"/>
        </w:rPr>
      </w:pPr>
      <w:r>
        <w:rPr>
          <w:rFonts w:ascii="Times New Roman" w:cs="Times New Roman" w:eastAsia="Times New Roman" w:hAnsi="Times New Roman"/>
          <w:sz w:val="20"/>
          <w:szCs w:val="20"/>
          <w:color w:val="auto"/>
        </w:rPr>
        <w:t xml:space="preserve">Section 9.3. Merger, Consolidation, Sales of Assets and Other Arrangements. </w:t>
      </w:r>
      <w:r>
        <w:rPr>
          <w:rFonts w:ascii="Times New Roman" w:cs="Times New Roman" w:eastAsia="Times New Roman" w:hAnsi="Times New Roman"/>
          <w:sz w:val="20"/>
          <w:szCs w:val="20"/>
          <w:color w:val="FF0000"/>
          <w:strike w:val="1"/>
        </w:rPr>
        <w:t>74</w:t>
      </w:r>
      <w:r>
        <w:rPr>
          <w:rFonts w:ascii="Times New Roman" w:cs="Times New Roman" w:eastAsia="Times New Roman" w:hAnsi="Times New Roman"/>
          <w:sz w:val="20"/>
          <w:szCs w:val="20"/>
          <w:u w:val="single" w:color="auto"/>
          <w:color w:val="0101FF"/>
        </w:rPr>
        <w:t>80</w:t>
      </w:r>
      <w:r>
        <w:rPr>
          <w:rFonts w:ascii="Times New Roman" w:cs="Times New Roman" w:eastAsia="Times New Roman" w:hAnsi="Times New Roman"/>
          <w:sz w:val="20"/>
          <w:szCs w:val="20"/>
          <w:color w:val="auto"/>
        </w:rPr>
        <w:t xml:space="preserve"> Section 9.4. Plans. </w:t>
      </w:r>
      <w:r>
        <w:rPr>
          <w:rFonts w:ascii="Times New Roman" w:cs="Times New Roman" w:eastAsia="Times New Roman" w:hAnsi="Times New Roman"/>
          <w:sz w:val="20"/>
          <w:szCs w:val="20"/>
          <w:color w:val="FF0000"/>
          <w:strike w:val="1"/>
        </w:rPr>
        <w:t>75</w:t>
      </w:r>
      <w:r>
        <w:rPr>
          <w:rFonts w:ascii="Times New Roman" w:cs="Times New Roman" w:eastAsia="Times New Roman" w:hAnsi="Times New Roman"/>
          <w:sz w:val="20"/>
          <w:szCs w:val="20"/>
          <w:u w:val="single" w:color="auto"/>
          <w:color w:val="0101FF"/>
        </w:rPr>
        <w:t>81</w:t>
      </w:r>
    </w:p>
    <w:p>
      <w:pPr>
        <w:ind w:left="660"/>
        <w:spacing w:after="0"/>
        <w:tabs>
          <w:tab w:leader="none" w:pos="2740" w:val="left"/>
        </w:tabs>
        <w:rPr>
          <w:sz w:val="20"/>
          <w:szCs w:val="20"/>
          <w:color w:val="auto"/>
        </w:rPr>
      </w:pPr>
      <w:r>
        <w:rPr>
          <w:rFonts w:ascii="Times New Roman" w:cs="Times New Roman" w:eastAsia="Times New Roman" w:hAnsi="Times New Roman"/>
          <w:sz w:val="20"/>
          <w:szCs w:val="20"/>
          <w:color w:val="auto"/>
        </w:rPr>
        <w:t>Section 9.5. Fiscal Year.</w:t>
      </w:r>
      <w:r>
        <w:rPr>
          <w:sz w:val="20"/>
          <w:szCs w:val="20"/>
          <w:color w:val="auto"/>
        </w:rPr>
        <w:tab/>
      </w:r>
      <w:r>
        <w:rPr>
          <w:rFonts w:ascii="Times New Roman" w:cs="Times New Roman" w:eastAsia="Times New Roman" w:hAnsi="Times New Roman"/>
          <w:sz w:val="19"/>
          <w:szCs w:val="19"/>
          <w:color w:val="FF0000"/>
          <w:strike w:val="1"/>
        </w:rPr>
        <w:t>75</w:t>
      </w:r>
      <w:r>
        <w:rPr>
          <w:rFonts w:ascii="Times New Roman" w:cs="Times New Roman" w:eastAsia="Times New Roman" w:hAnsi="Times New Roman"/>
          <w:sz w:val="19"/>
          <w:szCs w:val="19"/>
          <w:u w:val="single" w:color="auto"/>
          <w:color w:val="0101FF"/>
          <w:strike w:val="1"/>
        </w:rPr>
        <w:t>81</w:t>
      </w:r>
    </w:p>
    <w:p>
      <w:pPr>
        <w:spacing w:after="0" w:line="6" w:lineRule="exact"/>
        <w:rPr>
          <w:sz w:val="20"/>
          <w:szCs w:val="20"/>
          <w:color w:val="auto"/>
        </w:rPr>
      </w:pPr>
    </w:p>
    <w:p>
      <w:pPr>
        <w:ind w:left="660"/>
        <w:spacing w:after="0"/>
        <w:tabs>
          <w:tab w:leader="none" w:pos="5360" w:val="left"/>
        </w:tabs>
        <w:rPr>
          <w:sz w:val="20"/>
          <w:szCs w:val="20"/>
          <w:color w:val="auto"/>
        </w:rPr>
      </w:pPr>
      <w:r>
        <w:rPr>
          <w:rFonts w:ascii="Times New Roman" w:cs="Times New Roman" w:eastAsia="Times New Roman" w:hAnsi="Times New Roman"/>
          <w:sz w:val="20"/>
          <w:szCs w:val="20"/>
          <w:color w:val="auto"/>
        </w:rPr>
        <w:t>Section 9.6. Modifications of Organizational Documents.</w:t>
      </w:r>
      <w:r>
        <w:rPr>
          <w:sz w:val="20"/>
          <w:szCs w:val="20"/>
          <w:color w:val="auto"/>
        </w:rPr>
        <w:tab/>
      </w:r>
      <w:r>
        <w:rPr>
          <w:rFonts w:ascii="Times New Roman" w:cs="Times New Roman" w:eastAsia="Times New Roman" w:hAnsi="Times New Roman"/>
          <w:sz w:val="19"/>
          <w:szCs w:val="19"/>
          <w:color w:val="FF0000"/>
          <w:strike w:val="1"/>
        </w:rPr>
        <w:t>75</w:t>
      </w:r>
      <w:r>
        <w:rPr>
          <w:rFonts w:ascii="Times New Roman" w:cs="Times New Roman" w:eastAsia="Times New Roman" w:hAnsi="Times New Roman"/>
          <w:sz w:val="19"/>
          <w:szCs w:val="19"/>
          <w:u w:val="single" w:color="auto"/>
          <w:color w:val="0101FF"/>
          <w:strike w:val="1"/>
        </w:rPr>
        <w:t>81</w:t>
      </w:r>
    </w:p>
    <w:p>
      <w:pPr>
        <w:spacing w:after="0" w:line="6" w:lineRule="exact"/>
        <w:rPr>
          <w:sz w:val="20"/>
          <w:szCs w:val="20"/>
          <w:color w:val="auto"/>
        </w:rPr>
      </w:pPr>
    </w:p>
    <w:p>
      <w:pPr>
        <w:ind w:left="660" w:right="3279"/>
        <w:spacing w:after="0" w:line="248" w:lineRule="auto"/>
        <w:rPr>
          <w:sz w:val="20"/>
          <w:szCs w:val="20"/>
          <w:color w:val="auto"/>
        </w:rPr>
      </w:pPr>
      <w:r>
        <w:rPr>
          <w:rFonts w:ascii="Times New Roman" w:cs="Times New Roman" w:eastAsia="Times New Roman" w:hAnsi="Times New Roman"/>
          <w:sz w:val="20"/>
          <w:szCs w:val="20"/>
          <w:color w:val="auto"/>
        </w:rPr>
        <w:t xml:space="preserve">Section 9.7. Restrictions on Activities of SL Green Management Corp. </w:t>
      </w:r>
      <w:r>
        <w:rPr>
          <w:rFonts w:ascii="Times New Roman" w:cs="Times New Roman" w:eastAsia="Times New Roman" w:hAnsi="Times New Roman"/>
          <w:sz w:val="20"/>
          <w:szCs w:val="20"/>
          <w:color w:val="FF0000"/>
          <w:strike w:val="1"/>
        </w:rPr>
        <w:t>75</w:t>
      </w:r>
      <w:r>
        <w:rPr>
          <w:rFonts w:ascii="Times New Roman" w:cs="Times New Roman" w:eastAsia="Times New Roman" w:hAnsi="Times New Roman"/>
          <w:sz w:val="20"/>
          <w:szCs w:val="20"/>
          <w:u w:val="single" w:color="auto"/>
          <w:color w:val="0101FF"/>
        </w:rPr>
        <w:t>81</w:t>
      </w:r>
      <w:r>
        <w:rPr>
          <w:rFonts w:ascii="Times New Roman" w:cs="Times New Roman" w:eastAsia="Times New Roman" w:hAnsi="Times New Roman"/>
          <w:sz w:val="20"/>
          <w:szCs w:val="20"/>
          <w:color w:val="auto"/>
        </w:rPr>
        <w:t xml:space="preserve"> Section 9.8. Transactions with Affiliates. </w:t>
      </w:r>
      <w:r>
        <w:rPr>
          <w:rFonts w:ascii="Times New Roman" w:cs="Times New Roman" w:eastAsia="Times New Roman" w:hAnsi="Times New Roman"/>
          <w:sz w:val="20"/>
          <w:szCs w:val="20"/>
          <w:color w:val="FF0000"/>
          <w:strike w:val="1"/>
        </w:rPr>
        <w:t>76</w:t>
      </w:r>
      <w:r>
        <w:rPr>
          <w:rFonts w:ascii="Times New Roman" w:cs="Times New Roman" w:eastAsia="Times New Roman" w:hAnsi="Times New Roman"/>
          <w:sz w:val="20"/>
          <w:szCs w:val="20"/>
          <w:u w:val="single" w:color="auto"/>
          <w:color w:val="0101FF"/>
        </w:rPr>
        <w:t>82</w:t>
      </w:r>
      <w:r>
        <w:rPr>
          <w:rFonts w:ascii="Times New Roman" w:cs="Times New Roman" w:eastAsia="Times New Roman" w:hAnsi="Times New Roman"/>
          <w:sz w:val="20"/>
          <w:szCs w:val="20"/>
          <w:color w:val="auto"/>
        </w:rPr>
        <w:t xml:space="preserve"> Section 9.9. Derivatives Contracts. </w:t>
      </w:r>
      <w:r>
        <w:rPr>
          <w:rFonts w:ascii="Times New Roman" w:cs="Times New Roman" w:eastAsia="Times New Roman" w:hAnsi="Times New Roman"/>
          <w:sz w:val="20"/>
          <w:szCs w:val="20"/>
          <w:color w:val="FF0000"/>
          <w:strike w:val="1"/>
        </w:rPr>
        <w:t>76</w:t>
      </w:r>
      <w:r>
        <w:rPr>
          <w:rFonts w:ascii="Times New Roman" w:cs="Times New Roman" w:eastAsia="Times New Roman" w:hAnsi="Times New Roman"/>
          <w:sz w:val="20"/>
          <w:szCs w:val="20"/>
          <w:u w:val="single" w:color="auto"/>
          <w:color w:val="0101FF"/>
        </w:rPr>
        <w:t>82</w:t>
      </w:r>
    </w:p>
    <w:p>
      <w:pPr>
        <w:spacing w:after="0" w:line="3" w:lineRule="exact"/>
        <w:rPr>
          <w:sz w:val="20"/>
          <w:szCs w:val="20"/>
          <w:color w:val="auto"/>
        </w:rPr>
      </w:pPr>
    </w:p>
    <w:p>
      <w:pPr>
        <w:ind w:left="660"/>
        <w:spacing w:after="0"/>
        <w:tabs>
          <w:tab w:leader="none" w:pos="4220" w:val="left"/>
        </w:tabs>
        <w:rPr>
          <w:sz w:val="20"/>
          <w:szCs w:val="20"/>
          <w:color w:val="auto"/>
        </w:rPr>
      </w:pPr>
      <w:r>
        <w:rPr>
          <w:rFonts w:ascii="Times New Roman" w:cs="Times New Roman" w:eastAsia="Times New Roman" w:hAnsi="Times New Roman"/>
          <w:sz w:val="20"/>
          <w:szCs w:val="20"/>
          <w:u w:val="single" w:color="auto"/>
          <w:color w:val="0101FF"/>
        </w:rPr>
        <w:t>Section 9.10. Outbound Investment Status.</w:t>
        <w:tab/>
        <w:t>82</w:t>
      </w:r>
    </w:p>
    <w:p>
      <w:pPr>
        <w:spacing w:after="0" w:line="9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auto"/>
        </w:rPr>
        <w:t>Article X. Default</w:t>
      </w:r>
      <w:r>
        <w:rPr>
          <w:sz w:val="20"/>
          <w:szCs w:val="20"/>
          <w:color w:val="auto"/>
        </w:rPr>
        <w:tab/>
      </w:r>
      <w:r>
        <w:rPr>
          <w:rFonts w:ascii="Times New Roman" w:cs="Times New Roman" w:eastAsia="Times New Roman" w:hAnsi="Times New Roman"/>
          <w:sz w:val="19"/>
          <w:szCs w:val="19"/>
          <w:color w:val="FF0000"/>
          <w:strike w:val="1"/>
        </w:rPr>
        <w:t>76</w:t>
      </w:r>
      <w:r>
        <w:rPr>
          <w:rFonts w:ascii="Times New Roman" w:cs="Times New Roman" w:eastAsia="Times New Roman" w:hAnsi="Times New Roman"/>
          <w:sz w:val="19"/>
          <w:szCs w:val="19"/>
          <w:u w:val="single" w:color="auto"/>
          <w:color w:val="0101FF"/>
          <w:strike w:val="1"/>
        </w:rPr>
        <w:t>83</w:t>
      </w:r>
    </w:p>
    <w:p>
      <w:pPr>
        <w:spacing w:after="0" w:line="108" w:lineRule="exact"/>
        <w:rPr>
          <w:sz w:val="20"/>
          <w:szCs w:val="20"/>
          <w:color w:val="auto"/>
        </w:rPr>
      </w:pPr>
    </w:p>
    <w:p>
      <w:pPr>
        <w:ind w:left="660"/>
        <w:spacing w:after="0"/>
        <w:tabs>
          <w:tab w:leader="none" w:pos="3360" w:val="left"/>
        </w:tabs>
        <w:rPr>
          <w:sz w:val="20"/>
          <w:szCs w:val="20"/>
          <w:color w:val="auto"/>
        </w:rPr>
      </w:pPr>
      <w:r>
        <w:rPr>
          <w:rFonts w:ascii="Times New Roman" w:cs="Times New Roman" w:eastAsia="Times New Roman" w:hAnsi="Times New Roman"/>
          <w:sz w:val="20"/>
          <w:szCs w:val="20"/>
          <w:color w:val="auto"/>
        </w:rPr>
        <w:t>Section 10.1. Events of Default.</w:t>
      </w:r>
      <w:r>
        <w:rPr>
          <w:sz w:val="20"/>
          <w:szCs w:val="20"/>
          <w:color w:val="auto"/>
        </w:rPr>
        <w:tab/>
      </w:r>
      <w:r>
        <w:rPr>
          <w:rFonts w:ascii="Times New Roman" w:cs="Times New Roman" w:eastAsia="Times New Roman" w:hAnsi="Times New Roman"/>
          <w:sz w:val="19"/>
          <w:szCs w:val="19"/>
          <w:color w:val="FF0000"/>
          <w:strike w:val="1"/>
        </w:rPr>
        <w:t>76</w:t>
      </w:r>
      <w:r>
        <w:rPr>
          <w:rFonts w:ascii="Times New Roman" w:cs="Times New Roman" w:eastAsia="Times New Roman" w:hAnsi="Times New Roman"/>
          <w:sz w:val="19"/>
          <w:szCs w:val="19"/>
          <w:u w:val="single" w:color="auto"/>
          <w:color w:val="0101FF"/>
          <w:strike w:val="1"/>
        </w:rPr>
        <w:t>83</w:t>
      </w:r>
    </w:p>
    <w:p>
      <w:pPr>
        <w:spacing w:after="0" w:line="28" w:lineRule="exact"/>
        <w:rPr>
          <w:sz w:val="20"/>
          <w:szCs w:val="20"/>
          <w:color w:val="auto"/>
        </w:rPr>
      </w:pPr>
    </w:p>
    <w:p>
      <w:pPr>
        <w:ind w:left="660"/>
        <w:spacing w:after="0"/>
        <w:tabs>
          <w:tab w:leader="none" w:pos="4600" w:val="left"/>
        </w:tabs>
        <w:rPr>
          <w:sz w:val="20"/>
          <w:szCs w:val="20"/>
          <w:color w:val="auto"/>
        </w:rPr>
      </w:pPr>
      <w:r>
        <w:rPr>
          <w:rFonts w:ascii="Times New Roman" w:cs="Times New Roman" w:eastAsia="Times New Roman" w:hAnsi="Times New Roman"/>
          <w:sz w:val="20"/>
          <w:szCs w:val="20"/>
          <w:color w:val="auto"/>
        </w:rPr>
        <w:t>Section 10.2. Remedies Upon Event of Default.</w:t>
      </w:r>
      <w:r>
        <w:rPr>
          <w:sz w:val="20"/>
          <w:szCs w:val="20"/>
          <w:color w:val="auto"/>
        </w:rPr>
        <w:tab/>
      </w:r>
      <w:r>
        <w:rPr>
          <w:rFonts w:ascii="Times New Roman" w:cs="Times New Roman" w:eastAsia="Times New Roman" w:hAnsi="Times New Roman"/>
          <w:sz w:val="19"/>
          <w:szCs w:val="19"/>
          <w:color w:val="FF0000"/>
          <w:strike w:val="1"/>
        </w:rPr>
        <w:t>79</w:t>
      </w:r>
      <w:r>
        <w:rPr>
          <w:rFonts w:ascii="Times New Roman" w:cs="Times New Roman" w:eastAsia="Times New Roman" w:hAnsi="Times New Roman"/>
          <w:sz w:val="19"/>
          <w:szCs w:val="19"/>
          <w:u w:val="single" w:color="auto"/>
          <w:color w:val="0101FF"/>
          <w:strike w:val="1"/>
        </w:rPr>
        <w:t>86</w:t>
      </w:r>
    </w:p>
    <w:p>
      <w:pPr>
        <w:spacing w:after="0" w:line="13" w:lineRule="exact"/>
        <w:rPr>
          <w:sz w:val="20"/>
          <w:szCs w:val="20"/>
          <w:color w:val="auto"/>
        </w:rPr>
      </w:pPr>
    </w:p>
    <w:p>
      <w:pPr>
        <w:ind w:left="660"/>
        <w:spacing w:after="0"/>
        <w:tabs>
          <w:tab w:leader="none" w:pos="3880" w:val="left"/>
        </w:tabs>
        <w:rPr>
          <w:sz w:val="20"/>
          <w:szCs w:val="20"/>
          <w:color w:val="auto"/>
        </w:rPr>
      </w:pPr>
      <w:r>
        <w:rPr>
          <w:rFonts w:ascii="Times New Roman" w:cs="Times New Roman" w:eastAsia="Times New Roman" w:hAnsi="Times New Roman"/>
          <w:sz w:val="20"/>
          <w:szCs w:val="20"/>
          <w:color w:val="auto"/>
        </w:rPr>
        <w:t>Section 10.3. Remedies Upon Default.</w:t>
      </w:r>
      <w:r>
        <w:rPr>
          <w:sz w:val="20"/>
          <w:szCs w:val="20"/>
          <w:color w:val="auto"/>
        </w:rPr>
        <w:tab/>
      </w:r>
      <w:r>
        <w:rPr>
          <w:rFonts w:ascii="Times New Roman" w:cs="Times New Roman" w:eastAsia="Times New Roman" w:hAnsi="Times New Roman"/>
          <w:sz w:val="19"/>
          <w:szCs w:val="19"/>
          <w:color w:val="FF0000"/>
          <w:strike w:val="1"/>
        </w:rPr>
        <w:t>80</w:t>
      </w:r>
      <w:r>
        <w:rPr>
          <w:rFonts w:ascii="Times New Roman" w:cs="Times New Roman" w:eastAsia="Times New Roman" w:hAnsi="Times New Roman"/>
          <w:sz w:val="19"/>
          <w:szCs w:val="19"/>
          <w:u w:val="single" w:color="auto"/>
          <w:color w:val="0101FF"/>
          <w:strike w:val="1"/>
        </w:rPr>
        <w:t>87</w:t>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 ii -</w:t>
      </w:r>
    </w:p>
    <w:p>
      <w:pPr>
        <w:sectPr>
          <w:pgSz w:w="11900" w:h="16838" w:orient="portrait"/>
          <w:cols w:equalWidth="0" w:num="1">
            <w:col w:w="10139"/>
          </w:cols>
          <w:pgMar w:left="320" w:top="1413" w:right="1440" w:bottom="1440" w:gutter="0" w:footer="0" w:header="0"/>
          <w:type w:val="continuous"/>
        </w:sectPr>
      </w:pPr>
    </w:p>
    <w:bookmarkStart w:id="205" w:name="page206"/>
    <w:bookmarkEnd w:id="205"/>
    <w:p>
      <w:pPr>
        <w:ind w:left="660"/>
        <w:spacing w:after="0"/>
        <w:tabs>
          <w:tab w:leader="none" w:pos="4560" w:val="left"/>
        </w:tabs>
        <w:rPr>
          <w:sz w:val="20"/>
          <w:szCs w:val="20"/>
          <w:color w:val="auto"/>
        </w:rPr>
      </w:pPr>
      <w:r>
        <w:rPr>
          <w:rFonts w:ascii="Times New Roman" w:cs="Times New Roman" w:eastAsia="Times New Roman" w:hAnsi="Times New Roman"/>
          <w:sz w:val="20"/>
          <w:szCs w:val="20"/>
          <w:color w:val="auto"/>
        </w:rPr>
        <w:t>Section 10.4. Marshaling; Payments Set Aside.</w:t>
      </w:r>
      <w:r>
        <w:rPr>
          <w:sz w:val="20"/>
          <w:szCs w:val="20"/>
          <w:color w:val="auto"/>
        </w:rPr>
        <w:tab/>
      </w:r>
      <w:r>
        <w:rPr>
          <w:rFonts w:ascii="Times New Roman" w:cs="Times New Roman" w:eastAsia="Times New Roman" w:hAnsi="Times New Roman"/>
          <w:sz w:val="19"/>
          <w:szCs w:val="19"/>
          <w:color w:val="FF0000"/>
          <w:strike w:val="1"/>
        </w:rPr>
        <w:t>80</w:t>
      </w:r>
      <w:r>
        <w:rPr>
          <w:rFonts w:ascii="Times New Roman" w:cs="Times New Roman" w:eastAsia="Times New Roman" w:hAnsi="Times New Roman"/>
          <w:sz w:val="19"/>
          <w:szCs w:val="19"/>
          <w:u w:val="single" w:color="auto"/>
          <w:color w:val="0101FF"/>
          <w:strike w:val="1"/>
        </w:rPr>
        <w:t>87</w:t>
      </w:r>
    </w:p>
    <w:p>
      <w:pPr>
        <w:spacing w:after="0" w:line="28" w:lineRule="exact"/>
        <w:rPr>
          <w:sz w:val="20"/>
          <w:szCs w:val="20"/>
          <w:color w:val="auto"/>
        </w:rPr>
      </w:pPr>
    </w:p>
    <w:p>
      <w:pPr>
        <w:ind w:left="660"/>
        <w:spacing w:after="0"/>
        <w:tabs>
          <w:tab w:leader="none" w:pos="3780" w:val="left"/>
        </w:tabs>
        <w:rPr>
          <w:sz w:val="20"/>
          <w:szCs w:val="20"/>
          <w:color w:val="auto"/>
        </w:rPr>
      </w:pPr>
      <w:r>
        <w:rPr>
          <w:rFonts w:ascii="Times New Roman" w:cs="Times New Roman" w:eastAsia="Times New Roman" w:hAnsi="Times New Roman"/>
          <w:sz w:val="20"/>
          <w:szCs w:val="20"/>
          <w:color w:val="auto"/>
        </w:rPr>
        <w:t>Section 10.5. Allocation of Proceeds.</w:t>
      </w:r>
      <w:r>
        <w:rPr>
          <w:sz w:val="20"/>
          <w:szCs w:val="20"/>
          <w:color w:val="auto"/>
        </w:rPr>
        <w:tab/>
      </w:r>
      <w:r>
        <w:rPr>
          <w:rFonts w:ascii="Times New Roman" w:cs="Times New Roman" w:eastAsia="Times New Roman" w:hAnsi="Times New Roman"/>
          <w:sz w:val="19"/>
          <w:szCs w:val="19"/>
          <w:color w:val="FF0000"/>
          <w:strike w:val="1"/>
        </w:rPr>
        <w:t>81</w:t>
      </w:r>
      <w:r>
        <w:rPr>
          <w:rFonts w:ascii="Times New Roman" w:cs="Times New Roman" w:eastAsia="Times New Roman" w:hAnsi="Times New Roman"/>
          <w:sz w:val="19"/>
          <w:szCs w:val="19"/>
          <w:u w:val="single" w:color="auto"/>
          <w:color w:val="0101FF"/>
          <w:strike w:val="1"/>
        </w:rPr>
        <w:t>87</w:t>
      </w:r>
    </w:p>
    <w:p>
      <w:pPr>
        <w:spacing w:after="0" w:line="6" w:lineRule="exact"/>
        <w:rPr>
          <w:sz w:val="20"/>
          <w:szCs w:val="20"/>
          <w:color w:val="auto"/>
        </w:rPr>
      </w:pPr>
    </w:p>
    <w:p>
      <w:pPr>
        <w:ind w:left="660"/>
        <w:spacing w:after="0"/>
        <w:tabs>
          <w:tab w:leader="none" w:pos="2840" w:val="left"/>
        </w:tabs>
        <w:rPr>
          <w:sz w:val="20"/>
          <w:szCs w:val="20"/>
          <w:color w:val="auto"/>
        </w:rPr>
      </w:pPr>
      <w:r>
        <w:rPr>
          <w:rFonts w:ascii="Times New Roman" w:cs="Times New Roman" w:eastAsia="Times New Roman" w:hAnsi="Times New Roman"/>
          <w:sz w:val="20"/>
          <w:szCs w:val="20"/>
          <w:color w:val="auto"/>
        </w:rPr>
        <w:t>Section 10.6. [Reserved].</w:t>
      </w:r>
      <w:r>
        <w:rPr>
          <w:sz w:val="20"/>
          <w:szCs w:val="20"/>
          <w:color w:val="auto"/>
        </w:rPr>
        <w:tab/>
      </w:r>
      <w:r>
        <w:rPr>
          <w:rFonts w:ascii="Times New Roman" w:cs="Times New Roman" w:eastAsia="Times New Roman" w:hAnsi="Times New Roman"/>
          <w:sz w:val="19"/>
          <w:szCs w:val="19"/>
          <w:color w:val="FF0000"/>
          <w:strike w:val="1"/>
        </w:rPr>
        <w:t>81</w:t>
      </w:r>
      <w:r>
        <w:rPr>
          <w:rFonts w:ascii="Times New Roman" w:cs="Times New Roman" w:eastAsia="Times New Roman" w:hAnsi="Times New Roman"/>
          <w:sz w:val="19"/>
          <w:szCs w:val="19"/>
          <w:u w:val="single" w:color="auto"/>
          <w:color w:val="0101FF"/>
          <w:strike w:val="1"/>
        </w:rPr>
        <w:t>88</w:t>
      </w:r>
    </w:p>
    <w:p>
      <w:pPr>
        <w:spacing w:after="0" w:line="6" w:lineRule="exact"/>
        <w:rPr>
          <w:sz w:val="20"/>
          <w:szCs w:val="20"/>
          <w:color w:val="auto"/>
        </w:rPr>
      </w:pPr>
    </w:p>
    <w:p>
      <w:pPr>
        <w:ind w:left="660"/>
        <w:spacing w:after="0"/>
        <w:tabs>
          <w:tab w:leader="none" w:pos="4940" w:val="left"/>
        </w:tabs>
        <w:rPr>
          <w:sz w:val="20"/>
          <w:szCs w:val="20"/>
          <w:color w:val="auto"/>
        </w:rPr>
      </w:pPr>
      <w:r>
        <w:rPr>
          <w:rFonts w:ascii="Times New Roman" w:cs="Times New Roman" w:eastAsia="Times New Roman" w:hAnsi="Times New Roman"/>
          <w:sz w:val="20"/>
          <w:szCs w:val="20"/>
          <w:color w:val="auto"/>
        </w:rPr>
        <w:t>Section 10.7. Performance by Administrative Agent</w:t>
      </w:r>
      <w:r>
        <w:rPr>
          <w:sz w:val="20"/>
          <w:szCs w:val="20"/>
          <w:color w:val="auto"/>
        </w:rPr>
        <w:tab/>
      </w:r>
      <w:r>
        <w:rPr>
          <w:rFonts w:ascii="Times New Roman" w:cs="Times New Roman" w:eastAsia="Times New Roman" w:hAnsi="Times New Roman"/>
          <w:sz w:val="19"/>
          <w:szCs w:val="19"/>
          <w:color w:val="FF0000"/>
          <w:strike w:val="1"/>
        </w:rPr>
        <w:t>81</w:t>
      </w:r>
      <w:r>
        <w:rPr>
          <w:rFonts w:ascii="Times New Roman" w:cs="Times New Roman" w:eastAsia="Times New Roman" w:hAnsi="Times New Roman"/>
          <w:sz w:val="19"/>
          <w:szCs w:val="19"/>
          <w:u w:val="single" w:color="auto"/>
          <w:color w:val="0101FF"/>
          <w:strike w:val="1"/>
        </w:rPr>
        <w:t>88</w:t>
      </w:r>
    </w:p>
    <w:p>
      <w:pPr>
        <w:spacing w:after="0" w:line="6" w:lineRule="exact"/>
        <w:rPr>
          <w:sz w:val="20"/>
          <w:szCs w:val="20"/>
          <w:color w:val="auto"/>
        </w:rPr>
      </w:pPr>
    </w:p>
    <w:p>
      <w:pPr>
        <w:ind w:left="660"/>
        <w:spacing w:after="0"/>
        <w:tabs>
          <w:tab w:leader="none" w:pos="3420" w:val="left"/>
        </w:tabs>
        <w:rPr>
          <w:sz w:val="20"/>
          <w:szCs w:val="20"/>
          <w:color w:val="auto"/>
        </w:rPr>
      </w:pPr>
      <w:r>
        <w:rPr>
          <w:rFonts w:ascii="Times New Roman" w:cs="Times New Roman" w:eastAsia="Times New Roman" w:hAnsi="Times New Roman"/>
          <w:sz w:val="20"/>
          <w:szCs w:val="20"/>
          <w:color w:val="auto"/>
        </w:rPr>
        <w:t>Section 10.8. Rights Cumulative</w:t>
      </w:r>
      <w:r>
        <w:rPr>
          <w:sz w:val="20"/>
          <w:szCs w:val="20"/>
          <w:color w:val="auto"/>
        </w:rPr>
        <w:tab/>
      </w:r>
      <w:r>
        <w:rPr>
          <w:rFonts w:ascii="Times New Roman" w:cs="Times New Roman" w:eastAsia="Times New Roman" w:hAnsi="Times New Roman"/>
          <w:sz w:val="18"/>
          <w:szCs w:val="18"/>
          <w:color w:val="FF0000"/>
          <w:strike w:val="1"/>
        </w:rPr>
        <w:t>81</w:t>
      </w:r>
      <w:r>
        <w:rPr>
          <w:rFonts w:ascii="Times New Roman" w:cs="Times New Roman" w:eastAsia="Times New Roman" w:hAnsi="Times New Roman"/>
          <w:sz w:val="18"/>
          <w:szCs w:val="18"/>
          <w:u w:val="single" w:color="auto"/>
          <w:color w:val="0101FF"/>
          <w:strike w:val="1"/>
        </w:rPr>
        <w:t>88</w:t>
      </w:r>
    </w:p>
    <w:p>
      <w:pPr>
        <w:spacing w:after="0" w:line="99"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Article XI. The Administrative Agent</w:t>
      </w:r>
      <w:r>
        <w:rPr>
          <w:sz w:val="20"/>
          <w:szCs w:val="20"/>
          <w:color w:val="auto"/>
        </w:rPr>
        <w:tab/>
      </w:r>
      <w:r>
        <w:rPr>
          <w:rFonts w:ascii="Times New Roman" w:cs="Times New Roman" w:eastAsia="Times New Roman" w:hAnsi="Times New Roman"/>
          <w:sz w:val="19"/>
          <w:szCs w:val="19"/>
          <w:color w:val="FF0000"/>
          <w:strike w:val="1"/>
        </w:rPr>
        <w:t>82</w:t>
      </w:r>
      <w:r>
        <w:rPr>
          <w:rFonts w:ascii="Times New Roman" w:cs="Times New Roman" w:eastAsia="Times New Roman" w:hAnsi="Times New Roman"/>
          <w:sz w:val="19"/>
          <w:szCs w:val="19"/>
          <w:u w:val="single" w:color="auto"/>
          <w:color w:val="0101FF"/>
          <w:strike w:val="1"/>
        </w:rPr>
        <w:t>89</w:t>
      </w:r>
    </w:p>
    <w:p>
      <w:pPr>
        <w:spacing w:after="0" w:line="121" w:lineRule="exact"/>
        <w:rPr>
          <w:sz w:val="20"/>
          <w:szCs w:val="20"/>
          <w:color w:val="auto"/>
        </w:rPr>
      </w:pPr>
    </w:p>
    <w:p>
      <w:pPr>
        <w:ind w:left="660"/>
        <w:spacing w:after="0"/>
        <w:tabs>
          <w:tab w:leader="none" w:pos="4500" w:val="left"/>
        </w:tabs>
        <w:rPr>
          <w:sz w:val="20"/>
          <w:szCs w:val="20"/>
          <w:color w:val="auto"/>
        </w:rPr>
      </w:pPr>
      <w:r>
        <w:rPr>
          <w:rFonts w:ascii="Times New Roman" w:cs="Times New Roman" w:eastAsia="Times New Roman" w:hAnsi="Times New Roman"/>
          <w:sz w:val="20"/>
          <w:szCs w:val="20"/>
          <w:color w:val="auto"/>
        </w:rPr>
        <w:t>Section 11.1. Appointment and Authorization.</w:t>
      </w:r>
      <w:r>
        <w:rPr>
          <w:sz w:val="20"/>
          <w:szCs w:val="20"/>
          <w:color w:val="auto"/>
        </w:rPr>
        <w:tab/>
      </w:r>
      <w:r>
        <w:rPr>
          <w:rFonts w:ascii="Times New Roman" w:cs="Times New Roman" w:eastAsia="Times New Roman" w:hAnsi="Times New Roman"/>
          <w:sz w:val="18"/>
          <w:szCs w:val="18"/>
          <w:color w:val="FF0000"/>
          <w:strike w:val="1"/>
        </w:rPr>
        <w:t>82</w:t>
      </w:r>
      <w:r>
        <w:rPr>
          <w:rFonts w:ascii="Times New Roman" w:cs="Times New Roman" w:eastAsia="Times New Roman" w:hAnsi="Times New Roman"/>
          <w:sz w:val="18"/>
          <w:szCs w:val="18"/>
          <w:u w:val="single" w:color="auto"/>
          <w:color w:val="0101FF"/>
          <w:strike w:val="1"/>
        </w:rPr>
        <w:t>89</w:t>
      </w:r>
    </w:p>
    <w:p>
      <w:pPr>
        <w:spacing w:after="0" w:line="22" w:lineRule="exact"/>
        <w:rPr>
          <w:sz w:val="20"/>
          <w:szCs w:val="20"/>
          <w:color w:val="auto"/>
        </w:rPr>
      </w:pPr>
    </w:p>
    <w:p>
      <w:pPr>
        <w:ind w:left="660"/>
        <w:spacing w:after="0"/>
        <w:tabs>
          <w:tab w:leader="none" w:pos="3740" w:val="left"/>
        </w:tabs>
        <w:rPr>
          <w:sz w:val="20"/>
          <w:szCs w:val="20"/>
          <w:color w:val="auto"/>
        </w:rPr>
      </w:pPr>
      <w:r>
        <w:rPr>
          <w:rFonts w:ascii="Times New Roman" w:cs="Times New Roman" w:eastAsia="Times New Roman" w:hAnsi="Times New Roman"/>
          <w:sz w:val="20"/>
          <w:szCs w:val="20"/>
          <w:color w:val="auto"/>
        </w:rPr>
        <w:t>Section 11.2. Wells Fargo as Lender.</w:t>
      </w:r>
      <w:r>
        <w:rPr>
          <w:sz w:val="20"/>
          <w:szCs w:val="20"/>
          <w:color w:val="auto"/>
        </w:rPr>
        <w:tab/>
      </w:r>
      <w:r>
        <w:rPr>
          <w:rFonts w:ascii="Times New Roman" w:cs="Times New Roman" w:eastAsia="Times New Roman" w:hAnsi="Times New Roman"/>
          <w:sz w:val="18"/>
          <w:szCs w:val="18"/>
          <w:color w:val="FF0000"/>
          <w:strike w:val="1"/>
        </w:rPr>
        <w:t>83</w:t>
      </w:r>
      <w:r>
        <w:rPr>
          <w:rFonts w:ascii="Times New Roman" w:cs="Times New Roman" w:eastAsia="Times New Roman" w:hAnsi="Times New Roman"/>
          <w:sz w:val="18"/>
          <w:szCs w:val="18"/>
          <w:u w:val="single" w:color="auto"/>
          <w:color w:val="0101FF"/>
          <w:strike w:val="1"/>
        </w:rPr>
        <w:t>90</w:t>
      </w:r>
    </w:p>
    <w:p>
      <w:pPr>
        <w:spacing w:after="0" w:line="6" w:lineRule="exact"/>
        <w:rPr>
          <w:sz w:val="20"/>
          <w:szCs w:val="20"/>
          <w:color w:val="auto"/>
        </w:rPr>
      </w:pPr>
    </w:p>
    <w:p>
      <w:pPr>
        <w:ind w:left="660"/>
        <w:spacing w:after="0"/>
        <w:tabs>
          <w:tab w:leader="none" w:pos="3680" w:val="left"/>
        </w:tabs>
        <w:rPr>
          <w:sz w:val="20"/>
          <w:szCs w:val="20"/>
          <w:color w:val="auto"/>
        </w:rPr>
      </w:pPr>
      <w:r>
        <w:rPr>
          <w:rFonts w:ascii="Times New Roman" w:cs="Times New Roman" w:eastAsia="Times New Roman" w:hAnsi="Times New Roman"/>
          <w:sz w:val="20"/>
          <w:szCs w:val="20"/>
          <w:color w:val="auto"/>
        </w:rPr>
        <w:t>Section 11.3. Approvals of Lenders.</w:t>
      </w:r>
      <w:r>
        <w:rPr>
          <w:sz w:val="20"/>
          <w:szCs w:val="20"/>
          <w:color w:val="auto"/>
        </w:rPr>
        <w:tab/>
      </w:r>
      <w:r>
        <w:rPr>
          <w:rFonts w:ascii="Times New Roman" w:cs="Times New Roman" w:eastAsia="Times New Roman" w:hAnsi="Times New Roman"/>
          <w:sz w:val="19"/>
          <w:szCs w:val="19"/>
          <w:color w:val="FF0000"/>
          <w:strike w:val="1"/>
        </w:rPr>
        <w:t>83</w:t>
      </w:r>
      <w:r>
        <w:rPr>
          <w:rFonts w:ascii="Times New Roman" w:cs="Times New Roman" w:eastAsia="Times New Roman" w:hAnsi="Times New Roman"/>
          <w:sz w:val="19"/>
          <w:szCs w:val="19"/>
          <w:u w:val="single" w:color="auto"/>
          <w:color w:val="0101FF"/>
          <w:strike w:val="1"/>
        </w:rPr>
        <w:t>90</w:t>
      </w:r>
    </w:p>
    <w:p>
      <w:pPr>
        <w:spacing w:after="0" w:line="6" w:lineRule="exact"/>
        <w:rPr>
          <w:sz w:val="20"/>
          <w:szCs w:val="20"/>
          <w:color w:val="auto"/>
        </w:rPr>
      </w:pPr>
    </w:p>
    <w:p>
      <w:pPr>
        <w:ind w:left="660"/>
        <w:spacing w:after="0"/>
        <w:tabs>
          <w:tab w:leader="none" w:pos="4160" w:val="left"/>
        </w:tabs>
        <w:rPr>
          <w:sz w:val="20"/>
          <w:szCs w:val="20"/>
          <w:color w:val="auto"/>
        </w:rPr>
      </w:pPr>
      <w:r>
        <w:rPr>
          <w:rFonts w:ascii="Times New Roman" w:cs="Times New Roman" w:eastAsia="Times New Roman" w:hAnsi="Times New Roman"/>
          <w:sz w:val="20"/>
          <w:szCs w:val="20"/>
          <w:color w:val="auto"/>
        </w:rPr>
        <w:t>Section 11.4. Notice of Events of Default.</w:t>
      </w:r>
      <w:r>
        <w:rPr>
          <w:sz w:val="20"/>
          <w:szCs w:val="20"/>
          <w:color w:val="auto"/>
        </w:rPr>
        <w:tab/>
      </w:r>
      <w:r>
        <w:rPr>
          <w:rFonts w:ascii="Times New Roman" w:cs="Times New Roman" w:eastAsia="Times New Roman" w:hAnsi="Times New Roman"/>
          <w:sz w:val="18"/>
          <w:szCs w:val="18"/>
          <w:color w:val="FF0000"/>
          <w:strike w:val="1"/>
        </w:rPr>
        <w:t>84</w:t>
      </w:r>
      <w:r>
        <w:rPr>
          <w:rFonts w:ascii="Times New Roman" w:cs="Times New Roman" w:eastAsia="Times New Roman" w:hAnsi="Times New Roman"/>
          <w:sz w:val="18"/>
          <w:szCs w:val="18"/>
          <w:u w:val="single" w:color="auto"/>
          <w:color w:val="0101FF"/>
          <w:strike w:val="1"/>
        </w:rPr>
        <w:t>90</w:t>
      </w:r>
    </w:p>
    <w:p>
      <w:pPr>
        <w:spacing w:after="0" w:line="6" w:lineRule="exact"/>
        <w:rPr>
          <w:sz w:val="20"/>
          <w:szCs w:val="20"/>
          <w:color w:val="auto"/>
        </w:rPr>
      </w:pPr>
    </w:p>
    <w:p>
      <w:pPr>
        <w:ind w:left="660"/>
        <w:spacing w:after="0"/>
        <w:tabs>
          <w:tab w:leader="none" w:pos="4560" w:val="left"/>
        </w:tabs>
        <w:rPr>
          <w:sz w:val="20"/>
          <w:szCs w:val="20"/>
          <w:color w:val="auto"/>
        </w:rPr>
      </w:pPr>
      <w:r>
        <w:rPr>
          <w:rFonts w:ascii="Times New Roman" w:cs="Times New Roman" w:eastAsia="Times New Roman" w:hAnsi="Times New Roman"/>
          <w:sz w:val="20"/>
          <w:szCs w:val="20"/>
          <w:color w:val="auto"/>
        </w:rPr>
        <w:t>Section 11.5. Administrative Agent’s Reliance.</w:t>
      </w:r>
      <w:r>
        <w:rPr>
          <w:sz w:val="20"/>
          <w:szCs w:val="20"/>
          <w:color w:val="auto"/>
        </w:rPr>
        <w:tab/>
      </w:r>
      <w:r>
        <w:rPr>
          <w:rFonts w:ascii="Times New Roman" w:cs="Times New Roman" w:eastAsia="Times New Roman" w:hAnsi="Times New Roman"/>
          <w:sz w:val="19"/>
          <w:szCs w:val="19"/>
          <w:color w:val="FF0000"/>
          <w:strike w:val="1"/>
        </w:rPr>
        <w:t>84</w:t>
      </w:r>
      <w:r>
        <w:rPr>
          <w:rFonts w:ascii="Times New Roman" w:cs="Times New Roman" w:eastAsia="Times New Roman" w:hAnsi="Times New Roman"/>
          <w:sz w:val="19"/>
          <w:szCs w:val="19"/>
          <w:u w:val="single" w:color="auto"/>
          <w:color w:val="0101FF"/>
          <w:strike w:val="1"/>
        </w:rPr>
        <w:t>91</w:t>
      </w:r>
    </w:p>
    <w:p>
      <w:pPr>
        <w:spacing w:after="0" w:line="13" w:lineRule="exact"/>
        <w:rPr>
          <w:sz w:val="20"/>
          <w:szCs w:val="20"/>
          <w:color w:val="auto"/>
        </w:rPr>
      </w:pPr>
    </w:p>
    <w:p>
      <w:pPr>
        <w:ind w:left="660"/>
        <w:spacing w:after="0"/>
        <w:tabs>
          <w:tab w:leader="none" w:pos="5220" w:val="left"/>
        </w:tabs>
        <w:rPr>
          <w:sz w:val="20"/>
          <w:szCs w:val="20"/>
          <w:color w:val="auto"/>
        </w:rPr>
      </w:pPr>
      <w:r>
        <w:rPr>
          <w:rFonts w:ascii="Times New Roman" w:cs="Times New Roman" w:eastAsia="Times New Roman" w:hAnsi="Times New Roman"/>
          <w:sz w:val="20"/>
          <w:szCs w:val="20"/>
          <w:color w:val="auto"/>
        </w:rPr>
        <w:t>Section 11.6. Indemnification of Administrative Agent.</w:t>
      </w:r>
      <w:r>
        <w:rPr>
          <w:sz w:val="20"/>
          <w:szCs w:val="20"/>
          <w:color w:val="auto"/>
        </w:rPr>
        <w:tab/>
      </w:r>
      <w:r>
        <w:rPr>
          <w:rFonts w:ascii="Times New Roman" w:cs="Times New Roman" w:eastAsia="Times New Roman" w:hAnsi="Times New Roman"/>
          <w:sz w:val="18"/>
          <w:szCs w:val="18"/>
          <w:color w:val="FF0000"/>
          <w:strike w:val="1"/>
        </w:rPr>
        <w:t>84</w:t>
      </w:r>
      <w:r>
        <w:rPr>
          <w:rFonts w:ascii="Times New Roman" w:cs="Times New Roman" w:eastAsia="Times New Roman" w:hAnsi="Times New Roman"/>
          <w:sz w:val="18"/>
          <w:szCs w:val="18"/>
          <w:u w:val="single" w:color="auto"/>
          <w:color w:val="0101FF"/>
          <w:strike w:val="1"/>
        </w:rPr>
        <w:t>91</w:t>
      </w:r>
    </w:p>
    <w:p>
      <w:pPr>
        <w:spacing w:after="0" w:line="6" w:lineRule="exact"/>
        <w:rPr>
          <w:sz w:val="20"/>
          <w:szCs w:val="20"/>
          <w:color w:val="auto"/>
        </w:rPr>
      </w:pPr>
    </w:p>
    <w:p>
      <w:pPr>
        <w:ind w:left="660"/>
        <w:spacing w:after="0"/>
        <w:tabs>
          <w:tab w:leader="none" w:pos="4180" w:val="left"/>
        </w:tabs>
        <w:rPr>
          <w:sz w:val="20"/>
          <w:szCs w:val="20"/>
          <w:color w:val="auto"/>
        </w:rPr>
      </w:pPr>
      <w:r>
        <w:rPr>
          <w:rFonts w:ascii="Times New Roman" w:cs="Times New Roman" w:eastAsia="Times New Roman" w:hAnsi="Times New Roman"/>
          <w:sz w:val="20"/>
          <w:szCs w:val="20"/>
          <w:color w:val="auto"/>
        </w:rPr>
        <w:t>Section 11.7. Lender Credit Decision, Etc.</w:t>
      </w:r>
      <w:r>
        <w:rPr>
          <w:sz w:val="20"/>
          <w:szCs w:val="20"/>
          <w:color w:val="auto"/>
        </w:rPr>
        <w:tab/>
      </w:r>
      <w:r>
        <w:rPr>
          <w:rFonts w:ascii="Times New Roman" w:cs="Times New Roman" w:eastAsia="Times New Roman" w:hAnsi="Times New Roman"/>
          <w:sz w:val="19"/>
          <w:szCs w:val="19"/>
          <w:color w:val="FF0000"/>
          <w:strike w:val="1"/>
        </w:rPr>
        <w:t>85</w:t>
      </w:r>
      <w:r>
        <w:rPr>
          <w:rFonts w:ascii="Times New Roman" w:cs="Times New Roman" w:eastAsia="Times New Roman" w:hAnsi="Times New Roman"/>
          <w:sz w:val="19"/>
          <w:szCs w:val="19"/>
          <w:u w:val="single" w:color="auto"/>
          <w:color w:val="0101FF"/>
          <w:strike w:val="1"/>
        </w:rPr>
        <w:t>92</w:t>
      </w:r>
    </w:p>
    <w:p>
      <w:pPr>
        <w:spacing w:after="0" w:line="6" w:lineRule="exact"/>
        <w:rPr>
          <w:sz w:val="20"/>
          <w:szCs w:val="20"/>
          <w:color w:val="auto"/>
        </w:rPr>
      </w:pPr>
    </w:p>
    <w:p>
      <w:pPr>
        <w:ind w:left="660"/>
        <w:spacing w:after="0"/>
        <w:tabs>
          <w:tab w:leader="none" w:pos="4520" w:val="left"/>
        </w:tabs>
        <w:rPr>
          <w:sz w:val="20"/>
          <w:szCs w:val="20"/>
          <w:color w:val="auto"/>
        </w:rPr>
      </w:pPr>
      <w:r>
        <w:rPr>
          <w:rFonts w:ascii="Times New Roman" w:cs="Times New Roman" w:eastAsia="Times New Roman" w:hAnsi="Times New Roman"/>
          <w:sz w:val="20"/>
          <w:szCs w:val="20"/>
          <w:color w:val="auto"/>
        </w:rPr>
        <w:t>Section 11.8. Successor Administrative Agent.</w:t>
      </w:r>
      <w:r>
        <w:rPr>
          <w:sz w:val="20"/>
          <w:szCs w:val="20"/>
          <w:color w:val="auto"/>
        </w:rPr>
        <w:tab/>
      </w:r>
      <w:r>
        <w:rPr>
          <w:rFonts w:ascii="Times New Roman" w:cs="Times New Roman" w:eastAsia="Times New Roman" w:hAnsi="Times New Roman"/>
          <w:sz w:val="19"/>
          <w:szCs w:val="19"/>
          <w:color w:val="FF0000"/>
          <w:strike w:val="1"/>
        </w:rPr>
        <w:t>86</w:t>
      </w:r>
      <w:r>
        <w:rPr>
          <w:rFonts w:ascii="Times New Roman" w:cs="Times New Roman" w:eastAsia="Times New Roman" w:hAnsi="Times New Roman"/>
          <w:sz w:val="19"/>
          <w:szCs w:val="19"/>
          <w:u w:val="single" w:color="auto"/>
          <w:color w:val="0101FF"/>
          <w:strike w:val="1"/>
        </w:rPr>
        <w:t>93</w:t>
      </w:r>
    </w:p>
    <w:p>
      <w:pPr>
        <w:spacing w:after="0" w:line="6" w:lineRule="exact"/>
        <w:rPr>
          <w:sz w:val="20"/>
          <w:szCs w:val="20"/>
          <w:color w:val="auto"/>
        </w:rPr>
      </w:pPr>
    </w:p>
    <w:p>
      <w:pPr>
        <w:ind w:left="660"/>
        <w:spacing w:after="0"/>
        <w:tabs>
          <w:tab w:leader="none" w:pos="3040" w:val="left"/>
        </w:tabs>
        <w:rPr>
          <w:sz w:val="20"/>
          <w:szCs w:val="20"/>
          <w:color w:val="auto"/>
        </w:rPr>
      </w:pPr>
      <w:r>
        <w:rPr>
          <w:rFonts w:ascii="Times New Roman" w:cs="Times New Roman" w:eastAsia="Times New Roman" w:hAnsi="Times New Roman"/>
          <w:sz w:val="20"/>
          <w:szCs w:val="20"/>
          <w:color w:val="auto"/>
        </w:rPr>
        <w:t>Section 11.9. Titled Agents.</w:t>
      </w:r>
      <w:r>
        <w:rPr>
          <w:sz w:val="20"/>
          <w:szCs w:val="20"/>
          <w:color w:val="auto"/>
        </w:rPr>
        <w:tab/>
      </w:r>
      <w:r>
        <w:rPr>
          <w:rFonts w:ascii="Times New Roman" w:cs="Times New Roman" w:eastAsia="Times New Roman" w:hAnsi="Times New Roman"/>
          <w:sz w:val="19"/>
          <w:szCs w:val="19"/>
          <w:color w:val="FF0000"/>
          <w:strike w:val="1"/>
        </w:rPr>
        <w:t>87</w:t>
      </w:r>
      <w:r>
        <w:rPr>
          <w:rFonts w:ascii="Times New Roman" w:cs="Times New Roman" w:eastAsia="Times New Roman" w:hAnsi="Times New Roman"/>
          <w:sz w:val="19"/>
          <w:szCs w:val="19"/>
          <w:u w:val="single" w:color="auto"/>
          <w:color w:val="0101FF"/>
          <w:strike w:val="1"/>
        </w:rPr>
        <w:t>94</w:t>
      </w:r>
    </w:p>
    <w:p>
      <w:pPr>
        <w:spacing w:after="0" w:line="6" w:lineRule="exact"/>
        <w:rPr>
          <w:sz w:val="20"/>
          <w:szCs w:val="20"/>
          <w:color w:val="auto"/>
        </w:rPr>
      </w:pPr>
    </w:p>
    <w:p>
      <w:pPr>
        <w:ind w:left="660"/>
        <w:spacing w:after="0"/>
        <w:tabs>
          <w:tab w:leader="none" w:pos="4580" w:val="left"/>
        </w:tabs>
        <w:rPr>
          <w:sz w:val="20"/>
          <w:szCs w:val="20"/>
          <w:color w:val="auto"/>
        </w:rPr>
      </w:pPr>
      <w:r>
        <w:rPr>
          <w:rFonts w:ascii="Times New Roman" w:cs="Times New Roman" w:eastAsia="Times New Roman" w:hAnsi="Times New Roman"/>
          <w:sz w:val="20"/>
          <w:szCs w:val="20"/>
          <w:color w:val="auto"/>
        </w:rPr>
        <w:t>Section 11.10. Specified Derivatives Contracts.</w:t>
      </w:r>
      <w:r>
        <w:rPr>
          <w:sz w:val="20"/>
          <w:szCs w:val="20"/>
          <w:color w:val="auto"/>
        </w:rPr>
        <w:tab/>
      </w:r>
      <w:r>
        <w:rPr>
          <w:rFonts w:ascii="Times New Roman" w:cs="Times New Roman" w:eastAsia="Times New Roman" w:hAnsi="Times New Roman"/>
          <w:sz w:val="19"/>
          <w:szCs w:val="19"/>
          <w:color w:val="FF0000"/>
          <w:strike w:val="1"/>
        </w:rPr>
        <w:t>87</w:t>
      </w:r>
      <w:r>
        <w:rPr>
          <w:rFonts w:ascii="Times New Roman" w:cs="Times New Roman" w:eastAsia="Times New Roman" w:hAnsi="Times New Roman"/>
          <w:sz w:val="19"/>
          <w:szCs w:val="19"/>
          <w:u w:val="single" w:color="auto"/>
          <w:color w:val="0101FF"/>
          <w:strike w:val="1"/>
        </w:rPr>
        <w:t>94</w:t>
      </w:r>
    </w:p>
    <w:p>
      <w:pPr>
        <w:spacing w:after="0" w:line="13" w:lineRule="exact"/>
        <w:rPr>
          <w:sz w:val="20"/>
          <w:szCs w:val="20"/>
          <w:color w:val="auto"/>
        </w:rPr>
      </w:pPr>
    </w:p>
    <w:p>
      <w:pPr>
        <w:ind w:left="660"/>
        <w:spacing w:after="0"/>
        <w:tabs>
          <w:tab w:leader="none" w:pos="3680" w:val="left"/>
        </w:tabs>
        <w:rPr>
          <w:sz w:val="20"/>
          <w:szCs w:val="20"/>
          <w:color w:val="auto"/>
        </w:rPr>
      </w:pPr>
      <w:r>
        <w:rPr>
          <w:rFonts w:ascii="Times New Roman" w:cs="Times New Roman" w:eastAsia="Times New Roman" w:hAnsi="Times New Roman"/>
          <w:sz w:val="20"/>
          <w:szCs w:val="20"/>
          <w:color w:val="auto"/>
        </w:rPr>
        <w:t>Section 11.11. Erroneous Payments.</w:t>
      </w:r>
      <w:r>
        <w:rPr>
          <w:sz w:val="20"/>
          <w:szCs w:val="20"/>
          <w:color w:val="auto"/>
        </w:rPr>
        <w:tab/>
      </w:r>
      <w:r>
        <w:rPr>
          <w:rFonts w:ascii="Times New Roman" w:cs="Times New Roman" w:eastAsia="Times New Roman" w:hAnsi="Times New Roman"/>
          <w:sz w:val="19"/>
          <w:szCs w:val="19"/>
          <w:color w:val="FF0000"/>
          <w:strike w:val="1"/>
        </w:rPr>
        <w:t>87</w:t>
      </w:r>
      <w:r>
        <w:rPr>
          <w:rFonts w:ascii="Times New Roman" w:cs="Times New Roman" w:eastAsia="Times New Roman" w:hAnsi="Times New Roman"/>
          <w:sz w:val="19"/>
          <w:szCs w:val="19"/>
          <w:u w:val="single" w:color="auto"/>
          <w:color w:val="0101FF"/>
          <w:strike w:val="1"/>
        </w:rPr>
        <w:t>94</w:t>
      </w:r>
    </w:p>
    <w:p>
      <w:pPr>
        <w:spacing w:after="0" w:line="92"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color w:val="auto"/>
        </w:rPr>
        <w:t>Article XII. Miscellaneous</w:t>
      </w:r>
      <w:r>
        <w:rPr>
          <w:sz w:val="20"/>
          <w:szCs w:val="20"/>
          <w:color w:val="auto"/>
        </w:rPr>
        <w:tab/>
      </w:r>
      <w:r>
        <w:rPr>
          <w:rFonts w:ascii="Times New Roman" w:cs="Times New Roman" w:eastAsia="Times New Roman" w:hAnsi="Times New Roman"/>
          <w:sz w:val="19"/>
          <w:szCs w:val="19"/>
          <w:color w:val="FF0000"/>
          <w:strike w:val="1"/>
        </w:rPr>
        <w:t>89</w:t>
      </w:r>
      <w:r>
        <w:rPr>
          <w:rFonts w:ascii="Times New Roman" w:cs="Times New Roman" w:eastAsia="Times New Roman" w:hAnsi="Times New Roman"/>
          <w:sz w:val="19"/>
          <w:szCs w:val="19"/>
          <w:u w:val="single" w:color="auto"/>
          <w:color w:val="0101FF"/>
          <w:strike w:val="1"/>
        </w:rPr>
        <w:t>96</w:t>
      </w:r>
    </w:p>
    <w:p>
      <w:pPr>
        <w:spacing w:after="0" w:line="121"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12.1. Notices.</w:t>
      </w:r>
      <w:r>
        <w:rPr>
          <w:sz w:val="20"/>
          <w:szCs w:val="20"/>
          <w:color w:val="auto"/>
        </w:rPr>
        <w:tab/>
      </w:r>
      <w:r>
        <w:rPr>
          <w:rFonts w:ascii="Times New Roman" w:cs="Times New Roman" w:eastAsia="Times New Roman" w:hAnsi="Times New Roman"/>
          <w:sz w:val="19"/>
          <w:szCs w:val="19"/>
          <w:color w:val="FF0000"/>
          <w:strike w:val="1"/>
        </w:rPr>
        <w:t>89</w:t>
      </w:r>
      <w:r>
        <w:rPr>
          <w:rFonts w:ascii="Times New Roman" w:cs="Times New Roman" w:eastAsia="Times New Roman" w:hAnsi="Times New Roman"/>
          <w:sz w:val="19"/>
          <w:szCs w:val="19"/>
          <w:u w:val="single" w:color="auto"/>
          <w:color w:val="0101FF"/>
          <w:strike w:val="1"/>
        </w:rPr>
        <w:t>96</w:t>
      </w:r>
    </w:p>
    <w:p>
      <w:pPr>
        <w:spacing w:after="0" w:line="22"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12.2. Expenses.</w:t>
      </w:r>
      <w:r>
        <w:rPr>
          <w:sz w:val="20"/>
          <w:szCs w:val="20"/>
          <w:color w:val="auto"/>
        </w:rPr>
        <w:tab/>
      </w:r>
      <w:r>
        <w:rPr>
          <w:rFonts w:ascii="Times New Roman" w:cs="Times New Roman" w:eastAsia="Times New Roman" w:hAnsi="Times New Roman"/>
          <w:sz w:val="19"/>
          <w:szCs w:val="19"/>
          <w:color w:val="FF0000"/>
          <w:strike w:val="1"/>
        </w:rPr>
        <w:t>91</w:t>
      </w:r>
      <w:r>
        <w:rPr>
          <w:rFonts w:ascii="Times New Roman" w:cs="Times New Roman" w:eastAsia="Times New Roman" w:hAnsi="Times New Roman"/>
          <w:sz w:val="19"/>
          <w:szCs w:val="19"/>
          <w:u w:val="single" w:color="auto"/>
          <w:color w:val="0101FF"/>
          <w:strike w:val="1"/>
        </w:rPr>
        <w:t>98</w:t>
      </w:r>
    </w:p>
    <w:p>
      <w:pPr>
        <w:spacing w:after="0" w:line="6" w:lineRule="exact"/>
        <w:rPr>
          <w:sz w:val="20"/>
          <w:szCs w:val="20"/>
          <w:color w:val="auto"/>
        </w:rPr>
      </w:pPr>
    </w:p>
    <w:p>
      <w:pPr>
        <w:ind w:left="660"/>
        <w:spacing w:after="0"/>
        <w:tabs>
          <w:tab w:leader="none" w:pos="2460" w:val="left"/>
        </w:tabs>
        <w:rPr>
          <w:sz w:val="20"/>
          <w:szCs w:val="20"/>
          <w:color w:val="auto"/>
        </w:rPr>
      </w:pPr>
      <w:r>
        <w:rPr>
          <w:rFonts w:ascii="Times New Roman" w:cs="Times New Roman" w:eastAsia="Times New Roman" w:hAnsi="Times New Roman"/>
          <w:sz w:val="20"/>
          <w:szCs w:val="20"/>
          <w:color w:val="auto"/>
        </w:rPr>
        <w:t>Section 12.3. Setoff.</w:t>
      </w:r>
      <w:r>
        <w:rPr>
          <w:sz w:val="20"/>
          <w:szCs w:val="20"/>
          <w:color w:val="auto"/>
        </w:rPr>
        <w:tab/>
      </w:r>
      <w:r>
        <w:rPr>
          <w:rFonts w:ascii="Times New Roman" w:cs="Times New Roman" w:eastAsia="Times New Roman" w:hAnsi="Times New Roman"/>
          <w:sz w:val="18"/>
          <w:szCs w:val="18"/>
          <w:color w:val="FF0000"/>
          <w:strike w:val="1"/>
        </w:rPr>
        <w:t>92</w:t>
      </w:r>
      <w:r>
        <w:rPr>
          <w:rFonts w:ascii="Times New Roman" w:cs="Times New Roman" w:eastAsia="Times New Roman" w:hAnsi="Times New Roman"/>
          <w:sz w:val="18"/>
          <w:szCs w:val="18"/>
          <w:u w:val="single" w:color="auto"/>
          <w:color w:val="0101FF"/>
          <w:strike w:val="1"/>
        </w:rPr>
        <w:t>98</w:t>
      </w:r>
    </w:p>
    <w:p>
      <w:pPr>
        <w:spacing w:after="0" w:line="6" w:lineRule="exact"/>
        <w:rPr>
          <w:sz w:val="20"/>
          <w:szCs w:val="20"/>
          <w:color w:val="auto"/>
        </w:rPr>
      </w:pPr>
    </w:p>
    <w:p>
      <w:pPr>
        <w:ind w:left="660" w:right="3979"/>
        <w:spacing w:after="0" w:line="248" w:lineRule="auto"/>
        <w:rPr>
          <w:sz w:val="20"/>
          <w:szCs w:val="20"/>
          <w:color w:val="auto"/>
        </w:rPr>
      </w:pPr>
      <w:r>
        <w:rPr>
          <w:rFonts w:ascii="Times New Roman" w:cs="Times New Roman" w:eastAsia="Times New Roman" w:hAnsi="Times New Roman"/>
          <w:sz w:val="20"/>
          <w:szCs w:val="20"/>
          <w:color w:val="auto"/>
        </w:rPr>
        <w:t xml:space="preserve">Section 12.4. Litigation; Jurisdiction; Other Matters; Waivers. </w:t>
      </w:r>
      <w:r>
        <w:rPr>
          <w:rFonts w:ascii="Times New Roman" w:cs="Times New Roman" w:eastAsia="Times New Roman" w:hAnsi="Times New Roman"/>
          <w:sz w:val="20"/>
          <w:szCs w:val="20"/>
          <w:color w:val="FF0000"/>
          <w:strike w:val="1"/>
        </w:rPr>
        <w:t>92</w:t>
      </w:r>
      <w:r>
        <w:rPr>
          <w:rFonts w:ascii="Times New Roman" w:cs="Times New Roman" w:eastAsia="Times New Roman" w:hAnsi="Times New Roman"/>
          <w:sz w:val="20"/>
          <w:szCs w:val="20"/>
          <w:u w:val="single" w:color="auto"/>
          <w:color w:val="0101FF"/>
        </w:rPr>
        <w:t>99</w:t>
      </w:r>
      <w:r>
        <w:rPr>
          <w:rFonts w:ascii="Times New Roman" w:cs="Times New Roman" w:eastAsia="Times New Roman" w:hAnsi="Times New Roman"/>
          <w:sz w:val="20"/>
          <w:szCs w:val="20"/>
          <w:color w:val="auto"/>
        </w:rPr>
        <w:t xml:space="preserve"> Section 12.5. Successors and Assigns. </w:t>
      </w:r>
      <w:r>
        <w:rPr>
          <w:rFonts w:ascii="Times New Roman" w:cs="Times New Roman" w:eastAsia="Times New Roman" w:hAnsi="Times New Roman"/>
          <w:sz w:val="20"/>
          <w:szCs w:val="20"/>
          <w:color w:val="FF0000"/>
          <w:strike w:val="1"/>
        </w:rPr>
        <w:t>93</w:t>
      </w:r>
      <w:r>
        <w:rPr>
          <w:rFonts w:ascii="Times New Roman" w:cs="Times New Roman" w:eastAsia="Times New Roman" w:hAnsi="Times New Roman"/>
          <w:sz w:val="20"/>
          <w:szCs w:val="20"/>
          <w:u w:val="single" w:color="auto"/>
          <w:color w:val="0101FF"/>
        </w:rPr>
        <w:t>100</w:t>
      </w:r>
      <w:r>
        <w:rPr>
          <w:rFonts w:ascii="Times New Roman" w:cs="Times New Roman" w:eastAsia="Times New Roman" w:hAnsi="Times New Roman"/>
          <w:sz w:val="20"/>
          <w:szCs w:val="20"/>
          <w:color w:val="auto"/>
        </w:rPr>
        <w:t xml:space="preserve"> Section 12.6. Amendments and Waivers. </w:t>
      </w:r>
      <w:r>
        <w:rPr>
          <w:rFonts w:ascii="Times New Roman" w:cs="Times New Roman" w:eastAsia="Times New Roman" w:hAnsi="Times New Roman"/>
          <w:sz w:val="20"/>
          <w:szCs w:val="20"/>
          <w:color w:val="FF0000"/>
          <w:strike w:val="1"/>
        </w:rPr>
        <w:t>97</w:t>
      </w:r>
      <w:r>
        <w:rPr>
          <w:rFonts w:ascii="Times New Roman" w:cs="Times New Roman" w:eastAsia="Times New Roman" w:hAnsi="Times New Roman"/>
          <w:sz w:val="20"/>
          <w:szCs w:val="20"/>
          <w:u w:val="single" w:color="auto"/>
          <w:color w:val="0101FF"/>
        </w:rPr>
        <w:t>104</w:t>
      </w:r>
    </w:p>
    <w:p>
      <w:pPr>
        <w:spacing w:after="0" w:line="3" w:lineRule="exact"/>
        <w:rPr>
          <w:sz w:val="20"/>
          <w:szCs w:val="20"/>
          <w:color w:val="auto"/>
        </w:rPr>
      </w:pPr>
    </w:p>
    <w:p>
      <w:pPr>
        <w:ind w:left="1300" w:right="3079" w:hanging="647"/>
        <w:spacing w:after="0" w:line="246" w:lineRule="auto"/>
        <w:rPr>
          <w:sz w:val="20"/>
          <w:szCs w:val="20"/>
          <w:color w:val="auto"/>
        </w:rPr>
      </w:pPr>
      <w:r>
        <w:rPr>
          <w:rFonts w:ascii="Times New Roman" w:cs="Times New Roman" w:eastAsia="Times New Roman" w:hAnsi="Times New Roman"/>
          <w:sz w:val="20"/>
          <w:szCs w:val="20"/>
          <w:color w:val="auto"/>
        </w:rPr>
        <w:t xml:space="preserve">Section 12.7. Nonliability of Administrative Agent and Lenders; No Advisory or Fiduciary Responsibility. </w:t>
      </w:r>
      <w:r>
        <w:rPr>
          <w:rFonts w:ascii="Times New Roman" w:cs="Times New Roman" w:eastAsia="Times New Roman" w:hAnsi="Times New Roman"/>
          <w:sz w:val="20"/>
          <w:szCs w:val="20"/>
          <w:color w:val="FF0000"/>
          <w:strike w:val="1"/>
        </w:rPr>
        <w:t>100</w:t>
      </w:r>
      <w:r>
        <w:rPr>
          <w:rFonts w:ascii="Times New Roman" w:cs="Times New Roman" w:eastAsia="Times New Roman" w:hAnsi="Times New Roman"/>
          <w:sz w:val="20"/>
          <w:szCs w:val="20"/>
          <w:u w:val="single" w:color="auto"/>
          <w:color w:val="0101FF"/>
        </w:rPr>
        <w:t>108</w:t>
      </w:r>
    </w:p>
    <w:p>
      <w:pPr>
        <w:spacing w:after="0" w:line="1" w:lineRule="exact"/>
        <w:rPr>
          <w:sz w:val="20"/>
          <w:szCs w:val="20"/>
          <w:color w:val="auto"/>
        </w:rPr>
      </w:pPr>
    </w:p>
    <w:p>
      <w:pPr>
        <w:ind w:left="660"/>
        <w:spacing w:after="0"/>
        <w:tabs>
          <w:tab w:leader="none" w:pos="3160" w:val="left"/>
        </w:tabs>
        <w:rPr>
          <w:sz w:val="20"/>
          <w:szCs w:val="20"/>
          <w:color w:val="auto"/>
        </w:rPr>
      </w:pPr>
      <w:r>
        <w:rPr>
          <w:rFonts w:ascii="Times New Roman" w:cs="Times New Roman" w:eastAsia="Times New Roman" w:hAnsi="Times New Roman"/>
          <w:sz w:val="20"/>
          <w:szCs w:val="20"/>
          <w:color w:val="auto"/>
        </w:rPr>
        <w:t>Section 12.8. Confidentiality.</w:t>
      </w:r>
      <w:r>
        <w:rPr>
          <w:sz w:val="20"/>
          <w:szCs w:val="20"/>
          <w:color w:val="auto"/>
        </w:rPr>
        <w:tab/>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u w:val="single" w:color="auto"/>
          <w:color w:val="0101FF"/>
          <w:strike w:val="1"/>
        </w:rPr>
        <w:t>108</w:t>
      </w:r>
    </w:p>
    <w:p>
      <w:pPr>
        <w:spacing w:after="0" w:line="6" w:lineRule="exact"/>
        <w:rPr>
          <w:sz w:val="20"/>
          <w:szCs w:val="20"/>
          <w:color w:val="auto"/>
        </w:rPr>
      </w:pPr>
    </w:p>
    <w:p>
      <w:pPr>
        <w:ind w:left="660"/>
        <w:spacing w:after="0"/>
        <w:tabs>
          <w:tab w:leader="none" w:pos="3240" w:val="left"/>
        </w:tabs>
        <w:rPr>
          <w:sz w:val="20"/>
          <w:szCs w:val="20"/>
          <w:color w:val="auto"/>
        </w:rPr>
      </w:pPr>
      <w:r>
        <w:rPr>
          <w:rFonts w:ascii="Times New Roman" w:cs="Times New Roman" w:eastAsia="Times New Roman" w:hAnsi="Times New Roman"/>
          <w:sz w:val="20"/>
          <w:szCs w:val="20"/>
          <w:color w:val="auto"/>
        </w:rPr>
        <w:t>Section 12.9. Indemnification.</w:t>
      </w:r>
      <w:r>
        <w:rPr>
          <w:sz w:val="20"/>
          <w:szCs w:val="20"/>
          <w:color w:val="auto"/>
        </w:rPr>
        <w:tab/>
      </w:r>
      <w:r>
        <w:rPr>
          <w:rFonts w:ascii="Times New Roman" w:cs="Times New Roman" w:eastAsia="Times New Roman" w:hAnsi="Times New Roman"/>
          <w:sz w:val="19"/>
          <w:szCs w:val="19"/>
          <w:color w:val="FF0000"/>
          <w:strike w:val="1"/>
        </w:rPr>
        <w:t>102</w:t>
      </w:r>
      <w:r>
        <w:rPr>
          <w:rFonts w:ascii="Times New Roman" w:cs="Times New Roman" w:eastAsia="Times New Roman" w:hAnsi="Times New Roman"/>
          <w:sz w:val="19"/>
          <w:szCs w:val="19"/>
          <w:u w:val="single" w:color="auto"/>
          <w:color w:val="0101FF"/>
          <w:strike w:val="1"/>
        </w:rPr>
        <w:t>109</w:t>
      </w:r>
    </w:p>
    <w:p>
      <w:pPr>
        <w:spacing w:after="0" w:line="13" w:lineRule="exact"/>
        <w:rPr>
          <w:sz w:val="20"/>
          <w:szCs w:val="20"/>
          <w:color w:val="auto"/>
        </w:rPr>
      </w:pPr>
    </w:p>
    <w:p>
      <w:pPr>
        <w:ind w:left="660"/>
        <w:spacing w:after="0"/>
        <w:tabs>
          <w:tab w:leader="none" w:pos="3800" w:val="left"/>
        </w:tabs>
        <w:rPr>
          <w:sz w:val="20"/>
          <w:szCs w:val="20"/>
          <w:color w:val="auto"/>
        </w:rPr>
      </w:pPr>
      <w:r>
        <w:rPr>
          <w:rFonts w:ascii="Times New Roman" w:cs="Times New Roman" w:eastAsia="Times New Roman" w:hAnsi="Times New Roman"/>
          <w:sz w:val="20"/>
          <w:szCs w:val="20"/>
          <w:color w:val="auto"/>
        </w:rPr>
        <w:t>Section 12.10. Termination; Survival.</w:t>
      </w:r>
      <w:r>
        <w:rPr>
          <w:sz w:val="20"/>
          <w:szCs w:val="20"/>
          <w:color w:val="auto"/>
        </w:rPr>
        <w:tab/>
      </w:r>
      <w:r>
        <w:rPr>
          <w:rFonts w:ascii="Times New Roman" w:cs="Times New Roman" w:eastAsia="Times New Roman" w:hAnsi="Times New Roman"/>
          <w:sz w:val="19"/>
          <w:szCs w:val="19"/>
          <w:color w:val="FF0000"/>
          <w:strike w:val="1"/>
        </w:rPr>
        <w:t>104</w:t>
      </w:r>
      <w:r>
        <w:rPr>
          <w:rFonts w:ascii="Times New Roman" w:cs="Times New Roman" w:eastAsia="Times New Roman" w:hAnsi="Times New Roman"/>
          <w:sz w:val="19"/>
          <w:szCs w:val="19"/>
          <w:u w:val="single" w:color="auto"/>
          <w:color w:val="0101FF"/>
          <w:strike w:val="1"/>
        </w:rPr>
        <w:t>112</w:t>
      </w:r>
    </w:p>
    <w:p>
      <w:pPr>
        <w:spacing w:after="0" w:line="6" w:lineRule="exact"/>
        <w:rPr>
          <w:sz w:val="20"/>
          <w:szCs w:val="20"/>
          <w:color w:val="auto"/>
        </w:rPr>
      </w:pPr>
    </w:p>
    <w:p>
      <w:pPr>
        <w:ind w:left="660"/>
        <w:spacing w:after="0"/>
        <w:tabs>
          <w:tab w:leader="none" w:pos="4120" w:val="left"/>
        </w:tabs>
        <w:rPr>
          <w:sz w:val="20"/>
          <w:szCs w:val="20"/>
          <w:color w:val="auto"/>
        </w:rPr>
      </w:pPr>
      <w:r>
        <w:rPr>
          <w:rFonts w:ascii="Times New Roman" w:cs="Times New Roman" w:eastAsia="Times New Roman" w:hAnsi="Times New Roman"/>
          <w:sz w:val="20"/>
          <w:szCs w:val="20"/>
          <w:color w:val="auto"/>
        </w:rPr>
        <w:t>Section 12.11. Severability of Provisions.</w:t>
      </w:r>
      <w:r>
        <w:rPr>
          <w:sz w:val="20"/>
          <w:szCs w:val="20"/>
          <w:color w:val="auto"/>
        </w:rPr>
        <w:tab/>
      </w:r>
      <w:r>
        <w:rPr>
          <w:rFonts w:ascii="Times New Roman" w:cs="Times New Roman" w:eastAsia="Times New Roman" w:hAnsi="Times New Roman"/>
          <w:sz w:val="19"/>
          <w:szCs w:val="19"/>
          <w:color w:val="FF0000"/>
          <w:strike w:val="1"/>
        </w:rPr>
        <w:t>104</w:t>
      </w:r>
      <w:r>
        <w:rPr>
          <w:rFonts w:ascii="Times New Roman" w:cs="Times New Roman" w:eastAsia="Times New Roman" w:hAnsi="Times New Roman"/>
          <w:sz w:val="19"/>
          <w:szCs w:val="19"/>
          <w:u w:val="single" w:color="auto"/>
          <w:color w:val="0101FF"/>
          <w:strike w:val="1"/>
        </w:rPr>
        <w:t>112</w:t>
      </w:r>
    </w:p>
    <w:p>
      <w:pPr>
        <w:spacing w:after="0" w:line="6" w:lineRule="exact"/>
        <w:rPr>
          <w:sz w:val="20"/>
          <w:szCs w:val="20"/>
          <w:color w:val="auto"/>
        </w:rPr>
      </w:pPr>
    </w:p>
    <w:p>
      <w:pPr>
        <w:ind w:left="660"/>
        <w:spacing w:after="0"/>
        <w:tabs>
          <w:tab w:leader="none" w:pos="3720" w:val="left"/>
        </w:tabs>
        <w:rPr>
          <w:sz w:val="20"/>
          <w:szCs w:val="20"/>
          <w:color w:val="auto"/>
        </w:rPr>
      </w:pPr>
      <w:r>
        <w:rPr>
          <w:rFonts w:ascii="Times New Roman" w:cs="Times New Roman" w:eastAsia="Times New Roman" w:hAnsi="Times New Roman"/>
          <w:sz w:val="20"/>
          <w:szCs w:val="20"/>
          <w:color w:val="auto"/>
        </w:rPr>
        <w:t>Section 12.12. GOVERNING LAW.</w:t>
      </w:r>
      <w:r>
        <w:rPr>
          <w:sz w:val="20"/>
          <w:szCs w:val="20"/>
          <w:color w:val="auto"/>
        </w:rPr>
        <w:tab/>
      </w:r>
      <w:r>
        <w:rPr>
          <w:rFonts w:ascii="Times New Roman" w:cs="Times New Roman" w:eastAsia="Times New Roman" w:hAnsi="Times New Roman"/>
          <w:sz w:val="19"/>
          <w:szCs w:val="19"/>
          <w:color w:val="FF0000"/>
          <w:strike w:val="1"/>
        </w:rPr>
        <w:t>104</w:t>
      </w:r>
      <w:r>
        <w:rPr>
          <w:rFonts w:ascii="Times New Roman" w:cs="Times New Roman" w:eastAsia="Times New Roman" w:hAnsi="Times New Roman"/>
          <w:sz w:val="19"/>
          <w:szCs w:val="19"/>
          <w:u w:val="single" w:color="auto"/>
          <w:color w:val="0101FF"/>
          <w:strike w:val="1"/>
        </w:rPr>
        <w:t>112</w:t>
      </w:r>
    </w:p>
    <w:p>
      <w:pPr>
        <w:spacing w:after="0" w:line="6" w:lineRule="exact"/>
        <w:rPr>
          <w:sz w:val="20"/>
          <w:szCs w:val="20"/>
          <w:color w:val="auto"/>
        </w:rPr>
      </w:pPr>
    </w:p>
    <w:p>
      <w:pPr>
        <w:ind w:left="660"/>
        <w:spacing w:after="0"/>
        <w:tabs>
          <w:tab w:leader="none" w:pos="3100" w:val="left"/>
        </w:tabs>
        <w:rPr>
          <w:sz w:val="20"/>
          <w:szCs w:val="20"/>
          <w:color w:val="auto"/>
        </w:rPr>
      </w:pPr>
      <w:r>
        <w:rPr>
          <w:rFonts w:ascii="Times New Roman" w:cs="Times New Roman" w:eastAsia="Times New Roman" w:hAnsi="Times New Roman"/>
          <w:sz w:val="20"/>
          <w:szCs w:val="20"/>
          <w:color w:val="auto"/>
        </w:rPr>
        <w:t>Section 12.13. Counterparts.</w:t>
      </w:r>
      <w:r>
        <w:rPr>
          <w:sz w:val="20"/>
          <w:szCs w:val="20"/>
          <w:color w:val="auto"/>
        </w:rPr>
        <w:tab/>
      </w:r>
      <w:r>
        <w:rPr>
          <w:rFonts w:ascii="Times New Roman" w:cs="Times New Roman" w:eastAsia="Times New Roman" w:hAnsi="Times New Roman"/>
          <w:sz w:val="19"/>
          <w:szCs w:val="19"/>
          <w:color w:val="FF0000"/>
          <w:strike w:val="1"/>
        </w:rPr>
        <w:t>104</w:t>
      </w:r>
      <w:r>
        <w:rPr>
          <w:rFonts w:ascii="Times New Roman" w:cs="Times New Roman" w:eastAsia="Times New Roman" w:hAnsi="Times New Roman"/>
          <w:sz w:val="19"/>
          <w:szCs w:val="19"/>
          <w:u w:val="single" w:color="auto"/>
          <w:color w:val="0101FF"/>
          <w:strike w:val="1"/>
        </w:rPr>
        <w:t>112</w:t>
      </w:r>
    </w:p>
    <w:p>
      <w:pPr>
        <w:spacing w:after="0" w:line="6" w:lineRule="exact"/>
        <w:rPr>
          <w:sz w:val="20"/>
          <w:szCs w:val="20"/>
          <w:color w:val="auto"/>
        </w:rPr>
      </w:pPr>
    </w:p>
    <w:p>
      <w:pPr>
        <w:ind w:left="660" w:right="2859"/>
        <w:spacing w:after="0" w:line="250" w:lineRule="auto"/>
        <w:rPr>
          <w:sz w:val="20"/>
          <w:szCs w:val="20"/>
          <w:color w:val="auto"/>
        </w:rPr>
      </w:pPr>
      <w:r>
        <w:rPr>
          <w:rFonts w:ascii="Times New Roman" w:cs="Times New Roman" w:eastAsia="Times New Roman" w:hAnsi="Times New Roman"/>
          <w:sz w:val="20"/>
          <w:szCs w:val="20"/>
          <w:color w:val="auto"/>
        </w:rPr>
        <w:t xml:space="preserve">Section 12.14. Obligations with Respect to Loan Parties and Subsidiaries. </w:t>
      </w:r>
      <w:r>
        <w:rPr>
          <w:rFonts w:ascii="Times New Roman" w:cs="Times New Roman" w:eastAsia="Times New Roman" w:hAnsi="Times New Roman"/>
          <w:sz w:val="20"/>
          <w:szCs w:val="20"/>
          <w:color w:val="FF0000"/>
          <w:strike w:val="1"/>
        </w:rPr>
        <w:t>104</w:t>
      </w:r>
      <w:r>
        <w:rPr>
          <w:rFonts w:ascii="Times New Roman" w:cs="Times New Roman" w:eastAsia="Times New Roman" w:hAnsi="Times New Roman"/>
          <w:sz w:val="20"/>
          <w:szCs w:val="20"/>
          <w:u w:val="single" w:color="auto"/>
          <w:color w:val="0101FF"/>
        </w:rPr>
        <w:t>112</w:t>
      </w:r>
      <w:r>
        <w:rPr>
          <w:rFonts w:ascii="Times New Roman" w:cs="Times New Roman" w:eastAsia="Times New Roman" w:hAnsi="Times New Roman"/>
          <w:sz w:val="20"/>
          <w:szCs w:val="20"/>
          <w:color w:val="auto"/>
        </w:rPr>
        <w:t xml:space="preserve"> Section 12.15. Independence of Covenants. </w:t>
      </w:r>
      <w:r>
        <w:rPr>
          <w:rFonts w:ascii="Times New Roman" w:cs="Times New Roman" w:eastAsia="Times New Roman" w:hAnsi="Times New Roman"/>
          <w:sz w:val="20"/>
          <w:szCs w:val="20"/>
          <w:color w:val="FF0000"/>
          <w:strike w:val="1"/>
        </w:rPr>
        <w:t>105</w:t>
      </w:r>
      <w:r>
        <w:rPr>
          <w:rFonts w:ascii="Times New Roman" w:cs="Times New Roman" w:eastAsia="Times New Roman" w:hAnsi="Times New Roman"/>
          <w:sz w:val="20"/>
          <w:szCs w:val="20"/>
          <w:u w:val="single" w:color="auto"/>
          <w:color w:val="0101FF"/>
        </w:rPr>
        <w:t>113</w:t>
      </w:r>
    </w:p>
    <w:p>
      <w:pPr>
        <w:ind w:left="660"/>
        <w:spacing w:after="0"/>
        <w:tabs>
          <w:tab w:leader="none" w:pos="3840" w:val="left"/>
        </w:tabs>
        <w:rPr>
          <w:sz w:val="20"/>
          <w:szCs w:val="20"/>
          <w:color w:val="auto"/>
        </w:rPr>
      </w:pPr>
      <w:r>
        <w:rPr>
          <w:rFonts w:ascii="Times New Roman" w:cs="Times New Roman" w:eastAsia="Times New Roman" w:hAnsi="Times New Roman"/>
          <w:sz w:val="20"/>
          <w:szCs w:val="20"/>
          <w:color w:val="auto"/>
        </w:rPr>
        <w:t>Section 12.16. Limitation of Liability.</w:t>
      </w:r>
      <w:r>
        <w:rPr>
          <w:sz w:val="20"/>
          <w:szCs w:val="20"/>
          <w:color w:val="auto"/>
        </w:rPr>
        <w:tab/>
      </w:r>
      <w:r>
        <w:rPr>
          <w:rFonts w:ascii="Times New Roman" w:cs="Times New Roman" w:eastAsia="Times New Roman" w:hAnsi="Times New Roman"/>
          <w:sz w:val="19"/>
          <w:szCs w:val="19"/>
          <w:color w:val="FF0000"/>
          <w:strike w:val="1"/>
        </w:rPr>
        <w:t>105</w:t>
      </w:r>
      <w:r>
        <w:rPr>
          <w:rFonts w:ascii="Times New Roman" w:cs="Times New Roman" w:eastAsia="Times New Roman" w:hAnsi="Times New Roman"/>
          <w:sz w:val="19"/>
          <w:szCs w:val="19"/>
          <w:u w:val="single" w:color="auto"/>
          <w:color w:val="0101FF"/>
          <w:strike w:val="1"/>
        </w:rPr>
        <w:t>113</w:t>
      </w:r>
    </w:p>
    <w:p>
      <w:pPr>
        <w:spacing w:after="0" w:line="6" w:lineRule="exact"/>
        <w:rPr>
          <w:sz w:val="20"/>
          <w:szCs w:val="20"/>
          <w:color w:val="auto"/>
        </w:rPr>
      </w:pPr>
    </w:p>
    <w:p>
      <w:pPr>
        <w:ind w:left="660"/>
        <w:spacing w:after="0"/>
        <w:tabs>
          <w:tab w:leader="none" w:pos="3480" w:val="left"/>
        </w:tabs>
        <w:rPr>
          <w:sz w:val="20"/>
          <w:szCs w:val="20"/>
          <w:color w:val="auto"/>
        </w:rPr>
      </w:pPr>
      <w:r>
        <w:rPr>
          <w:rFonts w:ascii="Times New Roman" w:cs="Times New Roman" w:eastAsia="Times New Roman" w:hAnsi="Times New Roman"/>
          <w:sz w:val="20"/>
          <w:szCs w:val="20"/>
          <w:color w:val="auto"/>
        </w:rPr>
        <w:t>Section 12.17. Entire Agreement.</w:t>
      </w:r>
      <w:r>
        <w:rPr>
          <w:sz w:val="20"/>
          <w:szCs w:val="20"/>
          <w:color w:val="auto"/>
        </w:rPr>
        <w:tab/>
      </w:r>
      <w:r>
        <w:rPr>
          <w:rFonts w:ascii="Times New Roman" w:cs="Times New Roman" w:eastAsia="Times New Roman" w:hAnsi="Times New Roman"/>
          <w:sz w:val="19"/>
          <w:szCs w:val="19"/>
          <w:color w:val="FF0000"/>
          <w:strike w:val="1"/>
        </w:rPr>
        <w:t>105</w:t>
      </w:r>
      <w:r>
        <w:rPr>
          <w:rFonts w:ascii="Times New Roman" w:cs="Times New Roman" w:eastAsia="Times New Roman" w:hAnsi="Times New Roman"/>
          <w:sz w:val="19"/>
          <w:szCs w:val="19"/>
          <w:u w:val="single" w:color="auto"/>
          <w:color w:val="0101FF"/>
          <w:strike w:val="1"/>
        </w:rPr>
        <w:t>113</w:t>
      </w:r>
    </w:p>
    <w:p>
      <w:pPr>
        <w:spacing w:after="0" w:line="6" w:lineRule="exact"/>
        <w:rPr>
          <w:sz w:val="20"/>
          <w:szCs w:val="20"/>
          <w:color w:val="auto"/>
        </w:rPr>
      </w:pPr>
    </w:p>
    <w:p>
      <w:pPr>
        <w:ind w:left="660"/>
        <w:spacing w:after="0"/>
        <w:tabs>
          <w:tab w:leader="none" w:pos="3100" w:val="left"/>
        </w:tabs>
        <w:rPr>
          <w:sz w:val="20"/>
          <w:szCs w:val="20"/>
          <w:color w:val="auto"/>
        </w:rPr>
      </w:pPr>
      <w:r>
        <w:rPr>
          <w:rFonts w:ascii="Times New Roman" w:cs="Times New Roman" w:eastAsia="Times New Roman" w:hAnsi="Times New Roman"/>
          <w:sz w:val="20"/>
          <w:szCs w:val="20"/>
          <w:color w:val="auto"/>
        </w:rPr>
        <w:t>Section 12.18. Construction.</w:t>
      </w:r>
      <w:r>
        <w:rPr>
          <w:sz w:val="20"/>
          <w:szCs w:val="20"/>
          <w:color w:val="auto"/>
        </w:rPr>
        <w:tab/>
      </w:r>
      <w:r>
        <w:rPr>
          <w:rFonts w:ascii="Times New Roman" w:cs="Times New Roman" w:eastAsia="Times New Roman" w:hAnsi="Times New Roman"/>
          <w:sz w:val="19"/>
          <w:szCs w:val="19"/>
          <w:color w:val="FF0000"/>
          <w:strike w:val="1"/>
        </w:rPr>
        <w:t>105</w:t>
      </w:r>
      <w:r>
        <w:rPr>
          <w:rFonts w:ascii="Times New Roman" w:cs="Times New Roman" w:eastAsia="Times New Roman" w:hAnsi="Times New Roman"/>
          <w:sz w:val="19"/>
          <w:szCs w:val="19"/>
          <w:u w:val="single" w:color="auto"/>
          <w:color w:val="0101FF"/>
          <w:strike w:val="1"/>
        </w:rPr>
        <w:t>113</w:t>
      </w:r>
    </w:p>
    <w:p>
      <w:pPr>
        <w:spacing w:after="0" w:line="6" w:lineRule="exact"/>
        <w:rPr>
          <w:sz w:val="20"/>
          <w:szCs w:val="20"/>
          <w:color w:val="auto"/>
        </w:rPr>
      </w:pPr>
    </w:p>
    <w:p>
      <w:pPr>
        <w:ind w:left="660"/>
        <w:spacing w:after="0"/>
        <w:tabs>
          <w:tab w:leader="none" w:pos="2820" w:val="left"/>
        </w:tabs>
        <w:rPr>
          <w:sz w:val="20"/>
          <w:szCs w:val="20"/>
          <w:color w:val="auto"/>
        </w:rPr>
      </w:pPr>
      <w:r>
        <w:rPr>
          <w:rFonts w:ascii="Times New Roman" w:cs="Times New Roman" w:eastAsia="Times New Roman" w:hAnsi="Times New Roman"/>
          <w:sz w:val="20"/>
          <w:szCs w:val="20"/>
          <w:color w:val="auto"/>
        </w:rPr>
        <w:t>Section 12.19. Headings.</w:t>
      </w:r>
      <w:r>
        <w:rPr>
          <w:sz w:val="20"/>
          <w:szCs w:val="20"/>
          <w:color w:val="auto"/>
        </w:rPr>
        <w:tab/>
      </w:r>
      <w:r>
        <w:rPr>
          <w:rFonts w:ascii="Times New Roman" w:cs="Times New Roman" w:eastAsia="Times New Roman" w:hAnsi="Times New Roman"/>
          <w:sz w:val="19"/>
          <w:szCs w:val="19"/>
          <w:color w:val="FF0000"/>
          <w:strike w:val="1"/>
        </w:rPr>
        <w:t>105</w:t>
      </w:r>
      <w:r>
        <w:rPr>
          <w:rFonts w:ascii="Times New Roman" w:cs="Times New Roman" w:eastAsia="Times New Roman" w:hAnsi="Times New Roman"/>
          <w:sz w:val="19"/>
          <w:szCs w:val="19"/>
          <w:u w:val="single" w:color="auto"/>
          <w:color w:val="0101FF"/>
          <w:strike w:val="1"/>
        </w:rPr>
        <w:t>113</w:t>
      </w:r>
    </w:p>
    <w:p>
      <w:pPr>
        <w:spacing w:after="0" w:line="13" w:lineRule="exact"/>
        <w:rPr>
          <w:sz w:val="20"/>
          <w:szCs w:val="20"/>
          <w:color w:val="auto"/>
        </w:rPr>
      </w:pPr>
    </w:p>
    <w:p>
      <w:pPr>
        <w:ind w:left="660"/>
        <w:spacing w:after="0"/>
        <w:tabs>
          <w:tab w:leader="none" w:pos="3780" w:val="left"/>
        </w:tabs>
        <w:rPr>
          <w:sz w:val="20"/>
          <w:szCs w:val="20"/>
          <w:color w:val="auto"/>
        </w:rPr>
      </w:pPr>
      <w:r>
        <w:rPr>
          <w:rFonts w:ascii="Times New Roman" w:cs="Times New Roman" w:eastAsia="Times New Roman" w:hAnsi="Times New Roman"/>
          <w:sz w:val="20"/>
          <w:szCs w:val="20"/>
          <w:color w:val="auto"/>
        </w:rPr>
        <w:t>Section 12.20. New York Mortgages.</w:t>
      </w:r>
      <w:r>
        <w:rPr>
          <w:sz w:val="20"/>
          <w:szCs w:val="20"/>
          <w:color w:val="auto"/>
        </w:rPr>
        <w:tab/>
      </w:r>
      <w:r>
        <w:rPr>
          <w:rFonts w:ascii="Times New Roman" w:cs="Times New Roman" w:eastAsia="Times New Roman" w:hAnsi="Times New Roman"/>
          <w:sz w:val="19"/>
          <w:szCs w:val="19"/>
          <w:color w:val="FF0000"/>
          <w:strike w:val="1"/>
        </w:rPr>
        <w:t>105</w:t>
      </w:r>
      <w:r>
        <w:rPr>
          <w:rFonts w:ascii="Times New Roman" w:cs="Times New Roman" w:eastAsia="Times New Roman" w:hAnsi="Times New Roman"/>
          <w:sz w:val="19"/>
          <w:szCs w:val="19"/>
          <w:u w:val="single" w:color="auto"/>
          <w:color w:val="0101FF"/>
          <w:strike w:val="1"/>
        </w:rPr>
        <w:t>113</w:t>
      </w:r>
    </w:p>
    <w:p>
      <w:pPr>
        <w:spacing w:after="0" w:line="6" w:lineRule="exact"/>
        <w:rPr>
          <w:sz w:val="20"/>
          <w:szCs w:val="20"/>
          <w:color w:val="auto"/>
        </w:rPr>
      </w:pPr>
    </w:p>
    <w:p>
      <w:pPr>
        <w:ind w:left="660"/>
        <w:spacing w:after="0"/>
        <w:tabs>
          <w:tab w:leader="none" w:pos="2940" w:val="left"/>
        </w:tabs>
        <w:rPr>
          <w:sz w:val="20"/>
          <w:szCs w:val="20"/>
          <w:color w:val="auto"/>
        </w:rPr>
      </w:pPr>
      <w:r>
        <w:rPr>
          <w:rFonts w:ascii="Times New Roman" w:cs="Times New Roman" w:eastAsia="Times New Roman" w:hAnsi="Times New Roman"/>
          <w:sz w:val="20"/>
          <w:szCs w:val="20"/>
          <w:color w:val="auto"/>
        </w:rPr>
        <w:t>Section 12.21. [Reserved].</w:t>
      </w:r>
      <w:r>
        <w:rPr>
          <w:sz w:val="20"/>
          <w:szCs w:val="20"/>
          <w:color w:val="auto"/>
        </w:rPr>
        <w:tab/>
      </w:r>
      <w:r>
        <w:rPr>
          <w:rFonts w:ascii="Times New Roman" w:cs="Times New Roman" w:eastAsia="Times New Roman" w:hAnsi="Times New Roman"/>
          <w:sz w:val="19"/>
          <w:szCs w:val="19"/>
          <w:color w:val="FF0000"/>
          <w:strike w:val="1"/>
        </w:rPr>
        <w:t>107</w:t>
      </w:r>
      <w:r>
        <w:rPr>
          <w:rFonts w:ascii="Times New Roman" w:cs="Times New Roman" w:eastAsia="Times New Roman" w:hAnsi="Times New Roman"/>
          <w:sz w:val="19"/>
          <w:szCs w:val="19"/>
          <w:u w:val="single" w:color="auto"/>
          <w:color w:val="0101FF"/>
          <w:strike w:val="1"/>
        </w:rPr>
        <w:t>115</w:t>
      </w:r>
    </w:p>
    <w:p>
      <w:pPr>
        <w:spacing w:after="0" w:line="6" w:lineRule="exact"/>
        <w:rPr>
          <w:sz w:val="20"/>
          <w:szCs w:val="20"/>
          <w:color w:val="auto"/>
        </w:rPr>
      </w:pPr>
    </w:p>
    <w:p>
      <w:pPr>
        <w:ind w:left="1300" w:right="3219" w:hanging="647"/>
        <w:spacing w:after="0" w:line="246" w:lineRule="auto"/>
        <w:rPr>
          <w:sz w:val="20"/>
          <w:szCs w:val="20"/>
          <w:color w:val="auto"/>
        </w:rPr>
      </w:pPr>
      <w:r>
        <w:rPr>
          <w:rFonts w:ascii="Times New Roman" w:cs="Times New Roman" w:eastAsia="Times New Roman" w:hAnsi="Times New Roman"/>
          <w:sz w:val="20"/>
          <w:szCs w:val="20"/>
          <w:color w:val="auto"/>
        </w:rPr>
        <w:t xml:space="preserve">Section 12.22. Acknowledgement and Consent to Bail-In of Affected Financial Institutions. </w:t>
      </w:r>
      <w:r>
        <w:rPr>
          <w:rFonts w:ascii="Times New Roman" w:cs="Times New Roman" w:eastAsia="Times New Roman" w:hAnsi="Times New Roman"/>
          <w:sz w:val="20"/>
          <w:szCs w:val="20"/>
          <w:color w:val="FF0000"/>
          <w:strike w:val="1"/>
        </w:rPr>
        <w:t>107</w:t>
      </w:r>
      <w:r>
        <w:rPr>
          <w:rFonts w:ascii="Times New Roman" w:cs="Times New Roman" w:eastAsia="Times New Roman" w:hAnsi="Times New Roman"/>
          <w:sz w:val="20"/>
          <w:szCs w:val="20"/>
          <w:u w:val="single" w:color="auto"/>
          <w:color w:val="0101FF"/>
        </w:rPr>
        <w:t>115</w:t>
      </w:r>
    </w:p>
    <w:p>
      <w:pPr>
        <w:spacing w:after="0" w:line="1" w:lineRule="exact"/>
        <w:rPr>
          <w:sz w:val="20"/>
          <w:szCs w:val="20"/>
          <w:color w:val="auto"/>
        </w:rPr>
      </w:pPr>
    </w:p>
    <w:p>
      <w:pPr>
        <w:ind w:left="660"/>
        <w:spacing w:after="0"/>
        <w:tabs>
          <w:tab w:leader="none" w:pos="6200" w:val="left"/>
        </w:tabs>
        <w:rPr>
          <w:sz w:val="20"/>
          <w:szCs w:val="20"/>
          <w:color w:val="auto"/>
        </w:rPr>
      </w:pPr>
      <w:r>
        <w:rPr>
          <w:rFonts w:ascii="Times New Roman" w:cs="Times New Roman" w:eastAsia="Times New Roman" w:hAnsi="Times New Roman"/>
          <w:sz w:val="20"/>
          <w:szCs w:val="20"/>
          <w:color w:val="auto"/>
        </w:rPr>
        <w:t>Section 12.23. Acknowledgement Regarding Any Supported QFCs.</w:t>
      </w:r>
      <w:r>
        <w:rPr>
          <w:sz w:val="20"/>
          <w:szCs w:val="20"/>
          <w:color w:val="auto"/>
        </w:rPr>
        <w:tab/>
      </w:r>
      <w:r>
        <w:rPr>
          <w:rFonts w:ascii="Times New Roman" w:cs="Times New Roman" w:eastAsia="Times New Roman" w:hAnsi="Times New Roman"/>
          <w:sz w:val="19"/>
          <w:szCs w:val="19"/>
          <w:color w:val="FF0000"/>
          <w:strike w:val="1"/>
        </w:rPr>
        <w:t>108</w:t>
      </w:r>
      <w:r>
        <w:rPr>
          <w:rFonts w:ascii="Times New Roman" w:cs="Times New Roman" w:eastAsia="Times New Roman" w:hAnsi="Times New Roman"/>
          <w:sz w:val="19"/>
          <w:szCs w:val="19"/>
          <w:u w:val="single" w:color="auto"/>
          <w:color w:val="0101FF"/>
          <w:strike w:val="1"/>
        </w:rPr>
        <w:t>116</w:t>
      </w:r>
    </w:p>
    <w:p>
      <w:pPr>
        <w:spacing w:after="0" w:line="18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color w:val="auto"/>
        </w:rPr>
        <w:t>SCHEDULE I</w:t>
      </w:r>
      <w:r>
        <w:rPr>
          <w:sz w:val="20"/>
          <w:szCs w:val="20"/>
          <w:color w:val="auto"/>
        </w:rPr>
        <w:tab/>
      </w:r>
      <w:r>
        <w:rPr>
          <w:rFonts w:ascii="Times New Roman" w:cs="Times New Roman" w:eastAsia="Times New Roman" w:hAnsi="Times New Roman"/>
          <w:sz w:val="19"/>
          <w:szCs w:val="19"/>
          <w:color w:val="auto"/>
        </w:rPr>
        <w:t>Loan Commitments</w:t>
      </w:r>
    </w:p>
    <w:p>
      <w:pPr>
        <w:spacing w:after="0" w:line="2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SCHEDULE 1.1.</w:t>
      </w:r>
      <w:r>
        <w:rPr>
          <w:sz w:val="20"/>
          <w:szCs w:val="20"/>
          <w:color w:val="auto"/>
        </w:rPr>
        <w:tab/>
      </w:r>
      <w:r>
        <w:rPr>
          <w:rFonts w:ascii="Times New Roman" w:cs="Times New Roman" w:eastAsia="Times New Roman" w:hAnsi="Times New Roman"/>
          <w:sz w:val="19"/>
          <w:szCs w:val="19"/>
          <w:color w:val="auto"/>
        </w:rPr>
        <w:t>New York Mortgages</w:t>
      </w:r>
    </w:p>
    <w:p>
      <w:pPr>
        <w:spacing w:after="0" w:line="6"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color w:val="auto"/>
        </w:rPr>
        <w:t>SCHEDULE 6.1.(b)</w:t>
      </w:r>
      <w:r>
        <w:rPr>
          <w:sz w:val="20"/>
          <w:szCs w:val="20"/>
          <w:color w:val="auto"/>
        </w:rPr>
        <w:tab/>
      </w:r>
      <w:r>
        <w:rPr>
          <w:rFonts w:ascii="Times New Roman" w:cs="Times New Roman" w:eastAsia="Times New Roman" w:hAnsi="Times New Roman"/>
          <w:sz w:val="19"/>
          <w:szCs w:val="19"/>
          <w:color w:val="auto"/>
        </w:rPr>
        <w:t>Ownership Structure</w:t>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color w:val="auto"/>
        </w:rPr>
        <w:t>- iii -</w:t>
      </w:r>
    </w:p>
    <w:p>
      <w:pPr>
        <w:sectPr>
          <w:pgSz w:w="11900" w:h="16838" w:orient="portrait"/>
          <w:cols w:equalWidth="0" w:num="1">
            <w:col w:w="10139"/>
          </w:cols>
          <w:pgMar w:left="320" w:top="1413" w:right="1440"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43"/>
        </w:trPr>
        <w:tc>
          <w:tcPr>
            <w:tcW w:w="1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6.1.(f)</w:t>
            </w:r>
          </w:p>
        </w:tc>
        <w:tc>
          <w:tcPr>
            <w:tcW w:w="59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Properties</w:t>
            </w: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6.1.(g)</w:t>
            </w:r>
          </w:p>
        </w:tc>
        <w:tc>
          <w:tcPr>
            <w:tcW w:w="59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43"/>
        </w:trPr>
        <w:tc>
          <w:tcPr>
            <w:tcW w:w="1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6.1.(i)</w:t>
            </w:r>
          </w:p>
        </w:tc>
        <w:tc>
          <w:tcPr>
            <w:tcW w:w="59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Litigation</w:t>
            </w: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6.1.(r)</w:t>
            </w:r>
          </w:p>
        </w:tc>
        <w:tc>
          <w:tcPr>
            <w:tcW w:w="59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Affiliate Transactions</w:t>
            </w:r>
          </w:p>
        </w:tc>
      </w:tr>
      <w:tr>
        <w:trPr>
          <w:trHeight w:val="212"/>
        </w:trPr>
        <w:tc>
          <w:tcPr>
            <w:tcW w:w="7680" w:type="dxa"/>
            <w:vAlign w:val="bottom"/>
            <w:gridSpan w:val="5"/>
          </w:tcPr>
          <w:p>
            <w:pPr>
              <w:spacing w:after="0" w:line="212" w:lineRule="exact"/>
              <w:rPr>
                <w:sz w:val="20"/>
                <w:szCs w:val="20"/>
                <w:color w:val="auto"/>
              </w:rPr>
            </w:pPr>
            <w:r>
              <w:rPr>
                <w:rFonts w:ascii="Times New Roman" w:cs="Times New Roman" w:eastAsia="Times New Roman" w:hAnsi="Times New Roman"/>
                <w:sz w:val="20"/>
                <w:szCs w:val="20"/>
                <w:color w:val="auto"/>
                <w:w w:val="99"/>
              </w:rPr>
              <w:t>SCHEDULE 6.1.(z)  Eligible Properties</w:t>
            </w:r>
            <w:r>
              <w:rPr>
                <w:rFonts w:ascii="Times New Roman" w:cs="Times New Roman" w:eastAsia="Times New Roman" w:hAnsi="Times New Roman"/>
                <w:sz w:val="20"/>
                <w:szCs w:val="20"/>
                <w:color w:val="0101FF"/>
                <w:w w:val="99"/>
              </w:rPr>
              <w:t>, Fund Investments</w:t>
            </w:r>
            <w:r>
              <w:rPr>
                <w:rFonts w:ascii="Times New Roman" w:cs="Times New Roman" w:eastAsia="Times New Roman" w:hAnsi="Times New Roman"/>
                <w:sz w:val="20"/>
                <w:szCs w:val="20"/>
                <w:color w:val="auto"/>
                <w:w w:val="99"/>
              </w:rPr>
              <w:t xml:space="preserve"> and Structured Finance Investments</w:t>
            </w:r>
          </w:p>
        </w:tc>
      </w:tr>
      <w:tr>
        <w:trPr>
          <w:trHeight w:val="20"/>
        </w:trPr>
        <w:tc>
          <w:tcPr>
            <w:tcW w:w="3280" w:type="dxa"/>
            <w:vAlign w:val="bottom"/>
            <w:gridSpan w:val="3"/>
          </w:tcPr>
          <w:p>
            <w:pPr>
              <w:spacing w:after="0" w:line="20" w:lineRule="exact"/>
              <w:rPr>
                <w:sz w:val="1"/>
                <w:szCs w:val="1"/>
                <w:color w:val="auto"/>
              </w:rPr>
            </w:pPr>
          </w:p>
        </w:tc>
        <w:tc>
          <w:tcPr>
            <w:tcW w:w="1520" w:type="dxa"/>
            <w:vAlign w:val="bottom"/>
            <w:shd w:val="clear" w:color="auto" w:fill="0101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43"/>
        </w:trPr>
        <w:tc>
          <w:tcPr>
            <w:tcW w:w="76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EXHIBIT A  Form of Assignment and Assumption Agreement</w:t>
            </w: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66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66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[Reserved]</w:t>
            </w:r>
          </w:p>
        </w:tc>
      </w:tr>
      <w:tr>
        <w:trPr>
          <w:trHeight w:val="258"/>
        </w:trPr>
        <w:tc>
          <w:tcPr>
            <w:tcW w:w="76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EXHIBIT D  Form of Notice of Borrowing</w:t>
            </w:r>
          </w:p>
        </w:tc>
      </w:tr>
    </w:tbl>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2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2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2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J</w:t>
            </w:r>
          </w:p>
        </w:tc>
        <w:tc>
          <w:tcPr>
            <w:tcW w:w="2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Note</w:t>
            </w:r>
          </w:p>
        </w:tc>
      </w:tr>
      <w:tr>
        <w:trPr>
          <w:trHeight w:val="22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K</w:t>
            </w:r>
          </w:p>
        </w:tc>
        <w:tc>
          <w:tcPr>
            <w:tcW w:w="2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L</w:t>
            </w:r>
          </w:p>
        </w:tc>
        <w:tc>
          <w:tcPr>
            <w:tcW w:w="2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M</w:t>
            </w:r>
          </w:p>
        </w:tc>
        <w:tc>
          <w:tcPr>
            <w:tcW w:w="2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r>
      <w:tr>
        <w:trPr>
          <w:trHeight w:val="243"/>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N  Form of Opinion of Counsel</w:t>
            </w:r>
          </w:p>
        </w:tc>
      </w:tr>
      <w:tr>
        <w:trPr>
          <w:trHeight w:val="243"/>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O  Form of Compliance Certificate</w:t>
            </w:r>
          </w:p>
        </w:tc>
      </w:t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P</w:t>
            </w: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Q</w:t>
            </w:r>
          </w:p>
        </w:tc>
        <w:tc>
          <w:tcPr>
            <w:tcW w:w="2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r>
      <w:tr>
        <w:trPr>
          <w:trHeight w:val="252"/>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EXHIBIT R</w:t>
            </w:r>
          </w:p>
        </w:tc>
        <w:tc>
          <w:tcPr>
            <w:tcW w:w="2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r>
    </w:tbl>
    <w:p>
      <w:pPr>
        <w:ind w:right="4819"/>
        <w:spacing w:after="0" w:line="260" w:lineRule="auto"/>
        <w:rPr>
          <w:sz w:val="20"/>
          <w:szCs w:val="20"/>
          <w:color w:val="auto"/>
        </w:rPr>
      </w:pPr>
      <w:r>
        <w:rPr>
          <w:rFonts w:ascii="Times New Roman" w:cs="Times New Roman" w:eastAsia="Times New Roman" w:hAnsi="Times New Roman"/>
          <w:sz w:val="20"/>
          <w:szCs w:val="20"/>
          <w:color w:val="auto"/>
        </w:rPr>
        <w:t>EXHIBIT S Form of Disbursement Instruction Agreement EXHIBITS T-1 – T-4 Forms of U.S.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 iv -</w:t>
      </w:r>
    </w:p>
    <w:p>
      <w:pPr>
        <w:sectPr>
          <w:pgSz w:w="11900" w:h="16838" w:orient="portrait"/>
          <w:cols w:equalWidth="0" w:num="1">
            <w:col w:w="10139"/>
          </w:cols>
          <w:pgMar w:left="320" w:top="1413" w:right="1440" w:bottom="1440" w:gutter="0" w:footer="0" w:header="0"/>
        </w:sectPr>
      </w:pPr>
    </w:p>
    <w:bookmarkStart w:id="207" w:name="page208"/>
    <w:bookmarkEnd w:id="207"/>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THIS TERM LOAN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dated as of November 19, 2024 by and among SL GREEN REALTY CORP., a corporation formed under the laws of the State of Maryland (the “</w:t>
      </w:r>
      <w:r>
        <w:rPr>
          <w:rFonts w:ascii="Times New Roman" w:cs="Times New Roman" w:eastAsia="Times New Roman" w:hAnsi="Times New Roman"/>
          <w:sz w:val="19"/>
          <w:szCs w:val="19"/>
          <w:b w:val="1"/>
          <w:bCs w:val="1"/>
          <w:color w:val="auto"/>
        </w:rPr>
        <w:t>Parent</w:t>
      </w:r>
      <w:r>
        <w:rPr>
          <w:rFonts w:ascii="Times New Roman" w:cs="Times New Roman" w:eastAsia="Times New Roman" w:hAnsi="Times New Roman"/>
          <w:sz w:val="19"/>
          <w:szCs w:val="19"/>
          <w:color w:val="auto"/>
        </w:rPr>
        <w:t>”) and SL GREEN OPERATING PARTNERSHIP, L.P., a limited partnership formed under the laws of the State of Delaware (“</w:t>
      </w:r>
      <w:r>
        <w:rPr>
          <w:rFonts w:ascii="Times New Roman" w:cs="Times New Roman" w:eastAsia="Times New Roman" w:hAnsi="Times New Roman"/>
          <w:sz w:val="19"/>
          <w:szCs w:val="19"/>
          <w:b w:val="1"/>
          <w:bCs w:val="1"/>
          <w:color w:val="auto"/>
        </w:rPr>
        <w:t>SLGOP</w:t>
      </w:r>
      <w:r>
        <w:rPr>
          <w:rFonts w:ascii="Times New Roman" w:cs="Times New Roman" w:eastAsia="Times New Roman" w:hAnsi="Times New Roman"/>
          <w:sz w:val="19"/>
          <w:szCs w:val="19"/>
          <w:color w:val="auto"/>
        </w:rPr>
        <w:t>”; together with the Parent, each individually a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Borrowers</w:t>
      </w:r>
      <w:r>
        <w:rPr>
          <w:rFonts w:ascii="Times New Roman" w:cs="Times New Roman" w:eastAsia="Times New Roman" w:hAnsi="Times New Roman"/>
          <w:sz w:val="19"/>
          <w:szCs w:val="19"/>
          <w:color w:val="auto"/>
        </w:rPr>
        <w:t>”), each of the financial institutions initially a signatory hereto together with their successors and assignees under Section 12.5.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WELLS FARGO BANK, NATIONAL ASSOCIATION, as Administrative Agent (the “</w:t>
      </w:r>
      <w:r>
        <w:rPr>
          <w:rFonts w:ascii="Times New Roman" w:cs="Times New Roman" w:eastAsia="Times New Roman" w:hAnsi="Times New Roman"/>
          <w:sz w:val="19"/>
          <w:szCs w:val="19"/>
          <w:b w:val="1"/>
          <w:bCs w:val="1"/>
          <w:color w:val="auto"/>
        </w:rPr>
        <w:t>Administrative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with WELLS FARGO SECURITIES, LLC, BOFA SECURITIES, INC. and BMO CAPITAL MARKETS CORP., as joint Lead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Arrangers (the “</w:t>
      </w:r>
      <w:r>
        <w:rPr>
          <w:rFonts w:ascii="Times New Roman" w:cs="Times New Roman" w:eastAsia="Times New Roman" w:hAnsi="Times New Roman"/>
          <w:sz w:val="19"/>
          <w:szCs w:val="19"/>
          <w:b w:val="1"/>
          <w:bCs w:val="1"/>
          <w:color w:val="auto"/>
        </w:rPr>
        <w:t>Lead Arrangers</w:t>
      </w:r>
      <w:r>
        <w:rPr>
          <w:rFonts w:ascii="Times New Roman" w:cs="Times New Roman" w:eastAsia="Times New Roman" w:hAnsi="Times New Roman"/>
          <w:sz w:val="19"/>
          <w:szCs w:val="19"/>
          <w:color w:val="auto"/>
        </w:rPr>
        <w:t>”), WELLS FARGO SECURITIES, LLC, BOFA SECURITIES, INC. and BMO CAPITAL MARKETS CORP., as joint Bookrunners (the “</w:t>
      </w:r>
      <w:r>
        <w:rPr>
          <w:rFonts w:ascii="Times New Roman" w:cs="Times New Roman" w:eastAsia="Times New Roman" w:hAnsi="Times New Roman"/>
          <w:sz w:val="19"/>
          <w:szCs w:val="19"/>
          <w:b w:val="1"/>
          <w:bCs w:val="1"/>
          <w:color w:val="auto"/>
        </w:rPr>
        <w:t>Bookrunners</w:t>
      </w:r>
      <w:r>
        <w:rPr>
          <w:rFonts w:ascii="Times New Roman" w:cs="Times New Roman" w:eastAsia="Times New Roman" w:hAnsi="Times New Roman"/>
          <w:sz w:val="19"/>
          <w:szCs w:val="19"/>
          <w:color w:val="auto"/>
        </w:rPr>
        <w:t>”) and BANK OF AMERICA, N.A. and BANK OF MONTREAL, as Syndication Agents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Syndication Agents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Administrative Agent and the Lenders desire to make available to the Borrowers a term loan facility in the aggregate principal amount of $100,000,000, on the terms and conditions contained herein.</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by the parties hereto, the parties hereto agree as follows:</w:t>
      </w:r>
    </w:p>
    <w:p>
      <w:pPr>
        <w:spacing w:after="0" w:line="128" w:lineRule="exact"/>
        <w:rPr>
          <w:sz w:val="20"/>
          <w:szCs w:val="20"/>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20"/>
          <w:szCs w:val="20"/>
          <w:b w:val="1"/>
          <w:bCs w:val="1"/>
          <w:color w:val="auto"/>
        </w:rPr>
        <w:t>ARTICLE I.</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 Definitions.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to terms defined elsewhere herein, the following terms shall have the following meanings for the purposes of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1031 Property</w:t>
      </w:r>
      <w:r>
        <w:rPr>
          <w:rFonts w:ascii="Times New Roman" w:cs="Times New Roman" w:eastAsia="Times New Roman" w:hAnsi="Times New Roman"/>
          <w:sz w:val="20"/>
          <w:szCs w:val="20"/>
          <w:color w:val="auto"/>
        </w:rPr>
        <w:t>” means property held by a “qualified intermediary” (a “QI”), as defined in the Treasury Regulations promulgated pursuant to Section 1031 of the Internal Revenue Code, or an “exchange accommodation titleholder” (an “EAT”), as defined in Internal</w:t>
      </w:r>
    </w:p>
    <w:p>
      <w:pPr>
        <w:spacing w:after="0" w:line="213" w:lineRule="auto"/>
        <w:rPr>
          <w:sz w:val="20"/>
          <w:szCs w:val="20"/>
          <w:color w:val="auto"/>
        </w:rPr>
      </w:pPr>
      <w:r>
        <w:rPr>
          <w:rFonts w:ascii="Times New Roman" w:cs="Times New Roman" w:eastAsia="Times New Roman" w:hAnsi="Times New Roman"/>
          <w:sz w:val="20"/>
          <w:szCs w:val="20"/>
          <w:color w:val="auto"/>
        </w:rPr>
        <w:t>Revenue Service Revenue Procedure 2000-37, as modified by Internal Revenue Procedure 2004-51, (or in either case, by one or more</w:t>
      </w:r>
    </w:p>
    <w:p>
      <w:pPr>
        <w:jc w:val="both"/>
        <w:spacing w:after="0" w:line="204" w:lineRule="auto"/>
        <w:rPr>
          <w:sz w:val="20"/>
          <w:szCs w:val="20"/>
          <w:color w:val="auto"/>
        </w:rPr>
      </w:pPr>
      <w:r>
        <w:rPr>
          <w:rFonts w:ascii="Times New Roman" w:cs="Times New Roman" w:eastAsia="Times New Roman" w:hAnsi="Times New Roman"/>
          <w:sz w:val="20"/>
          <w:szCs w:val="20"/>
          <w:color w:val="auto"/>
        </w:rPr>
        <w:t>Wholly Owned Subsidiaries thereof, singly or as tenants in common) which is a single purpose entity and has entered into an “exchange agreement” or a “qualified exchange accommodation agreement” with a Borrower or a Wholly Owned Subsidiary in connection with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acquisition (or possible disposition) of such property by a Borrower or a Wholly Owned Subsidiary pursuant to, and qualifying for tax treatment under, Section 1031 of the Internal Revenue Code.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Costs</w:t>
      </w:r>
      <w:r>
        <w:rPr>
          <w:rFonts w:ascii="Times New Roman" w:cs="Times New Roman" w:eastAsia="Times New Roman" w:hAnsi="Times New Roman"/>
          <w:sz w:val="20"/>
          <w:szCs w:val="20"/>
          <w:color w:val="auto"/>
        </w:rPr>
        <w:t>” has the meaning given that term in Section 4.1.(b).</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Loans</w:t>
      </w:r>
      <w:r>
        <w:rPr>
          <w:rFonts w:ascii="Times New Roman" w:cs="Times New Roman" w:eastAsia="Times New Roman" w:hAnsi="Times New Roman"/>
          <w:sz w:val="20"/>
          <w:szCs w:val="20"/>
          <w:color w:val="auto"/>
        </w:rPr>
        <w:t>” has the meaning given that term in Section 2.19.</w:t>
      </w:r>
    </w:p>
    <w:p>
      <w:pPr>
        <w:spacing w:after="0" w:line="17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xml:space="preserve">” means, with respect to a Person for any given period,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auto"/>
        </w:rPr>
        <w:t xml:space="preserve"> the EBITDA of such Person and its Subsidiaries determined on a consolidated basis for such period</w:t>
      </w:r>
      <w:r>
        <w:rPr>
          <w:rFonts w:ascii="Times New Roman" w:cs="Times New Roman" w:eastAsia="Times New Roman" w:hAnsi="Times New Roman"/>
          <w:sz w:val="20"/>
          <w:szCs w:val="20"/>
          <w:color w:val="FF0000"/>
          <w:strike w:val="1"/>
        </w:rPr>
        <w:t>, minus (b) Capital Reserves of all Properties of such Person and its Subsidiaries. For</w:t>
      </w:r>
    </w:p>
    <w:p>
      <w:pPr>
        <w:spacing w:after="0" w:line="213" w:lineRule="auto"/>
        <w:rPr>
          <w:sz w:val="20"/>
          <w:szCs w:val="20"/>
          <w:color w:val="auto"/>
        </w:rPr>
      </w:pPr>
      <w:r>
        <w:rPr>
          <w:rFonts w:ascii="Times New Roman" w:cs="Times New Roman" w:eastAsia="Times New Roman" w:hAnsi="Times New Roman"/>
          <w:sz w:val="20"/>
          <w:szCs w:val="20"/>
          <w:color w:val="FF0000"/>
          <w:strike w:val="1"/>
        </w:rPr>
        <w:t>purposes of determination of Adjusted EBITDA (a) EBITDA shall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adjusted to remove any impact from straight line rent leveling</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adjustments required under GAAP </w:t>
      </w:r>
      <w:r>
        <w:rPr>
          <w:rFonts w:ascii="Times New Roman" w:cs="Times New Roman" w:eastAsia="Times New Roman" w:hAnsi="Times New Roman"/>
          <w:sz w:val="20"/>
          <w:szCs w:val="20"/>
          <w:color w:val="FF0000"/>
        </w:rPr>
        <w:t>and (b) in the case of the Parent if a Change of Control has occurred, EBITDA shall be determined only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with respect to EBITDA attributable to Properties owned or leased by the Parent and its Subsidiaries</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-199390</wp:posOffset>
            </wp:positionV>
            <wp:extent cx="53708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370830" cy="8255"/>
                    </a:xfrm>
                    <a:prstGeom prst="rect">
                      <a:avLst/>
                    </a:prstGeom>
                    <a:noFill/>
                  </pic:spPr>
                </pic:pic>
              </a:graphicData>
            </a:graphic>
          </wp:anchor>
        </w:drawing>
      </w:r>
    </w:p>
    <w:p>
      <w:pPr>
        <w:spacing w:after="0" w:line="12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Adjusted Term SOFR</w:t>
      </w:r>
      <w:r>
        <w:rPr>
          <w:rFonts w:ascii="Times New Roman" w:cs="Times New Roman" w:eastAsia="Times New Roman" w:hAnsi="Times New Roman"/>
          <w:sz w:val="19"/>
          <w:szCs w:val="19"/>
          <w:color w:val="FF0000"/>
          <w:strike w:val="1"/>
        </w:rPr>
        <w:t xml:space="preserve">” means, for purposes of any calculation, the rate per annum equal to (a) Term SOFR for such calculation plus (b) the Term SOFR Adjustment; provided that if Adjusted Term SOFR as so determined </w:t>
      </w:r>
      <w:r>
        <w:rPr>
          <w:rFonts w:ascii="Times New Roman" w:cs="Times New Roman" w:eastAsia="Times New Roman" w:hAnsi="Times New Roman"/>
          <w:sz w:val="19"/>
          <w:szCs w:val="19"/>
          <w:color w:val="008000"/>
          <w:strike w:val="1"/>
        </w:rPr>
        <w:t>shall ever be less than the Floor, then</w:t>
      </w:r>
      <w:r>
        <w:rPr>
          <w:rFonts w:ascii="Times New Roman" w:cs="Times New Roman" w:eastAsia="Times New Roman" w:hAnsi="Times New Roman"/>
          <w:sz w:val="19"/>
          <w:szCs w:val="19"/>
          <w:color w:val="FF0000"/>
          <w:strike w:val="1"/>
        </w:rPr>
        <w:t xml:space="preserve"> Adjusted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8000"/>
          <w:strike w:val="1"/>
        </w:rPr>
        <w:t>Term SOFR shall be deemed to be the Floor</w:t>
      </w:r>
      <w:r>
        <w:rPr>
          <w:rFonts w:ascii="Times New Roman" w:cs="Times New Roman" w:eastAsia="Times New Roman" w:hAnsi="Times New Roman"/>
          <w:sz w:val="20"/>
          <w:szCs w:val="20"/>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- 1 -</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means Wells Fargo Bank, National Association, as contractual representative of the Lenders under this Agreement, or any successor Administrative Agent appointed pursuant to Section 11.8.</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Questionnaire</w:t>
      </w:r>
      <w:r>
        <w:rPr>
          <w:rFonts w:ascii="Times New Roman" w:cs="Times New Roman" w:eastAsia="Times New Roman" w:hAnsi="Times New Roman"/>
          <w:sz w:val="20"/>
          <w:szCs w:val="20"/>
          <w:color w:val="auto"/>
        </w:rPr>
        <w:t>” means the Administrative Questionnaire completed by each Lender and delivered to the Administrative Agent in a form supplied by the Administrative Agent to the Lenders from time to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Lender</w:t>
      </w:r>
      <w:r>
        <w:rPr>
          <w:rFonts w:ascii="Times New Roman" w:cs="Times New Roman" w:eastAsia="Times New Roman" w:hAnsi="Times New Roman"/>
          <w:sz w:val="20"/>
          <w:szCs w:val="20"/>
          <w:color w:val="auto"/>
        </w:rPr>
        <w:t>” has the meaning given that term in Section 4.6.</w:t>
      </w:r>
    </w:p>
    <w:p>
      <w:pPr>
        <w:spacing w:after="0" w:line="16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has the meaning given that term in the introductory paragraph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 Date</w:t>
      </w:r>
      <w:r>
        <w:rPr>
          <w:rFonts w:ascii="Times New Roman" w:cs="Times New Roman" w:eastAsia="Times New Roman" w:hAnsi="Times New Roman"/>
          <w:sz w:val="20"/>
          <w:szCs w:val="20"/>
          <w:color w:val="auto"/>
        </w:rPr>
        <w:t>” means the date as of which this Agreement is dated.</w:t>
      </w:r>
    </w:p>
    <w:p>
      <w:pPr>
        <w:spacing w:after="0" w:line="16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Annualization Period</w:t>
      </w:r>
      <w:r>
        <w:rPr>
          <w:rFonts w:ascii="Times New Roman" w:cs="Times New Roman" w:eastAsia="Times New Roman" w:hAnsi="Times New Roman"/>
          <w:sz w:val="20"/>
          <w:szCs w:val="20"/>
          <w:color w:val="auto"/>
        </w:rPr>
        <w:t>” means the period of three fiscal quarters of the Parent immediately following (a) in the case of a Newly-Acquired Property, the period of six fiscal quarters commencing with the fiscal quarter in which such Newly-Acquired Property was acquired, and (b) in the case of a Transition Asset, the last day of the fiscal quarter in which such Property ceased to be a Transition Asset</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Annualized</w:t>
      </w:r>
      <w:r>
        <w:rPr>
          <w:rFonts w:ascii="Times New Roman" w:cs="Times New Roman" w:eastAsia="Times New Roman" w:hAnsi="Times New Roman"/>
          <w:sz w:val="20"/>
          <w:szCs w:val="20"/>
          <w:color w:val="auto"/>
        </w:rPr>
        <w:t>” means, with respect to a Newly-Acquired Property or a Transition Asset, (a) for the first fiscal quarter immediately</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following the Annualization Period for such Property, Unencumbered Adjusted NOI or EBITDA, as applicable, for such Property for such fiscal quarter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4, (b) for the second fiscal quarter immediately following such Annualization Period, the sum of Unencumbered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Adjusted NOI or EBITDA, as applicable, for such Property for such fiscal quarter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fiscal quarter immediately preceding such fiscal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quarter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2 and (c) for the third fiscal quarter immediately following such Annualization Period, the sum of Unencumbered Adjusted NOI or EBITDA, as applicable, for such Property for such fiscal quarter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two fiscal quarters immediately preceding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fiscal quarter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4/3rds.</w:t>
      </w:r>
    </w:p>
    <w:p>
      <w:pPr>
        <w:spacing w:after="0" w:line="13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all Applicable Laws of any jurisdiction concerning or relating to bribery or corruption, including without limitation, the Foreign Corrupt Practices Act of 1977.</w:t>
      </w:r>
    </w:p>
    <w:p>
      <w:pPr>
        <w:spacing w:after="0" w:line="12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means any and all Applicable Laws related to the financing of terrorism or money laundering, including without limitation, any applicable provision of the Patriot Act and The Currency and Foreign Transactions Reporting Act (also known as the “</w:t>
      </w:r>
      <w:r>
        <w:rPr>
          <w:rFonts w:ascii="Times New Roman" w:cs="Times New Roman" w:eastAsia="Times New Roman" w:hAnsi="Times New Roman"/>
          <w:sz w:val="20"/>
          <w:szCs w:val="20"/>
          <w:b w:val="1"/>
          <w:bCs w:val="1"/>
          <w:color w:val="auto"/>
        </w:rPr>
        <w:t>Bank Secrecy Act</w:t>
      </w:r>
      <w:r>
        <w:rPr>
          <w:rFonts w:ascii="Times New Roman" w:cs="Times New Roman" w:eastAsia="Times New Roman" w:hAnsi="Times New Roman"/>
          <w:sz w:val="20"/>
          <w:szCs w:val="20"/>
          <w:color w:val="auto"/>
        </w:rPr>
        <w:t>,” 31 U.S.C. §§ 5311-5330 and 12 U.S.C. §§ 1818(s), 1820(b) and 1951-1959).</w:t>
      </w:r>
    </w:p>
    <w:p>
      <w:pPr>
        <w:spacing w:after="0" w:line="13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all international, foreign, federal, state and local statutes, treaties, rules, guidelines, regulations, ordinances, codes, executive orders, and administrative or judicial precedents or</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authorities, including the interpretation or administration thereof by any Governmental Authority charged with the enforcement,</w:t>
      </w:r>
    </w:p>
    <w:p>
      <w:pPr>
        <w:jc w:val="both"/>
        <w:spacing w:after="0" w:line="221" w:lineRule="auto"/>
        <w:rPr>
          <w:sz w:val="20"/>
          <w:szCs w:val="20"/>
          <w:color w:val="auto"/>
        </w:rPr>
      </w:pPr>
      <w:r>
        <w:rPr>
          <w:rFonts w:ascii="Times New Roman" w:cs="Times New Roman" w:eastAsia="Times New Roman" w:hAnsi="Times New Roman"/>
          <w:sz w:val="20"/>
          <w:szCs w:val="20"/>
          <w:color w:val="auto"/>
        </w:rPr>
        <w:t>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4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Margin</w:t>
      </w:r>
      <w:r>
        <w:rPr>
          <w:rFonts w:ascii="Times New Roman" w:cs="Times New Roman" w:eastAsia="Times New Roman" w:hAnsi="Times New Roman"/>
          <w:sz w:val="19"/>
          <w:szCs w:val="19"/>
          <w:color w:val="auto"/>
        </w:rPr>
        <w:t>” means the percentage rate set forth in the table below corresponding to the level (each a “</w:t>
      </w:r>
      <w:r>
        <w:rPr>
          <w:rFonts w:ascii="Times New Roman" w:cs="Times New Roman" w:eastAsia="Times New Roman" w:hAnsi="Times New Roman"/>
          <w:sz w:val="19"/>
          <w:szCs w:val="19"/>
          <w:b w:val="1"/>
          <w:bCs w:val="1"/>
          <w:color w:val="auto"/>
        </w:rPr>
        <w:t>Level</w:t>
      </w:r>
      <w:r>
        <w:rPr>
          <w:rFonts w:ascii="Times New Roman" w:cs="Times New Roman" w:eastAsia="Times New Roman" w:hAnsi="Times New Roman"/>
          <w:sz w:val="19"/>
          <w:szCs w:val="19"/>
          <w:color w:val="auto"/>
        </w:rPr>
        <w:t>”) into which the Parent’s Credit Rating (or if the Parent shall cease to have a Credit Rating but one of the other Borrowers shall have a Credit Rating, then</w:t>
      </w:r>
    </w:p>
    <w:p>
      <w:pPr>
        <w:spacing w:after="0" w:line="211" w:lineRule="auto"/>
        <w:rPr>
          <w:sz w:val="20"/>
          <w:szCs w:val="20"/>
          <w:color w:val="auto"/>
        </w:rPr>
      </w:pPr>
      <w:r>
        <w:rPr>
          <w:rFonts w:ascii="Times New Roman" w:cs="Times New Roman" w:eastAsia="Times New Roman" w:hAnsi="Times New Roman"/>
          <w:sz w:val="20"/>
          <w:szCs w:val="20"/>
          <w:color w:val="auto"/>
        </w:rPr>
        <w:t>such other Borrower (the Parent or such other Borrower, as applicable, being referred to as the “</w:t>
      </w:r>
      <w:r>
        <w:rPr>
          <w:rFonts w:ascii="Times New Roman" w:cs="Times New Roman" w:eastAsia="Times New Roman" w:hAnsi="Times New Roman"/>
          <w:sz w:val="20"/>
          <w:szCs w:val="20"/>
          <w:b w:val="1"/>
          <w:bCs w:val="1"/>
          <w:color w:val="auto"/>
        </w:rPr>
        <w:t>Rated Borrower</w:t>
      </w:r>
      <w:r>
        <w:rPr>
          <w:rFonts w:ascii="Times New Roman" w:cs="Times New Roman" w:eastAsia="Times New Roman" w:hAnsi="Times New Roman"/>
          <w:sz w:val="20"/>
          <w:szCs w:val="20"/>
          <w:color w:val="auto"/>
        </w:rPr>
        <w:t>”)) then falls. As of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Agreement Date, the Applicable Margins are determined based on Level 5 in the table set forth below. Any change in the applicable Credit Ratings which would cause the Applicable Margins to move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62"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different Level shall be effective as of the effective date of the change in the Rated Borrower’s Credit Rating. The Rated Borrower shall have not less than two Credit Ratings at all times, one of which shall be from S&amp;P or Moody’s. In the event that the Rated Borrower receives only</w:t>
      </w:r>
    </w:p>
    <w:p>
      <w:pPr>
        <w:spacing w:after="0" w:line="211" w:lineRule="auto"/>
        <w:rPr>
          <w:sz w:val="20"/>
          <w:szCs w:val="20"/>
          <w:color w:val="auto"/>
        </w:rPr>
      </w:pPr>
      <w:r>
        <w:rPr>
          <w:rFonts w:ascii="Times New Roman" w:cs="Times New Roman" w:eastAsia="Times New Roman" w:hAnsi="Times New Roman"/>
          <w:sz w:val="20"/>
          <w:szCs w:val="20"/>
          <w:color w:val="auto"/>
        </w:rPr>
        <w:t>two Credit Ratings, and such Credit Ratings are not equivalent, the Applicable Margin shall be the higher of the two Credit Ratings. In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event that Rated Borrower receives more than two Credit Ratings, and such Credit Ratings are not all equivalent, the Applicable Margin shall be (A) if the difference between the highest and the lowest such Credit Ratings is one ratings category (e.g. Baa2 by Moody’s and BBB- by</w:t>
      </w:r>
    </w:p>
    <w:p>
      <w:pPr>
        <w:spacing w:after="0" w:line="222" w:lineRule="auto"/>
        <w:rPr>
          <w:sz w:val="20"/>
          <w:szCs w:val="20"/>
          <w:color w:val="auto"/>
        </w:rPr>
      </w:pPr>
      <w:r>
        <w:rPr>
          <w:rFonts w:ascii="Times New Roman" w:cs="Times New Roman" w:eastAsia="Times New Roman" w:hAnsi="Times New Roman"/>
          <w:sz w:val="19"/>
          <w:szCs w:val="19"/>
          <w:color w:val="auto"/>
        </w:rPr>
        <w:t>S&amp;P or Fitch), the Applicable Margin shall be the rate per annum that would be applicable if the highest of the Credit Ratings were used; and</w:t>
      </w:r>
    </w:p>
    <w:p>
      <w:pPr>
        <w:jc w:val="both"/>
        <w:ind w:right="20" w:firstLine="8"/>
        <w:spacing w:after="0" w:line="212" w:lineRule="auto"/>
        <w:tabs>
          <w:tab w:leader="none" w:pos="32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difference between the highest and the lowest such Credit Ratings is two ratings categories (e.g. </w:t>
      </w:r>
      <w:r>
        <w:rPr>
          <w:rFonts w:ascii="Times New Roman" w:cs="Times New Roman" w:eastAsia="Times New Roman" w:hAnsi="Times New Roman"/>
          <w:sz w:val="20"/>
          <w:szCs w:val="20"/>
          <w:color w:val="FF0000"/>
          <w:strike w:val="1"/>
        </w:rPr>
        <w:t>Baal</w:t>
      </w:r>
      <w:r>
        <w:rPr>
          <w:rFonts w:ascii="Times New Roman" w:cs="Times New Roman" w:eastAsia="Times New Roman" w:hAnsi="Times New Roman"/>
          <w:sz w:val="20"/>
          <w:szCs w:val="20"/>
          <w:u w:val="single" w:color="auto"/>
          <w:color w:val="0101FF"/>
        </w:rPr>
        <w:t>Baa1</w:t>
      </w:r>
      <w:r>
        <w:rPr>
          <w:rFonts w:ascii="Times New Roman" w:cs="Times New Roman" w:eastAsia="Times New Roman" w:hAnsi="Times New Roman"/>
          <w:sz w:val="20"/>
          <w:szCs w:val="20"/>
          <w:color w:val="auto"/>
        </w:rPr>
        <w:t xml:space="preserve"> by Moody’s and BBB-by S&amp;P or Fitch) or more, the Applicable Margin shall be the rate per annum that would be applicable if the average of the two highest Credit Ratings were used, provided that if such average is not a recognized rating category (i.e., the difference between the Credit Ratings is an even number of ratings categories), then the Applicable Margin shall be based on the lower of the two highest Credit Ratings. During any period in which the Rated Borrower does not have at least two Credit Ratings or at least one Credit Rating is not from S&amp;P or Moody’s, the Applicable Margins shall be determined based on Level 5 in the table set forth below.</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20" w:type="dxa"/>
            <w:vAlign w:val="bottom"/>
            <w:tcBorders>
              <w:top w:val="single" w:sz="8" w:color="auto"/>
              <w:left w:val="single" w:sz="8" w:color="auto"/>
              <w:right w:val="single" w:sz="8" w:color="auto"/>
            </w:tcBorders>
          </w:tcPr>
          <w:p>
            <w:pPr>
              <w:jc w:val="right"/>
              <w:ind w:right="561"/>
              <w:spacing w:after="0" w:line="216" w:lineRule="exact"/>
              <w:rPr>
                <w:sz w:val="20"/>
                <w:szCs w:val="20"/>
                <w:color w:val="auto"/>
              </w:rPr>
            </w:pPr>
            <w:r>
              <w:rPr>
                <w:rFonts w:ascii="Times New Roman" w:cs="Times New Roman" w:eastAsia="Times New Roman" w:hAnsi="Times New Roman"/>
                <w:sz w:val="20"/>
                <w:szCs w:val="20"/>
                <w:b w:val="1"/>
                <w:bCs w:val="1"/>
                <w:color w:val="auto"/>
              </w:rPr>
              <w:t>Level</w:t>
            </w:r>
          </w:p>
        </w:tc>
        <w:tc>
          <w:tcPr>
            <w:tcW w:w="3340" w:type="dxa"/>
            <w:vAlign w:val="bottom"/>
            <w:tcBorders>
              <w:top w:val="single" w:sz="8" w:color="auto"/>
              <w:right w:val="single" w:sz="8" w:color="auto"/>
            </w:tcBorders>
          </w:tcPr>
          <w:p>
            <w:pPr>
              <w:ind w:left="300"/>
              <w:spacing w:after="0" w:line="216" w:lineRule="exact"/>
              <w:rPr>
                <w:sz w:val="20"/>
                <w:szCs w:val="20"/>
                <w:color w:val="auto"/>
              </w:rPr>
            </w:pPr>
            <w:r>
              <w:rPr>
                <w:rFonts w:ascii="Times New Roman" w:cs="Times New Roman" w:eastAsia="Times New Roman" w:hAnsi="Times New Roman"/>
                <w:sz w:val="20"/>
                <w:szCs w:val="20"/>
                <w:b w:val="1"/>
                <w:bCs w:val="1"/>
                <w:color w:val="auto"/>
              </w:rPr>
              <w:t>Rated Borrower’s Credit Rating</w:t>
            </w:r>
          </w:p>
        </w:tc>
        <w:tc>
          <w:tcPr>
            <w:tcW w:w="3360" w:type="dxa"/>
            <w:vAlign w:val="bottom"/>
            <w:tcBorders>
              <w:top w:val="single" w:sz="8" w:color="auto"/>
              <w:right w:val="single" w:sz="8" w:color="auto"/>
            </w:tcBorders>
            <w:gridSpan w:val="2"/>
          </w:tcPr>
          <w:p>
            <w:pPr>
              <w:ind w:left="80"/>
              <w:spacing w:after="0" w:line="216" w:lineRule="exact"/>
              <w:rPr>
                <w:sz w:val="20"/>
                <w:szCs w:val="20"/>
                <w:color w:val="auto"/>
              </w:rPr>
            </w:pPr>
            <w:r>
              <w:rPr>
                <w:rFonts w:ascii="Times New Roman" w:cs="Times New Roman" w:eastAsia="Times New Roman" w:hAnsi="Times New Roman"/>
                <w:sz w:val="20"/>
                <w:szCs w:val="20"/>
                <w:b w:val="1"/>
                <w:bCs w:val="1"/>
                <w:color w:val="auto"/>
              </w:rPr>
              <w:t>Applicable Margin for Loans that are</w:t>
            </w:r>
          </w:p>
        </w:tc>
        <w:tc>
          <w:tcPr>
            <w:tcW w:w="3340" w:type="dxa"/>
            <w:vAlign w:val="bottom"/>
            <w:tcBorders>
              <w:top w:val="single" w:sz="8" w:color="auto"/>
              <w:right w:val="single" w:sz="8" w:color="auto"/>
            </w:tcBorders>
          </w:tcPr>
          <w:p>
            <w:pPr>
              <w:jc w:val="right"/>
              <w:ind w:right="1"/>
              <w:spacing w:after="0" w:line="216" w:lineRule="exact"/>
              <w:rPr>
                <w:sz w:val="20"/>
                <w:szCs w:val="20"/>
                <w:color w:val="auto"/>
              </w:rPr>
            </w:pPr>
            <w:r>
              <w:rPr>
                <w:rFonts w:ascii="Times New Roman" w:cs="Times New Roman" w:eastAsia="Times New Roman" w:hAnsi="Times New Roman"/>
                <w:sz w:val="20"/>
                <w:szCs w:val="20"/>
                <w:b w:val="1"/>
                <w:bCs w:val="1"/>
                <w:color w:val="auto"/>
              </w:rPr>
              <w:t>Applicable Margin for Loans that are</w:t>
            </w:r>
          </w:p>
        </w:tc>
      </w:tr>
      <w:tr>
        <w:trPr>
          <w:trHeight w:val="303"/>
        </w:trPr>
        <w:tc>
          <w:tcPr>
            <w:tcW w:w="1220" w:type="dxa"/>
            <w:vAlign w:val="bottom"/>
            <w:tcBorders>
              <w:left w:val="single" w:sz="8" w:color="auto"/>
              <w:right w:val="single" w:sz="8" w:color="auto"/>
            </w:tcBorders>
          </w:tcPr>
          <w:p>
            <w:pPr>
              <w:spacing w:after="0"/>
              <w:rPr>
                <w:sz w:val="24"/>
                <w:szCs w:val="24"/>
                <w:color w:val="auto"/>
              </w:rPr>
            </w:pPr>
          </w:p>
        </w:tc>
        <w:tc>
          <w:tcPr>
            <w:tcW w:w="33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20"/>
                <w:szCs w:val="20"/>
                <w:b w:val="1"/>
                <w:bCs w:val="1"/>
                <w:color w:val="auto"/>
              </w:rPr>
              <w:t>(S&amp;P/Moody’s or equivalent)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Adjusted</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Term SOFR Loans</w:t>
            </w:r>
          </w:p>
        </w:tc>
        <w:tc>
          <w:tcPr>
            <w:tcW w:w="3340" w:type="dxa"/>
            <w:vAlign w:val="bottom"/>
            <w:tcBorders>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b w:val="1"/>
                <w:bCs w:val="1"/>
                <w:color w:val="auto"/>
              </w:rPr>
              <w:t>Base Rate Loans</w:t>
            </w:r>
          </w:p>
        </w:tc>
      </w:tr>
      <w:tr>
        <w:trPr>
          <w:trHeight w:val="21"/>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1220" w:type="dxa"/>
            <w:vAlign w:val="bottom"/>
            <w:tcBorders>
              <w:left w:val="single" w:sz="8" w:color="auto"/>
              <w:bottom w:val="single" w:sz="8" w:color="auto"/>
              <w:right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color w:val="auto"/>
              </w:rPr>
              <w:t>1</w:t>
            </w:r>
          </w:p>
        </w:tc>
        <w:tc>
          <w:tcPr>
            <w:tcW w:w="3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A-/A3 (or equivalent) or better</w:t>
            </w:r>
          </w:p>
        </w:tc>
        <w:tc>
          <w:tcPr>
            <w:tcW w:w="12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w w:val="96"/>
              </w:rPr>
              <w:t>1.00%</w:t>
            </w:r>
          </w:p>
        </w:tc>
        <w:tc>
          <w:tcPr>
            <w:tcW w:w="208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jc w:val="right"/>
              <w:ind w:right="2721"/>
              <w:spacing w:after="0"/>
              <w:rPr>
                <w:sz w:val="20"/>
                <w:szCs w:val="20"/>
                <w:color w:val="auto"/>
              </w:rPr>
            </w:pPr>
            <w:r>
              <w:rPr>
                <w:rFonts w:ascii="Times New Roman" w:cs="Times New Roman" w:eastAsia="Times New Roman" w:hAnsi="Times New Roman"/>
                <w:sz w:val="20"/>
                <w:szCs w:val="20"/>
                <w:color w:val="auto"/>
                <w:w w:val="96"/>
              </w:rPr>
              <w:t>0.00%</w:t>
            </w:r>
          </w:p>
        </w:tc>
      </w:tr>
      <w:tr>
        <w:trPr>
          <w:trHeight w:val="250"/>
        </w:trPr>
        <w:tc>
          <w:tcPr>
            <w:tcW w:w="1220" w:type="dxa"/>
            <w:vAlign w:val="bottom"/>
            <w:tcBorders>
              <w:left w:val="single" w:sz="8" w:color="auto"/>
              <w:bottom w:val="single" w:sz="8" w:color="auto"/>
              <w:right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color w:val="auto"/>
              </w:rPr>
              <w:t>2</w:t>
            </w:r>
          </w:p>
        </w:tc>
        <w:tc>
          <w:tcPr>
            <w:tcW w:w="3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BBB+/Baa1 (or equivalent)</w:t>
            </w:r>
          </w:p>
        </w:tc>
        <w:tc>
          <w:tcPr>
            <w:tcW w:w="12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w w:val="96"/>
              </w:rPr>
              <w:t>1.05%</w:t>
            </w:r>
          </w:p>
        </w:tc>
        <w:tc>
          <w:tcPr>
            <w:tcW w:w="208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jc w:val="right"/>
              <w:ind w:right="2721"/>
              <w:spacing w:after="0"/>
              <w:rPr>
                <w:sz w:val="20"/>
                <w:szCs w:val="20"/>
                <w:color w:val="auto"/>
              </w:rPr>
            </w:pPr>
            <w:r>
              <w:rPr>
                <w:rFonts w:ascii="Times New Roman" w:cs="Times New Roman" w:eastAsia="Times New Roman" w:hAnsi="Times New Roman"/>
                <w:sz w:val="20"/>
                <w:szCs w:val="20"/>
                <w:color w:val="auto"/>
                <w:w w:val="96"/>
              </w:rPr>
              <w:t>0.05%</w:t>
            </w:r>
          </w:p>
        </w:tc>
      </w:tr>
      <w:tr>
        <w:trPr>
          <w:trHeight w:val="250"/>
        </w:trPr>
        <w:tc>
          <w:tcPr>
            <w:tcW w:w="1220" w:type="dxa"/>
            <w:vAlign w:val="bottom"/>
            <w:tcBorders>
              <w:left w:val="single" w:sz="8" w:color="auto"/>
              <w:bottom w:val="single" w:sz="8" w:color="auto"/>
              <w:right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color w:val="auto"/>
              </w:rPr>
              <w:t>3</w:t>
            </w:r>
          </w:p>
        </w:tc>
        <w:tc>
          <w:tcPr>
            <w:tcW w:w="3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BBB/Baa2 (or equivalent)</w:t>
            </w:r>
          </w:p>
        </w:tc>
        <w:tc>
          <w:tcPr>
            <w:tcW w:w="12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w w:val="96"/>
              </w:rPr>
              <w:t>1.15%</w:t>
            </w:r>
          </w:p>
        </w:tc>
        <w:tc>
          <w:tcPr>
            <w:tcW w:w="208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jc w:val="right"/>
              <w:ind w:right="2721"/>
              <w:spacing w:after="0"/>
              <w:rPr>
                <w:sz w:val="20"/>
                <w:szCs w:val="20"/>
                <w:color w:val="auto"/>
              </w:rPr>
            </w:pPr>
            <w:r>
              <w:rPr>
                <w:rFonts w:ascii="Times New Roman" w:cs="Times New Roman" w:eastAsia="Times New Roman" w:hAnsi="Times New Roman"/>
                <w:sz w:val="20"/>
                <w:szCs w:val="20"/>
                <w:color w:val="auto"/>
                <w:w w:val="96"/>
              </w:rPr>
              <w:t>0.15%</w:t>
            </w:r>
          </w:p>
        </w:tc>
      </w:tr>
      <w:tr>
        <w:trPr>
          <w:trHeight w:val="250"/>
        </w:trPr>
        <w:tc>
          <w:tcPr>
            <w:tcW w:w="1220" w:type="dxa"/>
            <w:vAlign w:val="bottom"/>
            <w:tcBorders>
              <w:left w:val="single" w:sz="8" w:color="auto"/>
              <w:bottom w:val="single" w:sz="8" w:color="auto"/>
              <w:right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color w:val="auto"/>
              </w:rPr>
              <w:t>4</w:t>
            </w:r>
          </w:p>
        </w:tc>
        <w:tc>
          <w:tcPr>
            <w:tcW w:w="3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BBB-/Baa3 (or equivalent)</w:t>
            </w:r>
          </w:p>
        </w:tc>
        <w:tc>
          <w:tcPr>
            <w:tcW w:w="12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w w:val="96"/>
              </w:rPr>
              <w:t>1.40%</w:t>
            </w:r>
          </w:p>
        </w:tc>
        <w:tc>
          <w:tcPr>
            <w:tcW w:w="208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jc w:val="right"/>
              <w:ind w:right="2721"/>
              <w:spacing w:after="0"/>
              <w:rPr>
                <w:sz w:val="20"/>
                <w:szCs w:val="20"/>
                <w:color w:val="auto"/>
              </w:rPr>
            </w:pPr>
            <w:r>
              <w:rPr>
                <w:rFonts w:ascii="Times New Roman" w:cs="Times New Roman" w:eastAsia="Times New Roman" w:hAnsi="Times New Roman"/>
                <w:sz w:val="20"/>
                <w:szCs w:val="20"/>
                <w:color w:val="auto"/>
                <w:w w:val="96"/>
              </w:rPr>
              <w:t>0.40%</w:t>
            </w:r>
          </w:p>
        </w:tc>
      </w:tr>
      <w:tr>
        <w:trPr>
          <w:trHeight w:val="250"/>
        </w:trPr>
        <w:tc>
          <w:tcPr>
            <w:tcW w:w="1220" w:type="dxa"/>
            <w:vAlign w:val="bottom"/>
            <w:tcBorders>
              <w:left w:val="single" w:sz="8" w:color="auto"/>
              <w:bottom w:val="single" w:sz="8" w:color="auto"/>
              <w:right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color w:val="auto"/>
              </w:rPr>
              <w:t>5</w:t>
            </w:r>
          </w:p>
        </w:tc>
        <w:tc>
          <w:tcPr>
            <w:tcW w:w="3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BB+/Ba1 (or equivalent) or lower</w:t>
            </w:r>
          </w:p>
        </w:tc>
        <w:tc>
          <w:tcPr>
            <w:tcW w:w="12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w w:val="96"/>
              </w:rPr>
              <w:t>1.80%</w:t>
            </w:r>
          </w:p>
        </w:tc>
        <w:tc>
          <w:tcPr>
            <w:tcW w:w="208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jc w:val="right"/>
              <w:ind w:right="2721"/>
              <w:spacing w:after="0"/>
              <w:rPr>
                <w:sz w:val="20"/>
                <w:szCs w:val="20"/>
                <w:color w:val="auto"/>
              </w:rPr>
            </w:pPr>
            <w:r>
              <w:rPr>
                <w:rFonts w:ascii="Times New Roman" w:cs="Times New Roman" w:eastAsia="Times New Roman" w:hAnsi="Times New Roman"/>
                <w:sz w:val="20"/>
                <w:szCs w:val="20"/>
                <w:color w:val="auto"/>
                <w:w w:val="96"/>
              </w:rPr>
              <w:t>0.80%</w:t>
            </w:r>
          </w:p>
        </w:tc>
      </w:tr>
    </w:tbl>
    <w:p>
      <w:pPr>
        <w:spacing w:after="0" w:line="257"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any entity that administers or manages a Lender.</w:t>
      </w:r>
    </w:p>
    <w:p>
      <w:pPr>
        <w:spacing w:after="0" w:line="130"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means an Assignment and Assumption Agreement among a Lender, an Eligible Assignee and the Administrative Agent, substantially in the form of Exhibit A.</w:t>
      </w:r>
    </w:p>
    <w:p>
      <w:pPr>
        <w:spacing w:after="0" w:line="124"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as applicable, (a) if such Benchmark is a term rate, any tenor for such Benchmark (or component thereof) that is or may be used for determining the length of an</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interest period pursuant to this Agreement or (b) otherwise, any payment period for interest calculated with reference to such Benchmark (or component thereof) that is or may be used for determining any frequency of making payments of interest calculated with reference to such</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Benchmark, in each case, as of such date and not including, for the avoidance of doubt, any tenor for such Benchmark that is then-removed from the definition of “Interest Period” pursuant to Section 4.2(b)(iv).</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Avoidance Provisions</w:t>
      </w:r>
      <w:r>
        <w:rPr>
          <w:rFonts w:ascii="Times New Roman" w:cs="Times New Roman" w:eastAsia="Times New Roman" w:hAnsi="Times New Roman"/>
          <w:sz w:val="20"/>
          <w:szCs w:val="20"/>
          <w:color w:val="auto"/>
        </w:rPr>
        <w:t>” has the meaning given that term in Section 2.16.(d).</w:t>
      </w:r>
    </w:p>
    <w:p>
      <w:pPr>
        <w:spacing w:after="0" w:line="162"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24"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Country from time to time which is described in the EU Bail-In Legislation Schedule and (b) with respect to the United Kingdom, Part I of the United Kingdom Banking Act 2009 (as amended from time to time) and any other law, regulation or rule applicable in the United</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- 3 -</w:t>
      </w:r>
    </w:p>
    <w:p>
      <w:pPr>
        <w:sectPr>
          <w:pgSz w:w="11900" w:h="16838" w:orient="portrait"/>
          <w:cols w:equalWidth="0" w:num="1">
            <w:col w:w="11260"/>
          </w:cols>
          <w:pgMar w:left="320" w:top="1440" w:right="319" w:bottom="1440" w:gutter="0" w:footer="0" w:header="0"/>
        </w:sectPr>
      </w:pPr>
    </w:p>
    <w:bookmarkStart w:id="210" w:name="page211"/>
    <w:bookmarkEnd w:id="210"/>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the Bankruptcy Code of 1978.</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w:t>
      </w:r>
      <w:r>
        <w:rPr>
          <w:rFonts w:ascii="Times New Roman" w:cs="Times New Roman" w:eastAsia="Times New Roman" w:hAnsi="Times New Roman"/>
          <w:sz w:val="20"/>
          <w:szCs w:val="20"/>
          <w:color w:val="auto"/>
        </w:rPr>
        <w:t>” means, at any time, the highest of (a) the Prime Rate, (b) the Federal Funds Rate plus 0.50% and (c) Daily Simple</w:t>
      </w:r>
    </w:p>
    <w:p>
      <w:pPr>
        <w:jc w:val="both"/>
        <w:spacing w:after="0" w:line="204" w:lineRule="auto"/>
        <w:rPr>
          <w:sz w:val="20"/>
          <w:szCs w:val="20"/>
          <w:color w:val="auto"/>
        </w:rPr>
      </w:pPr>
      <w:r>
        <w:rPr>
          <w:rFonts w:ascii="Times New Roman" w:cs="Times New Roman" w:eastAsia="Times New Roman" w:hAnsi="Times New Roman"/>
          <w:sz w:val="20"/>
          <w:szCs w:val="20"/>
          <w:color w:val="auto"/>
        </w:rPr>
        <w:t>SOFR in effect on such day plus 1.00%; each change in the Base Rate shall take effect simultaneously with the corresponding change or changes in the Prime Rate, the Federal Funds Rate or Daily Simple SOFR, as applicable (provided that clause (c) shall not be applicable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during any period in which Daily Simple SOFR is unavailable or unascertainable). Notwithstanding the foregoing, in no event shall the Base Rate be less than 1.00%.</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Loan</w:t>
      </w:r>
      <w:r>
        <w:rPr>
          <w:rFonts w:ascii="Times New Roman" w:cs="Times New Roman" w:eastAsia="Times New Roman" w:hAnsi="Times New Roman"/>
          <w:sz w:val="20"/>
          <w:szCs w:val="20"/>
          <w:color w:val="auto"/>
        </w:rPr>
        <w:t>” means a Loan (or any portion thereof) bearing interest at a rate based on the Base Rate.</w:t>
      </w:r>
    </w:p>
    <w:p>
      <w:pPr>
        <w:spacing w:after="0" w:line="16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4.2(b)(i).</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with respect to any Benchmark Transition Event, the sum of: (a) the alternate benchmark rate</w:t>
      </w:r>
    </w:p>
    <w:p>
      <w:pPr>
        <w:jc w:val="both"/>
        <w:spacing w:after="0" w:line="204" w:lineRule="auto"/>
        <w:rPr>
          <w:sz w:val="20"/>
          <w:szCs w:val="20"/>
          <w:color w:val="auto"/>
        </w:rPr>
      </w:pPr>
      <w:r>
        <w:rPr>
          <w:rFonts w:ascii="Times New Roman" w:cs="Times New Roman" w:eastAsia="Times New Roman" w:hAnsi="Times New Roman"/>
          <w:sz w:val="20"/>
          <w:szCs w:val="20"/>
          <w:color w:val="auto"/>
        </w:rPr>
        <w:t>that has been selected by the Administrative Agent and the Borrowers giving due consideration to (i) any selection or recommendation of a replacement benchmark rate or the mechanism for determining such a rate by the Relevant Governmental Body or (ii) any evolving or then-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prevailing market convention for determining a benchmark rate as a replacement to the then-current Benchmark for Dollar-denominated syndicated credit facilities and (b) the related Benchmark Replacement Adjustment; provided that, if such Benchmark Replacement as so</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determined would be less than the Floor, such Benchmark Replacement will be deemed to be the Floor for the purposes of this Agreement and the other Loan Documents.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w:t>
      </w:r>
    </w:p>
    <w:p>
      <w:pPr>
        <w:jc w:val="both"/>
        <w:spacing w:after="0" w:line="204" w:lineRule="auto"/>
        <w:rPr>
          <w:sz w:val="20"/>
          <w:szCs w:val="20"/>
          <w:color w:val="auto"/>
        </w:rPr>
      </w:pPr>
      <w:r>
        <w:rPr>
          <w:rFonts w:ascii="Times New Roman" w:cs="Times New Roman" w:eastAsia="Times New Roman" w:hAnsi="Times New Roman"/>
          <w:sz w:val="20"/>
          <w:szCs w:val="20"/>
          <w:color w:val="auto"/>
        </w:rPr>
        <w:t>Unadjusted Benchmark Replacement for any applicable Available Tenor, the spread adjustment, or method for calculating or determining such spread adjustment, (which may be a positive or negative value or zero) that has been selected by the Administrative Agent and the</w:t>
      </w:r>
    </w:p>
    <w:p>
      <w:pPr>
        <w:spacing w:after="0" w:line="223" w:lineRule="auto"/>
        <w:rPr>
          <w:sz w:val="20"/>
          <w:szCs w:val="20"/>
          <w:color w:val="auto"/>
        </w:rPr>
      </w:pPr>
      <w:r>
        <w:rPr>
          <w:rFonts w:ascii="Times New Roman" w:cs="Times New Roman" w:eastAsia="Times New Roman" w:hAnsi="Times New Roman"/>
          <w:sz w:val="19"/>
          <w:szCs w:val="19"/>
          <w:color w:val="auto"/>
        </w:rPr>
        <w:t>Borrowers giving due consideration to (a) any selection or recommendation of a spread adjustment, or method for calculating or determining</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spread adjustment, for the replacement of such Benchmark with the applicable Unadjusted Benchmark Replacement by the Relevant Governmental Body or (b) any evolving or then-prevailing market convention for determining a spread adjustment, or method for calculating</w:t>
      </w:r>
    </w:p>
    <w:p>
      <w:pPr>
        <w:jc w:val="both"/>
        <w:spacing w:after="0" w:line="228" w:lineRule="auto"/>
        <w:rPr>
          <w:sz w:val="20"/>
          <w:szCs w:val="20"/>
          <w:color w:val="auto"/>
        </w:rPr>
      </w:pPr>
      <w:r>
        <w:rPr>
          <w:rFonts w:ascii="Times New Roman" w:cs="Times New Roman" w:eastAsia="Times New Roman" w:hAnsi="Times New Roman"/>
          <w:sz w:val="20"/>
          <w:szCs w:val="20"/>
          <w:color w:val="auto"/>
        </w:rPr>
        <w:t>or determining such spread adjustment, for the replacement of such Benchmark with the applicable Unadjusted Benchmark Replacement for Dollar-denominated syndicated credit facilities.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166" w:lineRule="exact"/>
        <w:rPr>
          <w:sz w:val="20"/>
          <w:szCs w:val="20"/>
          <w:color w:val="auto"/>
        </w:rPr>
      </w:pPr>
    </w:p>
    <w:p>
      <w:pPr>
        <w:jc w:val="both"/>
        <w:ind w:left="660" w:firstLine="644"/>
        <w:spacing w:after="0" w:line="222" w:lineRule="auto"/>
        <w:tabs>
          <w:tab w:leader="none" w:pos="194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- 4 -</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6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w:t>
      </w:r>
    </w:p>
    <w:p>
      <w:pPr>
        <w:spacing w:after="0"/>
        <w:rPr>
          <w:sz w:val="20"/>
          <w:szCs w:val="20"/>
          <w:color w:val="auto"/>
        </w:rPr>
      </w:pPr>
      <w:r>
        <w:rPr>
          <w:rFonts w:ascii="Times New Roman" w:cs="Times New Roman" w:eastAsia="Times New Roman" w:hAnsi="Times New Roman"/>
          <w:sz w:val="20"/>
          <w:szCs w:val="20"/>
          <w:color w:val="auto"/>
        </w:rPr>
        <w:t>Tenors of such Benchmark (or the published component used in the calculation thereof).</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40" w:lineRule="exact"/>
        <w:rPr>
          <w:sz w:val="20"/>
          <w:szCs w:val="20"/>
          <w:color w:val="auto"/>
        </w:rPr>
      </w:pPr>
    </w:p>
    <w:p>
      <w:pPr>
        <w:jc w:val="both"/>
        <w:ind w:left="660" w:firstLine="644"/>
        <w:spacing w:after="0" w:line="220" w:lineRule="auto"/>
        <w:tabs>
          <w:tab w:leader="none" w:pos="194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w:t>
      </w:r>
    </w:p>
    <w:p>
      <w:pPr>
        <w:spacing w:after="0" w:line="221" w:lineRule="auto"/>
        <w:rPr>
          <w:sz w:val="20"/>
          <w:szCs w:val="20"/>
          <w:color w:val="auto"/>
        </w:rPr>
      </w:pPr>
      <w:r>
        <w:rPr>
          <w:rFonts w:ascii="Times New Roman" w:cs="Times New Roman" w:eastAsia="Times New Roman" w:hAnsi="Times New Roman"/>
          <w:sz w:val="20"/>
          <w:szCs w:val="20"/>
          <w:color w:val="auto"/>
        </w:rPr>
        <w:t>public statement or publication of information set forth above has occurred with respect to each then-current Available Tenor of such Benchmark (or the published component used in the calculation thereof).</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means the period (if any) (x) beginning at the time that a Benchmark Replacement Date has</w:t>
      </w:r>
    </w:p>
    <w:p>
      <w:pPr>
        <w:spacing w:after="0" w:line="215" w:lineRule="auto"/>
        <w:rPr>
          <w:sz w:val="20"/>
          <w:szCs w:val="20"/>
          <w:color w:val="auto"/>
        </w:rPr>
      </w:pPr>
      <w:r>
        <w:rPr>
          <w:rFonts w:ascii="Times New Roman" w:cs="Times New Roman" w:eastAsia="Times New Roman" w:hAnsi="Times New Roman"/>
          <w:sz w:val="19"/>
          <w:szCs w:val="19"/>
          <w:color w:val="auto"/>
        </w:rPr>
        <w:t>occurred if, at such time, no Benchmark Replacement has replaced the then-current Benchmark for all purposes hereunder and under any Loan Document in accordance with Section 4.2(b)(i) and (y) ending at the time that a Benchmark Replacement has replaced the then-current</w:t>
      </w:r>
    </w:p>
    <w:p>
      <w:pPr>
        <w:spacing w:after="0"/>
        <w:rPr>
          <w:sz w:val="20"/>
          <w:szCs w:val="20"/>
          <w:color w:val="auto"/>
        </w:rPr>
      </w:pPr>
      <w:r>
        <w:rPr>
          <w:rFonts w:ascii="Times New Roman" w:cs="Times New Roman" w:eastAsia="Times New Roman" w:hAnsi="Times New Roman"/>
          <w:sz w:val="20"/>
          <w:szCs w:val="20"/>
          <w:color w:val="auto"/>
        </w:rPr>
        <w:t>Benchmark for all purposes hereunder and under any Loan Document in accordance with Section 4.2(b)(i).</w:t>
      </w:r>
    </w:p>
    <w:p>
      <w:pPr>
        <w:spacing w:after="0" w:line="13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- 5 -</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58"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Arrangement</w:t>
      </w:r>
      <w:r>
        <w:rPr>
          <w:rFonts w:ascii="Times New Roman" w:cs="Times New Roman" w:eastAsia="Times New Roman" w:hAnsi="Times New Roman"/>
          <w:sz w:val="20"/>
          <w:szCs w:val="20"/>
          <w:color w:val="auto"/>
        </w:rPr>
        <w:t>” means at any time an employee benefit plan within the meaning of Section 3(3) of ERISA which is not a Plan or a Multiemployer Plan and which is maintained or otherwise contributed to by any member of the ERISA Group.</w:t>
      </w:r>
    </w:p>
    <w:p>
      <w:pPr>
        <w:spacing w:after="0" w:line="14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Bookrunner</w:t>
      </w:r>
      <w:r>
        <w:rPr>
          <w:rFonts w:ascii="Times New Roman" w:cs="Times New Roman" w:eastAsia="Times New Roman" w:hAnsi="Times New Roman"/>
          <w:sz w:val="20"/>
          <w:szCs w:val="20"/>
          <w:color w:val="auto"/>
        </w:rPr>
        <w:t>” means each Person identified as such in the introductory paragraph hereof and shall include each such Person’s successor and permitted assigns.</w:t>
      </w:r>
    </w:p>
    <w:p>
      <w:pPr>
        <w:spacing w:after="0" w:line="14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has the meaning set forth in the introductory paragraph hereof and shall include each Borrower’s successors and permitted assigns.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Representative</w:t>
      </w:r>
      <w:r>
        <w:rPr>
          <w:rFonts w:ascii="Times New Roman" w:cs="Times New Roman" w:eastAsia="Times New Roman" w:hAnsi="Times New Roman"/>
          <w:sz w:val="20"/>
          <w:szCs w:val="20"/>
          <w:color w:val="auto"/>
        </w:rPr>
        <w:t>” has the meaning given that term in Section 2.17.</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Saturday, Sunday or legal holiday) on which banks in San Francisco, California and</w:t>
      </w:r>
    </w:p>
    <w:p>
      <w:pPr>
        <w:ind w:right="20"/>
        <w:spacing w:after="0" w:line="221" w:lineRule="auto"/>
        <w:rPr>
          <w:sz w:val="20"/>
          <w:szCs w:val="20"/>
          <w:color w:val="auto"/>
        </w:rPr>
      </w:pPr>
      <w:r>
        <w:rPr>
          <w:rFonts w:ascii="Times New Roman" w:cs="Times New Roman" w:eastAsia="Times New Roman" w:hAnsi="Times New Roman"/>
          <w:sz w:val="20"/>
          <w:szCs w:val="20"/>
          <w:color w:val="auto"/>
        </w:rPr>
        <w:t>New York, New York, are open for the conduct of their commercial banking business. Unless specifically referenced in this Agreement as a Business Day, all references to “days” shall be to calendar days.</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b w:val="1"/>
          <w:bCs w:val="1"/>
          <w:color w:val="FF0000"/>
          <w:strike w:val="1"/>
        </w:rPr>
        <w:t>Capital Reserves</w:t>
      </w:r>
      <w:r>
        <w:rPr>
          <w:rFonts w:ascii="Times New Roman" w:cs="Times New Roman" w:eastAsia="Times New Roman" w:hAnsi="Times New Roman"/>
          <w:sz w:val="20"/>
          <w:szCs w:val="20"/>
          <w:color w:val="FF0000"/>
          <w:strike w:val="1"/>
        </w:rPr>
        <w:t>” means, for any period and with respect to any Property, an amount equal to (a) the aggregate square footage (or units with respect to multifamily Properties) of all completed space of such Property times (b) $0.25 for office Properties, $0.15 for retail</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FF0000"/>
          <w:strike w:val="1"/>
        </w:rPr>
        <w:t>Properties and $200 per unit for multifamily Properties times (c) the number of days in such period divided by (d) 365. If the term Capital Reserves is used without reference to any specific Property, then it shall be determined on an aggregate basis with respect to all Properties of</w:t>
      </w:r>
    </w:p>
    <w:p>
      <w:pPr>
        <w:spacing w:after="0"/>
        <w:rPr>
          <w:sz w:val="20"/>
          <w:szCs w:val="20"/>
          <w:color w:val="auto"/>
        </w:rPr>
      </w:pPr>
      <w:r>
        <w:rPr>
          <w:rFonts w:ascii="Times New Roman" w:cs="Times New Roman" w:eastAsia="Times New Roman" w:hAnsi="Times New Roman"/>
          <w:sz w:val="20"/>
          <w:szCs w:val="20"/>
          <w:color w:val="FF0000"/>
          <w:strike w:val="1"/>
        </w:rPr>
        <w:t>the Parent and its Subsidiaries.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Capitalization Rate</w:t>
      </w:r>
      <w:r>
        <w:rPr>
          <w:rFonts w:ascii="Times New Roman" w:cs="Times New Roman" w:eastAsia="Times New Roman" w:hAnsi="Times New Roman"/>
          <w:sz w:val="20"/>
          <w:szCs w:val="20"/>
          <w:color w:val="auto"/>
        </w:rPr>
        <w:t>” means 6.0%.</w:t>
      </w:r>
    </w:p>
    <w:p>
      <w:pPr>
        <w:spacing w:after="0" w:line="175"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Capitalized Lease Obligation</w:t>
      </w:r>
      <w:r>
        <w:rPr>
          <w:rFonts w:ascii="Times New Roman" w:cs="Times New Roman" w:eastAsia="Times New Roman" w:hAnsi="Times New Roman"/>
          <w:sz w:val="20"/>
          <w:szCs w:val="20"/>
          <w:color w:val="auto"/>
        </w:rPr>
        <w:t>” obligations under a lease that are required to be in accordance with GAAP recorded on both the balance sheet and income statement as a “finance lease” (as defined in Accounting Standard Codification 842 and any successor</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pronouncements (“</w:t>
      </w:r>
      <w:r>
        <w:rPr>
          <w:rFonts w:ascii="Times New Roman" w:cs="Times New Roman" w:eastAsia="Times New Roman" w:hAnsi="Times New Roman"/>
          <w:sz w:val="20"/>
          <w:szCs w:val="20"/>
          <w:b w:val="1"/>
          <w:bCs w:val="1"/>
          <w:color w:val="auto"/>
        </w:rPr>
        <w:t>ASC 842</w:t>
      </w:r>
      <w:r>
        <w:rPr>
          <w:rFonts w:ascii="Times New Roman" w:cs="Times New Roman" w:eastAsia="Times New Roman" w:hAnsi="Times New Roman"/>
          <w:sz w:val="20"/>
          <w:szCs w:val="20"/>
          <w:color w:val="auto"/>
        </w:rPr>
        <w:t>”)); provided that, in no event shall any obligations under a “straight-line” lease or any lease that would be categorized as an “operating lease” in accordance with ASC 842 be considered Capitalized Lease Obligations.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 (a) securities issued, guaranteed or insured by the United States of America or any of its agencies with</w:t>
      </w:r>
    </w:p>
    <w:p>
      <w:pPr>
        <w:ind w:right="20"/>
        <w:spacing w:after="0" w:line="204" w:lineRule="auto"/>
        <w:rPr>
          <w:sz w:val="20"/>
          <w:szCs w:val="20"/>
          <w:color w:val="auto"/>
        </w:rPr>
      </w:pPr>
      <w:r>
        <w:rPr>
          <w:rFonts w:ascii="Times New Roman" w:cs="Times New Roman" w:eastAsia="Times New Roman" w:hAnsi="Times New Roman"/>
          <w:sz w:val="20"/>
          <w:szCs w:val="20"/>
          <w:color w:val="auto"/>
        </w:rPr>
        <w:t>maturities of not more than one year from the date acquired; (b) marketable direct obligations issued by any state of the United States of America or any political subdivision of any such state or any public instrumentality thereof with maturities of not more than one year from</w:t>
      </w:r>
    </w:p>
    <w:p>
      <w:pPr>
        <w:spacing w:after="0" w:line="211" w:lineRule="auto"/>
        <w:rPr>
          <w:sz w:val="20"/>
          <w:szCs w:val="20"/>
          <w:color w:val="auto"/>
        </w:rPr>
      </w:pPr>
      <w:r>
        <w:rPr>
          <w:rFonts w:ascii="Times New Roman" w:cs="Times New Roman" w:eastAsia="Times New Roman" w:hAnsi="Times New Roman"/>
          <w:sz w:val="20"/>
          <w:szCs w:val="20"/>
          <w:color w:val="auto"/>
        </w:rPr>
        <w:t>the date acquired, so long as such obligations have one of the two highest ratings obtainable from any two of S&amp;P, Moody’s or Fitch; (c)</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certificates of deposit with maturities of not more than one year from the date acquired issued by a United States federal or state chartered commercial bank of recognized standing, or a commercial bank organized under the laws of any other country which is a member of the</w:t>
      </w:r>
    </w:p>
    <w:p>
      <w:pPr>
        <w:spacing w:after="0" w:line="223" w:lineRule="auto"/>
        <w:rPr>
          <w:sz w:val="20"/>
          <w:szCs w:val="20"/>
          <w:color w:val="auto"/>
        </w:rPr>
      </w:pPr>
      <w:r>
        <w:rPr>
          <w:rFonts w:ascii="Times New Roman" w:cs="Times New Roman" w:eastAsia="Times New Roman" w:hAnsi="Times New Roman"/>
          <w:sz w:val="19"/>
          <w:szCs w:val="19"/>
          <w:color w:val="auto"/>
        </w:rPr>
        <w:t>Organisation for Economic Cooperation and Development, or a political subdivision of any such country, acting through a branch or agency,</w:t>
      </w:r>
    </w:p>
    <w:p>
      <w:pPr>
        <w:spacing w:after="0" w:line="204" w:lineRule="auto"/>
        <w:rPr>
          <w:sz w:val="20"/>
          <w:szCs w:val="20"/>
          <w:color w:val="auto"/>
        </w:rPr>
      </w:pPr>
      <w:r>
        <w:rPr>
          <w:rFonts w:ascii="Times New Roman" w:cs="Times New Roman" w:eastAsia="Times New Roman" w:hAnsi="Times New Roman"/>
          <w:sz w:val="20"/>
          <w:szCs w:val="20"/>
          <w:color w:val="auto"/>
        </w:rPr>
        <w:t>which bank has capital and unimpaired surplus in excess of $500,000,000 and which bank or its holding company has a short-term commercial paper rating of at least A-2 or the equivalent by S&amp;P or at least P-2 or the equivalent by Moody’s; (d) reverse repurchase</w:t>
      </w:r>
    </w:p>
    <w:p>
      <w:pPr>
        <w:spacing w:after="0" w:line="211" w:lineRule="auto"/>
        <w:rPr>
          <w:sz w:val="20"/>
          <w:szCs w:val="20"/>
          <w:color w:val="auto"/>
        </w:rPr>
      </w:pPr>
      <w:r>
        <w:rPr>
          <w:rFonts w:ascii="Times New Roman" w:cs="Times New Roman" w:eastAsia="Times New Roman" w:hAnsi="Times New Roman"/>
          <w:sz w:val="20"/>
          <w:szCs w:val="20"/>
          <w:color w:val="auto"/>
        </w:rPr>
        <w:t>agreements with terms of not more than seven days from the date acquired, for securities of the type described in clause (a) above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entered into only with commercial banks having the qualifications described in clause (c) above; (e) commercial paper issued by any Person incorporated under the laws of the United States of America or any State thereof and rated at least A-2 or the equivalent thereof by S&amp;P or at</w:t>
      </w:r>
    </w:p>
    <w:p>
      <w:pPr>
        <w:spacing w:after="0" w:line="211" w:lineRule="auto"/>
        <w:rPr>
          <w:sz w:val="20"/>
          <w:szCs w:val="20"/>
          <w:color w:val="auto"/>
        </w:rPr>
      </w:pPr>
      <w:r>
        <w:rPr>
          <w:rFonts w:ascii="Times New Roman" w:cs="Times New Roman" w:eastAsia="Times New Roman" w:hAnsi="Times New Roman"/>
          <w:sz w:val="20"/>
          <w:szCs w:val="20"/>
          <w:color w:val="auto"/>
        </w:rPr>
        <w:t>least P-2 or the equivalent thereof by Moody’s, in each case with maturities of not more than one year from the date acquired; and (f)</w:t>
      </w:r>
    </w:p>
    <w:p>
      <w:pPr>
        <w:jc w:val="both"/>
        <w:spacing w:after="0" w:line="204" w:lineRule="auto"/>
        <w:rPr>
          <w:sz w:val="20"/>
          <w:szCs w:val="20"/>
          <w:color w:val="auto"/>
        </w:rPr>
      </w:pPr>
      <w:r>
        <w:rPr>
          <w:rFonts w:ascii="Times New Roman" w:cs="Times New Roman" w:eastAsia="Times New Roman" w:hAnsi="Times New Roman"/>
          <w:sz w:val="20"/>
          <w:szCs w:val="20"/>
          <w:color w:val="auto"/>
        </w:rPr>
        <w:t>investments in money market funds registered under the Investment Company Act of 1940, as amended, which have net assets of at least $500,000,000 and substantially all of whose assets consist of securities and other obligations of the type described in clauses (a) through (e)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13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means the occurrence of either of the following: (i) any person or group is or becomes the beneficial owner, directly or indirectly, of more than 50% of the total voting power of the then outstanding voting stock of the Parent; or (ii) during any period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12 consecutive months, individuals who at the beginning of any such 12-month period constituted the Board of Directors of the Parent (together with any new directors whose election by such Board or whose nomination for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- 6 -</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6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by the shareholders of the Parent was approved by a vote of a majority of the directors then still in office who were either directors at the beginning of such period or whose election or nomination for election was previously so approved) cease for any reason to constitute at least</w:t>
      </w:r>
    </w:p>
    <w:p>
      <w:pPr>
        <w:spacing w:after="0"/>
        <w:rPr>
          <w:sz w:val="20"/>
          <w:szCs w:val="20"/>
          <w:color w:val="auto"/>
        </w:rPr>
      </w:pPr>
      <w:r>
        <w:rPr>
          <w:rFonts w:ascii="Times New Roman" w:cs="Times New Roman" w:eastAsia="Times New Roman" w:hAnsi="Times New Roman"/>
          <w:sz w:val="20"/>
          <w:szCs w:val="20"/>
          <w:color w:val="auto"/>
        </w:rPr>
        <w:t>a majority of the Board of Directors of the Parent.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w:t>
      </w:r>
      <w:r>
        <w:rPr>
          <w:rFonts w:ascii="Times New Roman" w:cs="Times New Roman" w:eastAsia="Times New Roman" w:hAnsi="Times New Roman"/>
          <w:sz w:val="20"/>
          <w:szCs w:val="20"/>
          <w:color w:val="auto"/>
        </w:rPr>
        <w:t>” when used with respect to a Loan, refers to whether such Loan is a Closing Date Loan or an Extended Loan.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Loans</w:t>
      </w:r>
      <w:r>
        <w:rPr>
          <w:rFonts w:ascii="Times New Roman" w:cs="Times New Roman" w:eastAsia="Times New Roman" w:hAnsi="Times New Roman"/>
          <w:sz w:val="20"/>
          <w:szCs w:val="20"/>
          <w:color w:val="auto"/>
        </w:rPr>
        <w:t>” means an advance made by the Lenders on the Effective Date.</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means, as to each Lender, such Lender’s obligation to make Loans on the Effective Date in an amount up to, but not exceeding, the amount set forth for such Lender on Schedule I as such Lender’s “</w:t>
      </w:r>
      <w:r>
        <w:rPr>
          <w:rFonts w:ascii="Times New Roman" w:cs="Times New Roman" w:eastAsia="Times New Roman" w:hAnsi="Times New Roman"/>
          <w:sz w:val="20"/>
          <w:szCs w:val="20"/>
          <w:b w:val="1"/>
          <w:bCs w:val="1"/>
          <w:color w:val="auto"/>
        </w:rPr>
        <w:t>Commitment Amount</w:t>
      </w:r>
      <w:r>
        <w:rPr>
          <w:rFonts w:ascii="Times New Roman" w:cs="Times New Roman" w:eastAsia="Times New Roman" w:hAnsi="Times New Roman"/>
          <w:sz w:val="20"/>
          <w:szCs w:val="20"/>
          <w:color w:val="auto"/>
        </w:rPr>
        <w: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has the meaning given that term in Section 8.3.</w:t>
      </w:r>
    </w:p>
    <w:p>
      <w:pPr>
        <w:spacing w:after="0" w:line="16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Conforming Changes</w:t>
      </w:r>
      <w:r>
        <w:rPr>
          <w:rFonts w:ascii="Times New Roman" w:cs="Times New Roman" w:eastAsia="Times New Roman" w:hAnsi="Times New Roman"/>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“Base Rate,” the definition of “Business Day,” the definition of “U.S. Government Securities Business Day,” the definition of “Interest Period” or any similar or analogous definition (or the addition of a concept of “interest period”), timing and frequency of determining rates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making payments of interest, timing of borrowing requests or prepayment, conversion or continuation notices, the applicability and length of lookback periods, the applicability of Section 4.4. and other technical, administrative or operational matters) that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Agent decides (in consultation with the Borrower) may be appropriate to reflect the adoption and implementation of any such rate or to</w:t>
      </w:r>
    </w:p>
    <w:p>
      <w:pPr>
        <w:spacing w:after="0" w:line="204" w:lineRule="auto"/>
        <w:rPr>
          <w:sz w:val="20"/>
          <w:szCs w:val="20"/>
          <w:color w:val="auto"/>
        </w:rPr>
      </w:pPr>
      <w:r>
        <w:rPr>
          <w:rFonts w:ascii="Times New Roman" w:cs="Times New Roman" w:eastAsia="Times New Roman" w:hAnsi="Times New Roman"/>
          <w:sz w:val="20"/>
          <w:szCs w:val="20"/>
          <w:color w:val="auto"/>
        </w:rPr>
        <w:t>permit the use and administration thereof by the Administrative Agent in a manner substantially consistent with market practice (or, if the Administrative Agent decides that adoption of any portion of such market practice is not administratively feasible or if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Agent determines that no market practice for the administration of any such rate exists, in such other manner of administration as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decides (in consultation with the Borrower) is reasonably necessary in connection with the administration of this Agreement and the other Loan Documents).</w:t>
      </w:r>
    </w:p>
    <w:p>
      <w:pPr>
        <w:spacing w:after="0" w:line="14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44"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Continue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Continuation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Continued</w:t>
      </w:r>
      <w:r>
        <w:rPr>
          <w:rFonts w:ascii="Times New Roman" w:cs="Times New Roman" w:eastAsia="Times New Roman" w:hAnsi="Times New Roman"/>
          <w:sz w:val="20"/>
          <w:szCs w:val="20"/>
          <w:color w:val="auto"/>
        </w:rPr>
        <w:t>” each refers to the continuation of a SOFR Loan from one Interest Period to another Interest Period pursuant to Section 2.10.</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have meanings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correlative thereto.</w:t>
      </w:r>
    </w:p>
    <w:p>
      <w:pPr>
        <w:spacing w:after="0" w:line="13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Converted</w:t>
      </w:r>
      <w:r>
        <w:rPr>
          <w:rFonts w:ascii="Times New Roman" w:cs="Times New Roman" w:eastAsia="Times New Roman" w:hAnsi="Times New Roman"/>
          <w:sz w:val="20"/>
          <w:szCs w:val="20"/>
          <w:color w:val="auto"/>
        </w:rPr>
        <w:t>” each refers to the conversion of a Loan of one Type into a Loan of another Type pursuant to Section 2.11.</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Event</w:t>
      </w:r>
      <w:r>
        <w:rPr>
          <w:rFonts w:ascii="Times New Roman" w:cs="Times New Roman" w:eastAsia="Times New Roman" w:hAnsi="Times New Roman"/>
          <w:sz w:val="20"/>
          <w:szCs w:val="20"/>
          <w:color w:val="auto"/>
        </w:rPr>
        <w:t>” means the making (or deemed making) of a Loan.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Rating</w:t>
      </w:r>
      <w:r>
        <w:rPr>
          <w:rFonts w:ascii="Times New Roman" w:cs="Times New Roman" w:eastAsia="Times New Roman" w:hAnsi="Times New Roman"/>
          <w:sz w:val="20"/>
          <w:szCs w:val="20"/>
          <w:color w:val="auto"/>
        </w:rPr>
        <w:t>” means the rating assigned by a Rating Agency to the senior unsecured long term Indebtedness of a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Daily Simple SOFR</w:t>
      </w:r>
      <w:r>
        <w:rPr>
          <w:rFonts w:ascii="Times New Roman" w:cs="Times New Roman" w:eastAsia="Times New Roman" w:hAnsi="Times New Roman"/>
          <w:sz w:val="19"/>
          <w:szCs w:val="19"/>
          <w:color w:val="auto"/>
        </w:rPr>
        <w:t>” means, for any day (a “SOFR Rate Day”), a rate per annum equal to the greater of (a) SOFR for the day (such</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day, a “SOFR Determination Day”) that is five (5) U.S. Government Securities Business Days prior to (i) if such SOFR Rate Day is a U.S. Government Securities Business Day, such SOFR Rate Day or (ii) if such SOFR Rate Day is not a U.S. Government Securities Business Day,</w:t>
      </w:r>
    </w:p>
    <w:p>
      <w:pPr>
        <w:spacing w:after="0" w:line="211" w:lineRule="auto"/>
        <w:rPr>
          <w:sz w:val="20"/>
          <w:szCs w:val="20"/>
          <w:color w:val="auto"/>
        </w:rPr>
      </w:pPr>
      <w:r>
        <w:rPr>
          <w:rFonts w:ascii="Times New Roman" w:cs="Times New Roman" w:eastAsia="Times New Roman" w:hAnsi="Times New Roman"/>
          <w:sz w:val="20"/>
          <w:szCs w:val="20"/>
          <w:color w:val="auto"/>
        </w:rPr>
        <w:t>the U.S. Government Securities Business Day immediately preceding such SOFR Rate Day, in each case, as such SOFR is published by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SOFR Administrator on the SOFR Administrator’s Website; provided that if by 5:00 p.m. on the second (2nd) U.S. Government Securities Business Day immediately following any SOFR Determination Day, SOFR in respect of such SOFR Determination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- 7 -</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has not been published on the SOFR Administrator’s Website and a Benchmark Replacement Date with respect to Daily Simple SOFR has not occurred, then SOFR for such SOFR Determination Day will be SOFR as published in respect of the first preceding U.S. Government</w:t>
      </w:r>
    </w:p>
    <w:p>
      <w:pPr>
        <w:spacing w:after="0" w:line="212" w:lineRule="auto"/>
        <w:rPr>
          <w:sz w:val="20"/>
          <w:szCs w:val="20"/>
          <w:color w:val="auto"/>
        </w:rPr>
      </w:pPr>
      <w:r>
        <w:rPr>
          <w:rFonts w:ascii="Times New Roman" w:cs="Times New Roman" w:eastAsia="Times New Roman" w:hAnsi="Times New Roman"/>
          <w:sz w:val="20"/>
          <w:szCs w:val="20"/>
          <w:color w:val="auto"/>
        </w:rPr>
        <w:t>Securities Business Day for which such SOFR was published on the SOFR Administrator’s Website; provided further that SOFR as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determined pursuant to this proviso shall be utilized for purposes of calculation of Daily Simple SOFR for no more than three (3) consecutive SOFR Rate Days and (b) the Floor. Any change in Daily Simple SOFR due to a change in SOFR shall be effective from and including the</w:t>
      </w:r>
    </w:p>
    <w:p>
      <w:pPr>
        <w:spacing w:after="0"/>
        <w:rPr>
          <w:sz w:val="20"/>
          <w:szCs w:val="20"/>
          <w:color w:val="auto"/>
        </w:rPr>
      </w:pPr>
      <w:r>
        <w:rPr>
          <w:rFonts w:ascii="Times New Roman" w:cs="Times New Roman" w:eastAsia="Times New Roman" w:hAnsi="Times New Roman"/>
          <w:sz w:val="20"/>
          <w:szCs w:val="20"/>
          <w:color w:val="auto"/>
        </w:rPr>
        <w:t>effective date of such change in SOFR without notice to the Borrower.</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3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of the events specified in Section 10.1., whether or not there has been satisfied any requirement for the giving of notice, the lapse of time, or both.</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Defaulting Lender</w:t>
      </w:r>
      <w:r>
        <w:rPr>
          <w:rFonts w:ascii="Times New Roman" w:cs="Times New Roman" w:eastAsia="Times New Roman" w:hAnsi="Times New Roman"/>
          <w:sz w:val="19"/>
          <w:szCs w:val="19"/>
          <w:color w:val="auto"/>
        </w:rPr>
        <w:t>” means, subject to Section 3.9.(f), any Lender that (a) has failed to (i) fund all or any portion of its Loans within</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2 Business Days of the date such Loans were required to be funded hereunder unless such Lender notifies the Administrative Agent and the Borrower Representative in writing that such failure is the result of such Lender’s determination that one or more conditions precedent to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funding (each of which conditions precedent, together with any applicable default, shall be specifically identified in such writing) has not been satisfied, or (ii) pay to the Administrative Agent or any other Lender any other amount required to be paid by it hereunder within 2</w:t>
      </w:r>
    </w:p>
    <w:p>
      <w:pPr>
        <w:spacing w:after="0" w:line="211" w:lineRule="auto"/>
        <w:rPr>
          <w:sz w:val="20"/>
          <w:szCs w:val="20"/>
          <w:color w:val="auto"/>
        </w:rPr>
      </w:pPr>
      <w:r>
        <w:rPr>
          <w:rFonts w:ascii="Times New Roman" w:cs="Times New Roman" w:eastAsia="Times New Roman" w:hAnsi="Times New Roman"/>
          <w:sz w:val="20"/>
          <w:szCs w:val="20"/>
          <w:color w:val="auto"/>
        </w:rPr>
        <w:t>Business Days of the date when due, (b) has notified the Borrower Representative or the Administrative Agent in writing that it does not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intend to comply with its funding obligations hereunder, or has made a public statement to that effect (unless such writing or public statement relates to such Lender’s obligation to fund a Loan hereunder and states that such position is based on such Lender’s determination that a</w:t>
      </w:r>
    </w:p>
    <w:p>
      <w:pPr>
        <w:spacing w:after="0" w:line="211" w:lineRule="auto"/>
        <w:rPr>
          <w:sz w:val="20"/>
          <w:szCs w:val="20"/>
          <w:color w:val="auto"/>
        </w:rPr>
      </w:pPr>
      <w:r>
        <w:rPr>
          <w:rFonts w:ascii="Times New Roman" w:cs="Times New Roman" w:eastAsia="Times New Roman" w:hAnsi="Times New Roman"/>
          <w:sz w:val="20"/>
          <w:szCs w:val="20"/>
          <w:color w:val="auto"/>
        </w:rPr>
        <w:t>condition precedent to funding (which condition precedent, together with any applicable default, shall be specifically identified in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writing or public statement) cannot be satisfied), (c) has failed, within 3 Business Days after written request by the Administrative Agent or the Borrower Representative, to confirm in writing to the Administrative Agent and the Borrower Representative that it will comply with its</w:t>
      </w:r>
    </w:p>
    <w:p>
      <w:pPr>
        <w:spacing w:after="0" w:line="211" w:lineRule="auto"/>
        <w:rPr>
          <w:sz w:val="20"/>
          <w:szCs w:val="20"/>
          <w:color w:val="auto"/>
        </w:rPr>
      </w:pPr>
      <w:r>
        <w:rPr>
          <w:rFonts w:ascii="Times New Roman" w:cs="Times New Roman" w:eastAsia="Times New Roman" w:hAnsi="Times New Roman"/>
          <w:sz w:val="20"/>
          <w:szCs w:val="20"/>
          <w:color w:val="auto"/>
        </w:rPr>
        <w:t>prospective funding obligations hereunder (provided that such Lender shall cease to be a Defaulting Lender pursuant to this clause (c) upon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receipt of such written confirmation by the Administrative Agent and the Borrower Representative), or (d) has, or has a direct or indirect parent company that has, (i) become the subject of a proceeding under any Debtor Relief Law, (ii) had appointed for it a receiver, custodian,</w:t>
      </w:r>
    </w:p>
    <w:p>
      <w:pPr>
        <w:spacing w:after="0" w:line="211" w:lineRule="auto"/>
        <w:rPr>
          <w:sz w:val="20"/>
          <w:szCs w:val="20"/>
          <w:color w:val="auto"/>
        </w:rPr>
      </w:pPr>
      <w:r>
        <w:rPr>
          <w:rFonts w:ascii="Times New Roman" w:cs="Times New Roman" w:eastAsia="Times New Roman" w:hAnsi="Times New Roman"/>
          <w:sz w:val="20"/>
          <w:szCs w:val="20"/>
          <w:color w:val="auto"/>
        </w:rPr>
        <w:t>conservator, trustee, administrator, assignee for the benefit of creditors or similar Person charged with reorganization or liquidation of its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business or assets, including the Federal Deposit Insurance Corporation or any other state or federal regulatory authority acting in such a capacity, or (iii) become the subject of a Bail-In Action; provided that a Lender shall not be a Defaulting Lender solely by virtue of the</w:t>
      </w:r>
    </w:p>
    <w:p>
      <w:pPr>
        <w:spacing w:after="0" w:line="211" w:lineRule="auto"/>
        <w:rPr>
          <w:sz w:val="20"/>
          <w:szCs w:val="20"/>
          <w:color w:val="auto"/>
        </w:rPr>
      </w:pPr>
      <w:r>
        <w:rPr>
          <w:rFonts w:ascii="Times New Roman" w:cs="Times New Roman" w:eastAsia="Times New Roman" w:hAnsi="Times New Roman"/>
          <w:sz w:val="20"/>
          <w:szCs w:val="20"/>
          <w:color w:val="auto"/>
        </w:rPr>
        <w:t>ownership or acquisition of any equity interest in that Lender or any direct or indirect parent company thereof by a Governmental Authority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so long as such ownership interest does not result in or provide such Lender with immunity from the jurisdiction of courts within the United States of America or from the enforcement of judgments or writs of attachment on its assets or permit such Lender (or such Governmental</w:t>
      </w:r>
    </w:p>
    <w:p>
      <w:pPr>
        <w:spacing w:after="0" w:line="211" w:lineRule="auto"/>
        <w:rPr>
          <w:sz w:val="20"/>
          <w:szCs w:val="20"/>
          <w:color w:val="auto"/>
        </w:rPr>
      </w:pPr>
      <w:r>
        <w:rPr>
          <w:rFonts w:ascii="Times New Roman" w:cs="Times New Roman" w:eastAsia="Times New Roman" w:hAnsi="Times New Roman"/>
          <w:sz w:val="20"/>
          <w:szCs w:val="20"/>
          <w:color w:val="auto"/>
        </w:rPr>
        <w:t>Authority) to reject, repudiate, disavow or disaffirm any contracts or agreements made with such Lender. Any determination by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 that a Lender is a Defaulting Lender under any one or more of clauses (a) through (d) above shall be conclusive and binding absent manifest error, and such Lender shall be deemed to be a Defaulting Lender (subject to Section 3.9.(f)) upon delivery of written</w:t>
      </w:r>
    </w:p>
    <w:p>
      <w:pPr>
        <w:spacing w:after="0"/>
        <w:rPr>
          <w:sz w:val="20"/>
          <w:szCs w:val="20"/>
          <w:color w:val="auto"/>
        </w:rPr>
      </w:pPr>
      <w:r>
        <w:rPr>
          <w:rFonts w:ascii="Times New Roman" w:cs="Times New Roman" w:eastAsia="Times New Roman" w:hAnsi="Times New Roman"/>
          <w:sz w:val="20"/>
          <w:szCs w:val="20"/>
          <w:color w:val="auto"/>
        </w:rPr>
        <w:t>notice of such determination to the Borrower Representative and each Lender.</w:t>
      </w:r>
    </w:p>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Derivatives Contract</w:t>
      </w:r>
      <w:r>
        <w:rPr>
          <w:rFonts w:ascii="Times New Roman" w:cs="Times New Roman" w:eastAsia="Times New Roman" w:hAnsi="Times New Roman"/>
          <w:sz w:val="19"/>
          <w:szCs w:val="19"/>
          <w:color w:val="auto"/>
        </w:rPr>
        <w:t>” means (a) any transaction (including any master agreement, confirmation or other agreement with respect to any such transaction) now existing or hereafter entered into by any Borrower or any of its Subsidiaries (i) which is a rate swap transaction,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swap option, basis swap, forward rate transaction, commodity swap, commodity option, equity or equity index swap, equity or equity index option, bond option, interest rate option, foreign exchange transaction, cap transaction, floor transaction, collar transaction, currency swap</w:t>
      </w:r>
    </w:p>
    <w:p>
      <w:pPr>
        <w:spacing w:after="0" w:line="211" w:lineRule="auto"/>
        <w:rPr>
          <w:sz w:val="20"/>
          <w:szCs w:val="20"/>
          <w:color w:val="auto"/>
        </w:rPr>
      </w:pPr>
      <w:r>
        <w:rPr>
          <w:rFonts w:ascii="Times New Roman" w:cs="Times New Roman" w:eastAsia="Times New Roman" w:hAnsi="Times New Roman"/>
          <w:sz w:val="20"/>
          <w:szCs w:val="20"/>
          <w:color w:val="auto"/>
        </w:rPr>
        <w:t>transaction, cross-currency rate swap transaction, currency option, credit protection transaction, credit swap, credit default swap, credit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default option, total return swap, credit spread transaction, repurchase transaction, reverse repurchase transaction, buy/sell-back transaction, securities lending transaction, weather index transaction or forward purchase or sale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- 8 -</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security, commodity or other financial instrument or interest (including any option with respect to any of these transactions) or (ii) which is a type of transaction that is similar to any transaction referred to in clause (i) above that is currently, or in the future becomes, recurrently</w:t>
      </w:r>
    </w:p>
    <w:p>
      <w:pPr>
        <w:spacing w:after="0" w:line="212" w:lineRule="auto"/>
        <w:rPr>
          <w:sz w:val="20"/>
          <w:szCs w:val="20"/>
          <w:color w:val="auto"/>
        </w:rPr>
      </w:pPr>
      <w:r>
        <w:rPr>
          <w:rFonts w:ascii="Times New Roman" w:cs="Times New Roman" w:eastAsia="Times New Roman" w:hAnsi="Times New Roman"/>
          <w:sz w:val="20"/>
          <w:szCs w:val="20"/>
          <w:color w:val="auto"/>
        </w:rPr>
        <w:t>entered into in the financial markets (including terms and conditions incorporated by reference in such agreement) and which is a forward,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swap, future, option or other derivative on one or more rates, currencies, commodities, equity securities or other equity instruments, debt securities or other debt instruments, economic indices or measures of economic risk or value, or other benchmarks against which payments or</w:t>
      </w:r>
    </w:p>
    <w:p>
      <w:pPr>
        <w:spacing w:after="0"/>
        <w:rPr>
          <w:sz w:val="20"/>
          <w:szCs w:val="20"/>
          <w:color w:val="auto"/>
        </w:rPr>
      </w:pPr>
      <w:r>
        <w:rPr>
          <w:rFonts w:ascii="Times New Roman" w:cs="Times New Roman" w:eastAsia="Times New Roman" w:hAnsi="Times New Roman"/>
          <w:sz w:val="20"/>
          <w:szCs w:val="20"/>
          <w:color w:val="auto"/>
        </w:rPr>
        <w:t>deliveries are to be made, and (b) any combination of these transactions.</w:t>
      </w:r>
    </w:p>
    <w:p>
      <w:pPr>
        <w:spacing w:after="0" w:line="136"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Derivatives Support Document</w:t>
      </w:r>
      <w:r>
        <w:rPr>
          <w:rFonts w:ascii="Times New Roman" w:cs="Times New Roman" w:eastAsia="Times New Roman" w:hAnsi="Times New Roman"/>
          <w:sz w:val="20"/>
          <w:szCs w:val="20"/>
          <w:color w:val="auto"/>
        </w:rPr>
        <w:t>” means (i) any Credit Support Annex comprising part of (and as defined in) any Specified Derivatives Contract, and (ii) any document or agreement pursuant to which cash, deposit accounts, securities accounts or similar financial</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asset collateral are pledged to or made available for set-off by, a Specified Derivatives Provider, including any banker’s lien or similar right, securing or supporting Specified Derivatives Obligation.</w:t>
      </w:r>
    </w:p>
    <w:p>
      <w:pPr>
        <w:spacing w:after="0" w:line="14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Derivatives Termination Value</w:t>
      </w:r>
      <w:r>
        <w:rPr>
          <w:rFonts w:ascii="Times New Roman" w:cs="Times New Roman" w:eastAsia="Times New Roman" w:hAnsi="Times New Roman"/>
          <w:sz w:val="19"/>
          <w:szCs w:val="19"/>
          <w:color w:val="auto"/>
        </w:rPr>
        <w:t>” means, in respect of any one or more Derivatives Contracts, after taking into account the effect of any legally enforceable netting agreement or provision relating thereto, (a) for any date on or after the date such Derivatives Contracts have</w:t>
      </w:r>
    </w:p>
    <w:p>
      <w:pPr>
        <w:spacing w:after="0" w:line="211" w:lineRule="auto"/>
        <w:rPr>
          <w:sz w:val="20"/>
          <w:szCs w:val="20"/>
          <w:color w:val="auto"/>
        </w:rPr>
      </w:pPr>
      <w:r>
        <w:rPr>
          <w:rFonts w:ascii="Times New Roman" w:cs="Times New Roman" w:eastAsia="Times New Roman" w:hAnsi="Times New Roman"/>
          <w:sz w:val="20"/>
          <w:szCs w:val="20"/>
          <w:color w:val="auto"/>
        </w:rPr>
        <w:t>been terminated or closed out, the termination amount or value determined in accordance therewith, and (b) for any date prior to the date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such Derivatives Contracts have been terminated or closed out, the then-current mark-to-market value for such Derivatives Contracts, determined based upon one or more mid-market quotations or estimates provided by any recognized dealer in Derivatives Contracts (which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include the Administrative Agent, any Lender, any Specified Derivatives Provider or any Affiliate of any of them).</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 Property</w:t>
      </w:r>
      <w:r>
        <w:rPr>
          <w:rFonts w:ascii="Times New Roman" w:cs="Times New Roman" w:eastAsia="Times New Roman" w:hAnsi="Times New Roman"/>
          <w:sz w:val="20"/>
          <w:szCs w:val="20"/>
          <w:color w:val="auto"/>
        </w:rPr>
        <w:t>” means a Property currently under development that has not achieved an Occupancy Rate of 85.0% or</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more or, subject to the last sentence of this definition, on which the improvements (other than tenant improvements on unoccupied space) related to the development of such Property have not been completed. The term “Development Property” shall include real property of the</w:t>
      </w:r>
    </w:p>
    <w:p>
      <w:pPr>
        <w:spacing w:after="0" w:line="211" w:lineRule="auto"/>
        <w:rPr>
          <w:sz w:val="20"/>
          <w:szCs w:val="20"/>
          <w:color w:val="auto"/>
        </w:rPr>
      </w:pPr>
      <w:r>
        <w:rPr>
          <w:rFonts w:ascii="Times New Roman" w:cs="Times New Roman" w:eastAsia="Times New Roman" w:hAnsi="Times New Roman"/>
          <w:sz w:val="20"/>
          <w:szCs w:val="20"/>
          <w:color w:val="auto"/>
        </w:rPr>
        <w:t>type described in the immediately preceding sentence that satisfies both of the following conditions: (i) it is to be (but has not yet been)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acquired by a Borrower, any Subsidiary or any Unconsolidated Affiliate upon completion of construction pursuant to a contract in which the seller of such real property is required to develop or renovate prior to, and as a condition precedent to, such acquisition and (ii) a third party is</w:t>
      </w:r>
    </w:p>
    <w:p>
      <w:pPr>
        <w:spacing w:after="0" w:line="211" w:lineRule="auto"/>
        <w:rPr>
          <w:sz w:val="20"/>
          <w:szCs w:val="20"/>
          <w:color w:val="auto"/>
        </w:rPr>
      </w:pPr>
      <w:r>
        <w:rPr>
          <w:rFonts w:ascii="Times New Roman" w:cs="Times New Roman" w:eastAsia="Times New Roman" w:hAnsi="Times New Roman"/>
          <w:sz w:val="20"/>
          <w:szCs w:val="20"/>
          <w:color w:val="auto"/>
        </w:rPr>
        <w:t>developing such property using the proceeds of a loan that is Guaranteed by, or is otherwise recourse to a Borrower, any Subsidiary or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Unconsolidated Affiliate. A Development Property on which all improvements (other than tenant improvements on unoccupied space) related to the development of such Property have been completed for at least 12 months shall cease to constitute a Development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fact that such Property has not achieved an Occupancy Rate of at least 85.0%.</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Disbursement Instruction Agreement</w:t>
      </w:r>
      <w:r>
        <w:rPr>
          <w:rFonts w:ascii="Times New Roman" w:cs="Times New Roman" w:eastAsia="Times New Roman" w:hAnsi="Times New Roman"/>
          <w:sz w:val="20"/>
          <w:szCs w:val="20"/>
          <w:color w:val="auto"/>
        </w:rPr>
        <w:t>” means a form substantially in the form of Exhibit S to be delivered to the Administrative Agent pursuant to Section 5.1.(a), as the same may be amended, restated or modified from time to time with the prior written approval of the Administrative Agent.</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lawful currency of the United States of America.</w:t>
      </w:r>
    </w:p>
    <w:p>
      <w:pPr>
        <w:spacing w:after="0" w:line="16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- 9 -</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EAT</w:t>
      </w:r>
      <w:r>
        <w:rPr>
          <w:rFonts w:ascii="Times New Roman" w:cs="Times New Roman" w:eastAsia="Times New Roman" w:hAnsi="Times New Roman"/>
          <w:sz w:val="20"/>
          <w:szCs w:val="20"/>
          <w:color w:val="auto"/>
        </w:rPr>
        <w:t>” has the meaning given that term in the definition of 1031 Property.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w:t>
      </w:r>
      <w:r>
        <w:rPr>
          <w:rFonts w:ascii="Times New Roman" w:cs="Times New Roman" w:eastAsia="Times New Roman" w:hAnsi="Times New Roman"/>
          <w:sz w:val="20"/>
          <w:szCs w:val="20"/>
          <w:color w:val="auto"/>
        </w:rPr>
        <w:t>” means, with respect to a Person for any period and without duplication, the sum of net income (loss) of such Person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(including, when calculating EBITDA with respect to the Parent and its Subsidiaries, net income of SUMMIT One Vanderbilt Operator </w:t>
      </w:r>
      <w:r>
        <w:rPr>
          <w:rFonts w:ascii="Times New Roman" w:cs="Times New Roman" w:eastAsia="Times New Roman" w:hAnsi="Times New Roman"/>
          <w:sz w:val="19"/>
          <w:szCs w:val="19"/>
          <w:color w:val="0101FF"/>
        </w:rPr>
        <w:t>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101FF"/>
        </w:rPr>
        <w:t>SEV Operator</w:t>
      </w:r>
      <w:r>
        <w:rPr>
          <w:rFonts w:ascii="Times New Roman" w:cs="Times New Roman" w:eastAsia="Times New Roman" w:hAnsi="Times New Roman"/>
          <w:sz w:val="19"/>
          <w:szCs w:val="19"/>
          <w:color w:val="000000"/>
        </w:rPr>
        <w:t>) for such period determined on a consolidated basis excluding the following (but only to the extent included in determining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6911975</wp:posOffset>
            </wp:positionH>
            <wp:positionV relativeFrom="paragraph">
              <wp:posOffset>-127635</wp:posOffset>
            </wp:positionV>
            <wp:extent cx="220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9"/>
          <w:szCs w:val="19"/>
          <w:color w:val="auto"/>
        </w:rPr>
        <w:t>income (loss) for such period): (i) depreciation and amortization expense; (ii) interest expense; (iii) income tax expense; (iv) extraordinary or nonrecurring items, including without limitation, gains and losses from the sale of Properties or other investments; (v) non-cash items; and</w:t>
      </w:r>
    </w:p>
    <w:p>
      <w:pPr>
        <w:jc w:val="both"/>
        <w:ind w:firstLine="8"/>
        <w:spacing w:after="0" w:line="216" w:lineRule="auto"/>
        <w:tabs>
          <w:tab w:leader="none" w:pos="36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 net income (loss) of its Unconsolidated Affiliates. For purposes of this definition, nonrecurring items shall be deemed to include (x) gains and losses on early extinguishment of Indebtedness, (y) severance and other restructuring charges and (z) transaction costs of acquisitions</w:t>
      </w:r>
      <w:r>
        <w:rPr>
          <w:rFonts w:ascii="Times New Roman" w:cs="Times New Roman" w:eastAsia="Times New Roman" w:hAnsi="Times New Roman"/>
          <w:sz w:val="20"/>
          <w:szCs w:val="20"/>
          <w:u w:val="single" w:color="auto"/>
          <w:color w:val="0101FF"/>
        </w:rPr>
        <w:t>, dispositions, investments, or debt or equity financings (whether or not consummated)</w:t>
      </w:r>
      <w:r>
        <w:rPr>
          <w:rFonts w:ascii="Times New Roman" w:cs="Times New Roman" w:eastAsia="Times New Roman" w:hAnsi="Times New Roman"/>
          <w:sz w:val="20"/>
          <w:szCs w:val="20"/>
          <w:color w:val="auto"/>
        </w:rPr>
        <w:t xml:space="preserve"> not permitted to be capitalized pursuant to GAAP.</w:t>
      </w:r>
    </w:p>
    <w:p>
      <w:pPr>
        <w:spacing w:after="0" w:line="14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the later of (a) the Agreement Date and (b) the date on which all of the conditions precedent set forth in Section 5.1. shall have been fulfilled or waived by all of the Lenders.</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1031 Property</w:t>
      </w:r>
      <w:r>
        <w:rPr>
          <w:rFonts w:ascii="Times New Roman" w:cs="Times New Roman" w:eastAsia="Times New Roman" w:hAnsi="Times New Roman"/>
          <w:sz w:val="20"/>
          <w:szCs w:val="20"/>
          <w:color w:val="auto"/>
        </w:rPr>
        <w:t>” means a 1031 Property which satisfies all of the following requirements: (a) such 1031 Property is fully developed as an office, retail or multifamily property; (b) a Borrower, any Subsidiary or any Unconsolidated Affiliate leases such 1031</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Property from the applicable QI or EAT (or Wholly Owned Subsidiary(ies) thereof, as applicable) and a Borrower, any Subsidiary or any Unconsolidated Affiliate manages such 1031 Property; (c) a Borrower, any Subsidiary or any Unconsolidated Affiliate is obligated to</w:t>
      </w:r>
    </w:p>
    <w:p>
      <w:pPr>
        <w:spacing w:after="0" w:line="211" w:lineRule="auto"/>
        <w:rPr>
          <w:sz w:val="20"/>
          <w:szCs w:val="20"/>
          <w:color w:val="auto"/>
        </w:rPr>
      </w:pPr>
      <w:r>
        <w:rPr>
          <w:rFonts w:ascii="Times New Roman" w:cs="Times New Roman" w:eastAsia="Times New Roman" w:hAnsi="Times New Roman"/>
          <w:sz w:val="20"/>
          <w:szCs w:val="20"/>
          <w:color w:val="auto"/>
        </w:rPr>
        <w:t>purchase such 1031 Property (or Wholly Owned Subsidiary(ies) of the applicable QI or EAT that owns such 1031 Property) from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applicable QI or EAT and the applicable QI or EAT is obligated to sell such 1031 Property (or Wholly Owned Subsidiary(ies) thereof that owns such 1031 Property, as applicable) to a Borrower, any Subsidiary or any Unconsolidated Affiliate; provided, however that in the case of</w:t>
      </w:r>
    </w:p>
    <w:p>
      <w:pPr>
        <w:spacing w:after="0" w:line="211" w:lineRule="auto"/>
        <w:rPr>
          <w:sz w:val="20"/>
          <w:szCs w:val="20"/>
          <w:color w:val="auto"/>
        </w:rPr>
      </w:pPr>
      <w:r>
        <w:rPr>
          <w:rFonts w:ascii="Times New Roman" w:cs="Times New Roman" w:eastAsia="Times New Roman" w:hAnsi="Times New Roman"/>
          <w:sz w:val="20"/>
          <w:szCs w:val="20"/>
          <w:color w:val="auto"/>
        </w:rPr>
        <w:t>a disposition of a 1031 Property by a Borrower, any Subsidiary or any Unconsolidated Affiliate (a “</w:t>
      </w:r>
      <w:r>
        <w:rPr>
          <w:rFonts w:ascii="Times New Roman" w:cs="Times New Roman" w:eastAsia="Times New Roman" w:hAnsi="Times New Roman"/>
          <w:sz w:val="20"/>
          <w:szCs w:val="20"/>
          <w:b w:val="1"/>
          <w:bCs w:val="1"/>
          <w:color w:val="auto"/>
        </w:rPr>
        <w:t>Relinquished Property</w:t>
      </w:r>
      <w:r>
        <w:rPr>
          <w:rFonts w:ascii="Times New Roman" w:cs="Times New Roman" w:eastAsia="Times New Roman" w:hAnsi="Times New Roman"/>
          <w:sz w:val="20"/>
          <w:szCs w:val="20"/>
          <w:color w:val="auto"/>
        </w:rPr>
        <w:t>”), a Borrower,</w:t>
      </w:r>
    </w:p>
    <w:p>
      <w:pPr>
        <w:spacing w:after="0" w:line="204" w:lineRule="auto"/>
        <w:rPr>
          <w:sz w:val="20"/>
          <w:szCs w:val="20"/>
          <w:color w:val="auto"/>
        </w:rPr>
      </w:pPr>
      <w:r>
        <w:rPr>
          <w:rFonts w:ascii="Times New Roman" w:cs="Times New Roman" w:eastAsia="Times New Roman" w:hAnsi="Times New Roman"/>
          <w:sz w:val="20"/>
          <w:szCs w:val="20"/>
          <w:color w:val="auto"/>
        </w:rPr>
        <w:t>any Subsidiary or any Unconsolidated Affiliate shall not be obligated to repurchase such 1031 Property (or Wholly Owned Subsidiary(ies) thereof that owns such 1031 Property, as applicable) from the applicable QI or EAT (or Wholly Owned Subsidiary(ies) thereof that owns</w:t>
      </w:r>
    </w:p>
    <w:p>
      <w:pPr>
        <w:spacing w:after="0" w:line="223" w:lineRule="auto"/>
        <w:rPr>
          <w:sz w:val="20"/>
          <w:szCs w:val="20"/>
          <w:color w:val="auto"/>
        </w:rPr>
      </w:pPr>
      <w:r>
        <w:rPr>
          <w:rFonts w:ascii="Times New Roman" w:cs="Times New Roman" w:eastAsia="Times New Roman" w:hAnsi="Times New Roman"/>
          <w:sz w:val="19"/>
          <w:szCs w:val="19"/>
          <w:color w:val="auto"/>
        </w:rPr>
        <w:t>such 1031 Property, as applicable) and the applicable QI or EAT (or Wholly Owned Subsidiary(ies) thereof that owns such 1031 Property, as</w:t>
      </w:r>
    </w:p>
    <w:p>
      <w:pPr>
        <w:jc w:val="both"/>
        <w:spacing w:after="0" w:line="204" w:lineRule="auto"/>
        <w:rPr>
          <w:sz w:val="20"/>
          <w:szCs w:val="20"/>
          <w:color w:val="auto"/>
        </w:rPr>
      </w:pPr>
      <w:r>
        <w:rPr>
          <w:rFonts w:ascii="Times New Roman" w:cs="Times New Roman" w:eastAsia="Times New Roman" w:hAnsi="Times New Roman"/>
          <w:sz w:val="20"/>
          <w:szCs w:val="20"/>
          <w:color w:val="auto"/>
        </w:rPr>
        <w:t>applicable) shall not be obligated to resell such 1031 Property (or Wholly Owned Subsidiary(ies) thereof that owns such 1031 Property, as applicable) to a Borrower, any Subsidiary or any Unconsolidated Affiliate unless such 1031 Property (or Wholly Owned Subsidiary(ies)</w:t>
      </w:r>
    </w:p>
    <w:p>
      <w:pPr>
        <w:spacing w:after="0" w:line="211" w:lineRule="auto"/>
        <w:rPr>
          <w:sz w:val="20"/>
          <w:szCs w:val="20"/>
          <w:color w:val="auto"/>
        </w:rPr>
      </w:pPr>
      <w:r>
        <w:rPr>
          <w:rFonts w:ascii="Times New Roman" w:cs="Times New Roman" w:eastAsia="Times New Roman" w:hAnsi="Times New Roman"/>
          <w:sz w:val="20"/>
          <w:szCs w:val="20"/>
          <w:color w:val="auto"/>
        </w:rPr>
        <w:t>thereof that owns such 1031 Property, as applicable) is not transferred or assigned, within 180 days of its acquisition by the applicable QI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EAT (or Wholly Owned Subsidiary(ies) thereof that owns such 1031 Property, as applicable), to a Person other than a Borrower, any Subsidiary or any Unconsolidated Affiliate; (d) the applicable QI or EAT (or Wholly Owned Subsidiary(ies) thereof that owns such 1031</w:t>
      </w:r>
    </w:p>
    <w:p>
      <w:pPr>
        <w:spacing w:after="0" w:line="223" w:lineRule="auto"/>
        <w:rPr>
          <w:sz w:val="20"/>
          <w:szCs w:val="20"/>
          <w:color w:val="auto"/>
        </w:rPr>
      </w:pPr>
      <w:r>
        <w:rPr>
          <w:rFonts w:ascii="Times New Roman" w:cs="Times New Roman" w:eastAsia="Times New Roman" w:hAnsi="Times New Roman"/>
          <w:sz w:val="19"/>
          <w:szCs w:val="19"/>
          <w:color w:val="auto"/>
        </w:rPr>
        <w:t>Property, as applicable) acquired such 1031 Property with the proceeds of a loan made by a Borrower, any Subsidiary or any Unconsolidated</w:t>
      </w:r>
    </w:p>
    <w:p>
      <w:pPr>
        <w:ind w:right="20"/>
        <w:spacing w:after="0" w:line="204" w:lineRule="auto"/>
        <w:rPr>
          <w:sz w:val="20"/>
          <w:szCs w:val="20"/>
          <w:color w:val="auto"/>
        </w:rPr>
      </w:pPr>
      <w:r>
        <w:rPr>
          <w:rFonts w:ascii="Times New Roman" w:cs="Times New Roman" w:eastAsia="Times New Roman" w:hAnsi="Times New Roman"/>
          <w:sz w:val="20"/>
          <w:szCs w:val="20"/>
          <w:color w:val="auto"/>
        </w:rPr>
        <w:t>Affiliate, which loan is secured either by a Mortgage on such 1031 Property or a pledge of all of the Equity Interests of the applicable QI or EAT (or Wholly Owned Subsidiary(ies) thereof that owns such 1031 Property, as applicable); (e) neither such 1031 Property, nor, if such</w:t>
      </w:r>
    </w:p>
    <w:p>
      <w:pPr>
        <w:spacing w:after="0" w:line="211" w:lineRule="auto"/>
        <w:rPr>
          <w:sz w:val="20"/>
          <w:szCs w:val="20"/>
          <w:color w:val="auto"/>
        </w:rPr>
      </w:pPr>
      <w:r>
        <w:rPr>
          <w:rFonts w:ascii="Times New Roman" w:cs="Times New Roman" w:eastAsia="Times New Roman" w:hAnsi="Times New Roman"/>
          <w:sz w:val="20"/>
          <w:szCs w:val="20"/>
          <w:color w:val="auto"/>
        </w:rPr>
        <w:t>1031 Property is owned or leased by a Subsidiary or Unconsolidated Affiliate, any of a Borrower’s direct or indirect ownership interest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Subsidiary or any Unconsolidated Affiliate therein, is subject to any Lien (other than (i) Permitted Liens and (ii) the Lien of a Mortgage or pledge referred to in the immediately preceding clause (d)) or a Negative Pledge; and (f) such 1031 Property is free of all structural defects</w:t>
      </w:r>
    </w:p>
    <w:p>
      <w:pPr>
        <w:spacing w:after="0" w:line="222" w:lineRule="auto"/>
        <w:rPr>
          <w:sz w:val="20"/>
          <w:szCs w:val="20"/>
          <w:color w:val="auto"/>
        </w:rPr>
      </w:pPr>
      <w:r>
        <w:rPr>
          <w:rFonts w:ascii="Times New Roman" w:cs="Times New Roman" w:eastAsia="Times New Roman" w:hAnsi="Times New Roman"/>
          <w:sz w:val="19"/>
          <w:szCs w:val="19"/>
          <w:color w:val="auto"/>
        </w:rPr>
        <w:t>or major architectural deficiencies, title defects, environmental conditions or other adverse matters except for defects, deficiencies, conditions</w:t>
      </w:r>
    </w:p>
    <w:p>
      <w:pPr>
        <w:jc w:val="both"/>
        <w:spacing w:after="0" w:line="215" w:lineRule="auto"/>
        <w:rPr>
          <w:sz w:val="20"/>
          <w:szCs w:val="20"/>
          <w:color w:val="auto"/>
        </w:rPr>
      </w:pPr>
      <w:r>
        <w:rPr>
          <w:rFonts w:ascii="Times New Roman" w:cs="Times New Roman" w:eastAsia="Times New Roman" w:hAnsi="Times New Roman"/>
          <w:sz w:val="19"/>
          <w:szCs w:val="19"/>
          <w:color w:val="auto"/>
        </w:rPr>
        <w:t>or other matters individually or collectively which are not material to the profitable operation of such 1031 Property. In no event shall a 1031 Property qualify as an Eligible 1031 Property for a period in excess of 180 consecutive days. For purposes of determining Total Asset Value,</w:t>
      </w:r>
    </w:p>
    <w:p>
      <w:pPr>
        <w:spacing w:after="0" w:line="211" w:lineRule="auto"/>
        <w:rPr>
          <w:sz w:val="20"/>
          <w:szCs w:val="20"/>
          <w:color w:val="auto"/>
        </w:rPr>
      </w:pPr>
      <w:r>
        <w:rPr>
          <w:rFonts w:ascii="Times New Roman" w:cs="Times New Roman" w:eastAsia="Times New Roman" w:hAnsi="Times New Roman"/>
          <w:sz w:val="20"/>
          <w:szCs w:val="20"/>
          <w:color w:val="auto"/>
        </w:rPr>
        <w:t>such 1031 Property shall be deemed to have been owned or leased by any applicable Borrower, any Subsidiary or any Unconsolidated</w:t>
      </w:r>
    </w:p>
    <w:p>
      <w:pPr>
        <w:ind w:right="20"/>
        <w:spacing w:after="0" w:line="221" w:lineRule="auto"/>
        <w:rPr>
          <w:sz w:val="20"/>
          <w:szCs w:val="20"/>
          <w:color w:val="auto"/>
        </w:rPr>
      </w:pPr>
      <w:r>
        <w:rPr>
          <w:rFonts w:ascii="Times New Roman" w:cs="Times New Roman" w:eastAsia="Times New Roman" w:hAnsi="Times New Roman"/>
          <w:sz w:val="20"/>
          <w:szCs w:val="20"/>
          <w:color w:val="auto"/>
        </w:rPr>
        <w:t>Affiliate from the date acquired by the applicable QI or EAT (or Wholly Owned Subsidiary(ies) thereof that owns such 1031 Property, as applicable).</w:t>
      </w:r>
    </w:p>
    <w:p>
      <w:pPr>
        <w:spacing w:after="0" w:line="1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means (a) a Lender, (b) an Affiliate of a Lender, (c) an Approved Fund and (d) any other Person (other than a natural person or holding company, investment vehicle or trust for, or owned and operated for the primary benefit of a natural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approved by the Administrative Agent (such approval not to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- 10 -</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Property</w:t>
      </w:r>
      <w:r>
        <w:rPr>
          <w:rFonts w:ascii="Times New Roman" w:cs="Times New Roman" w:eastAsia="Times New Roman" w:hAnsi="Times New Roman"/>
          <w:sz w:val="20"/>
          <w:szCs w:val="20"/>
          <w:color w:val="auto"/>
        </w:rPr>
        <w:t>” means a Property which satisfies all of the following requirements: (a) such Property is fully developed as an office, retail or multifamily Property; (b) such Property is owned in fee simple, or leased under a Ground Lease, by a Borrower, any</w:t>
      </w:r>
    </w:p>
    <w:p>
      <w:pPr>
        <w:spacing w:after="0" w:line="213" w:lineRule="auto"/>
        <w:rPr>
          <w:sz w:val="20"/>
          <w:szCs w:val="20"/>
          <w:color w:val="auto"/>
        </w:rPr>
      </w:pPr>
      <w:r>
        <w:rPr>
          <w:rFonts w:ascii="Times New Roman" w:cs="Times New Roman" w:eastAsia="Times New Roman" w:hAnsi="Times New Roman"/>
          <w:sz w:val="20"/>
          <w:szCs w:val="20"/>
          <w:color w:val="auto"/>
        </w:rPr>
        <w:t>Subsidiary or any Unconsolidated Affiliate; (c) such Property is located in a State of the United States of America or in the District of</w:t>
      </w:r>
    </w:p>
    <w:p>
      <w:pPr>
        <w:spacing w:after="0" w:line="215" w:lineRule="auto"/>
        <w:rPr>
          <w:sz w:val="20"/>
          <w:szCs w:val="20"/>
          <w:color w:val="auto"/>
        </w:rPr>
      </w:pPr>
      <w:r>
        <w:rPr>
          <w:rFonts w:ascii="Times New Roman" w:cs="Times New Roman" w:eastAsia="Times New Roman" w:hAnsi="Times New Roman"/>
          <w:sz w:val="19"/>
          <w:szCs w:val="19"/>
          <w:color w:val="auto"/>
        </w:rPr>
        <w:t>Columbia; (d) neither such Property, nor, if such Property is owned or leased by a Subsidiary or Unconsolidated Affiliate, any of a Borrower’s direct or indirect ownership interest in such Subsidiary or Unconsolidated Affiliate, is subject to (i) any Lien other than Permitted</w:t>
      </w:r>
    </w:p>
    <w:p>
      <w:pPr>
        <w:spacing w:after="0" w:line="211" w:lineRule="auto"/>
        <w:rPr>
          <w:sz w:val="20"/>
          <w:szCs w:val="20"/>
          <w:color w:val="auto"/>
        </w:rPr>
      </w:pPr>
      <w:r>
        <w:rPr>
          <w:rFonts w:ascii="Times New Roman" w:cs="Times New Roman" w:eastAsia="Times New Roman" w:hAnsi="Times New Roman"/>
          <w:sz w:val="20"/>
          <w:szCs w:val="20"/>
          <w:color w:val="auto"/>
        </w:rPr>
        <w:t>Liens or (ii) any Negative Pledge; (e) regardless of whether such Property is owned or leased by a Borrower, any Subsidiary or any</w:t>
      </w:r>
    </w:p>
    <w:p>
      <w:pPr>
        <w:spacing w:after="0" w:line="204" w:lineRule="auto"/>
        <w:rPr>
          <w:sz w:val="20"/>
          <w:szCs w:val="20"/>
          <w:color w:val="auto"/>
        </w:rPr>
      </w:pPr>
      <w:r>
        <w:rPr>
          <w:rFonts w:ascii="Times New Roman" w:cs="Times New Roman" w:eastAsia="Times New Roman" w:hAnsi="Times New Roman"/>
          <w:sz w:val="20"/>
          <w:szCs w:val="20"/>
          <w:color w:val="auto"/>
        </w:rPr>
        <w:t>Unconsolidated Affiliate, a Borrower has the right directly, or indirectly through a Subsidiary or an Unconsolidated Affiliate, to take the following actions without the need to obtain the consent of any Person: (i) to create Liens on such Property as security for Indebtedness of</w:t>
      </w:r>
    </w:p>
    <w:p>
      <w:pPr>
        <w:spacing w:after="0" w:line="223" w:lineRule="auto"/>
        <w:rPr>
          <w:sz w:val="20"/>
          <w:szCs w:val="20"/>
          <w:color w:val="auto"/>
        </w:rPr>
      </w:pPr>
      <w:r>
        <w:rPr>
          <w:rFonts w:ascii="Times New Roman" w:cs="Times New Roman" w:eastAsia="Times New Roman" w:hAnsi="Times New Roman"/>
          <w:sz w:val="19"/>
          <w:szCs w:val="19"/>
          <w:color w:val="auto"/>
        </w:rPr>
        <w:t>such Borrower, such Subsidiary or such Unconsolidated Affiliate, as applicable, and (ii) to sell, transfer or otherwise dispose of such Property</w:t>
      </w:r>
    </w:p>
    <w:p>
      <w:pPr>
        <w:spacing w:after="0" w:line="204" w:lineRule="auto"/>
        <w:rPr>
          <w:sz w:val="20"/>
          <w:szCs w:val="20"/>
          <w:color w:val="auto"/>
        </w:rPr>
      </w:pPr>
      <w:r>
        <w:rPr>
          <w:rFonts w:ascii="Times New Roman" w:cs="Times New Roman" w:eastAsia="Times New Roman" w:hAnsi="Times New Roman"/>
          <w:sz w:val="20"/>
          <w:szCs w:val="20"/>
          <w:color w:val="auto"/>
        </w:rPr>
        <w:t>and (f) such Property is free of all structural defects or major architectural deficiencies, title defects, environmental conditions or other adverse matters except for defects, deficiencies, conditions or other matters individually or collectively which are not material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profitable operation of such Property. An Eligible 1031 Property shall also constitute an Eligible Property.</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Applicable Law relating to environmental protection or the manufacture, storage, remediation, disposal or clean-up of Hazardous Materials including, without limitation, the following: Clean Air Act, 42 U.S.C. § 7401 et seq.; Federal</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Water Pollution Control Act, 33 U.S.C. § 1251 et seq.; Solid Waste Disposal Act, as amended by the Resource Conservation and Recovery Act, 42 U.S.C. § 6901 et seq.; Comprehensive Environmental Response, Compensation and Liability Act, 42 U.S.C. § 9601 et seq.; National</w:t>
      </w:r>
    </w:p>
    <w:p>
      <w:pPr>
        <w:spacing w:after="0" w:line="215" w:lineRule="auto"/>
        <w:rPr>
          <w:sz w:val="20"/>
          <w:szCs w:val="20"/>
          <w:color w:val="auto"/>
        </w:rPr>
      </w:pPr>
      <w:r>
        <w:rPr>
          <w:rFonts w:ascii="Times New Roman" w:cs="Times New Roman" w:eastAsia="Times New Roman" w:hAnsi="Times New Roman"/>
          <w:sz w:val="19"/>
          <w:szCs w:val="19"/>
          <w:color w:val="auto"/>
        </w:rPr>
        <w:t>Environmental Policy Act, 42 U.S.C. § 4321 et seq.; regulations of the Environmental Protection Agency, any applicable rule of common law and any judicial interpretation thereof relating primarily to the environment or Hazardous Materials, and any analogous or comparable state</w:t>
      </w:r>
    </w:p>
    <w:p>
      <w:pPr>
        <w:spacing w:after="0"/>
        <w:rPr>
          <w:sz w:val="20"/>
          <w:szCs w:val="20"/>
          <w:color w:val="auto"/>
        </w:rPr>
      </w:pPr>
      <w:r>
        <w:rPr>
          <w:rFonts w:ascii="Times New Roman" w:cs="Times New Roman" w:eastAsia="Times New Roman" w:hAnsi="Times New Roman"/>
          <w:sz w:val="20"/>
          <w:szCs w:val="20"/>
          <w:color w:val="auto"/>
        </w:rPr>
        <w:t>or local laws, regulations or ordinances that concern Hazardous Materials or protection of the environment.</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w:t>
      </w:r>
      <w:r>
        <w:rPr>
          <w:rFonts w:ascii="Times New Roman" w:cs="Times New Roman" w:eastAsia="Times New Roman" w:hAnsi="Times New Roman"/>
          <w:sz w:val="20"/>
          <w:szCs w:val="20"/>
          <w:color w:val="auto"/>
        </w:rPr>
        <w:t>” means, with respect to any Person, any share of capital stock of (or other ownership or profit interests in) such Person, any warrant, option or other right for the purchase or other acquisition from such Person of any share of capital stock of (or other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w:t>
      </w:r>
    </w:p>
    <w:p>
      <w:pPr>
        <w:spacing w:after="0" w:line="211" w:lineRule="auto"/>
        <w:rPr>
          <w:sz w:val="20"/>
          <w:szCs w:val="20"/>
          <w:color w:val="auto"/>
        </w:rPr>
      </w:pPr>
      <w:r>
        <w:rPr>
          <w:rFonts w:ascii="Times New Roman" w:cs="Times New Roman" w:eastAsia="Times New Roman" w:hAnsi="Times New Roman"/>
          <w:sz w:val="20"/>
          <w:szCs w:val="20"/>
          <w:color w:val="auto"/>
        </w:rPr>
        <w:t>Person of such shares (or such other interests), and any other ownership or profit interest in such Person (including, without limitation,</w:t>
      </w:r>
    </w:p>
    <w:p>
      <w:pPr>
        <w:spacing w:after="0" w:line="221" w:lineRule="auto"/>
        <w:rPr>
          <w:sz w:val="20"/>
          <w:szCs w:val="20"/>
          <w:color w:val="auto"/>
        </w:rPr>
      </w:pPr>
      <w:r>
        <w:rPr>
          <w:rFonts w:ascii="Times New Roman" w:cs="Times New Roman" w:eastAsia="Times New Roman" w:hAnsi="Times New Roman"/>
          <w:sz w:val="20"/>
          <w:szCs w:val="20"/>
          <w:color w:val="auto"/>
        </w:rPr>
        <w:t>partnership, member or trust interests therein), whether voting or nonvoting, and whether or not such share, warrant, option, right or other interest is authorized or otherwise existing on any date of determination.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in effect from time to time.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Event</w:t>
      </w:r>
      <w:r>
        <w:rPr>
          <w:rFonts w:ascii="Times New Roman" w:cs="Times New Roman" w:eastAsia="Times New Roman" w:hAnsi="Times New Roman"/>
          <w:sz w:val="20"/>
          <w:szCs w:val="20"/>
          <w:color w:val="auto"/>
        </w:rPr>
        <w:t>” means, with respect to the ERISA Group, (a) any “reportable event” as defined in Section 4043 of ERISA with</w:t>
      </w:r>
    </w:p>
    <w:p>
      <w:pPr>
        <w:spacing w:after="0" w:line="215" w:lineRule="auto"/>
        <w:rPr>
          <w:sz w:val="20"/>
          <w:szCs w:val="20"/>
          <w:color w:val="auto"/>
        </w:rPr>
      </w:pPr>
      <w:r>
        <w:rPr>
          <w:rFonts w:ascii="Times New Roman" w:cs="Times New Roman" w:eastAsia="Times New Roman" w:hAnsi="Times New Roman"/>
          <w:sz w:val="19"/>
          <w:szCs w:val="19"/>
          <w:color w:val="auto"/>
        </w:rPr>
        <w:t>respect to a Plan (other than an event for which the 30-day notice period is waived); (b) the withdrawal of a member of the ERISA Group from a Plan subject to Section 4063 of ERISA during a plan year in which it was a “substantial employer” as defined in Section 4001(a)(2) of</w:t>
      </w:r>
    </w:p>
    <w:p>
      <w:pPr>
        <w:spacing w:after="0" w:line="211" w:lineRule="auto"/>
        <w:rPr>
          <w:sz w:val="20"/>
          <w:szCs w:val="20"/>
          <w:color w:val="auto"/>
        </w:rPr>
      </w:pPr>
      <w:r>
        <w:rPr>
          <w:rFonts w:ascii="Times New Roman" w:cs="Times New Roman" w:eastAsia="Times New Roman" w:hAnsi="Times New Roman"/>
          <w:sz w:val="20"/>
          <w:szCs w:val="20"/>
          <w:color w:val="auto"/>
        </w:rPr>
        <w:t>ERISA or a cessation of operations that is treated as such a withdrawal under Section 4062(e) of ERISA; (c) the incurrence by a member of</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ERISA Group of any liability with respect to the withdrawal or partial withdrawal from any Multiemployer Plan; (d) the incurrence by any member of the ERISA Group of any liability under Title IV of ERISA with respect to the termination of any Plan or Multiemployer Plan;</w:t>
      </w:r>
    </w:p>
    <w:p>
      <w:pPr>
        <w:jc w:val="both"/>
        <w:ind w:firstLine="8"/>
        <w:spacing w:after="0" w:line="212" w:lineRule="auto"/>
        <w:tabs>
          <w:tab w:leader="none" w:pos="27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1"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6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4245 of ERISA), in reorganization (within the meaning of Section 4241 of ERISA), or in “critical” status (within the meaning of Section 432 of the Internal Revenue Code or Section 305 of ERISA); (i) the imposition of any liability under Title IV of ERISA, other than for PBGC</w:t>
      </w:r>
    </w:p>
    <w:p>
      <w:pPr>
        <w:spacing w:after="0" w:line="211" w:lineRule="auto"/>
        <w:rPr>
          <w:sz w:val="20"/>
          <w:szCs w:val="20"/>
          <w:color w:val="auto"/>
        </w:rPr>
      </w:pPr>
      <w:r>
        <w:rPr>
          <w:rFonts w:ascii="Times New Roman" w:cs="Times New Roman" w:eastAsia="Times New Roman" w:hAnsi="Times New Roman"/>
          <w:sz w:val="20"/>
          <w:szCs w:val="20"/>
          <w:color w:val="auto"/>
        </w:rPr>
        <w:t>premiums due but not delinquent under Section 4007 of ERISA, upon any member of the ERISA Group or the imposition of any Lien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favor of the PBGC under Title IV of ERISA; or (j) a determination that a Plan is, or is reasonably expected to be, in “at risk” status (within the meaning of Section 430 of the Internal Revenue Code or Section 303 of ERISA).</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Group</w:t>
      </w:r>
      <w:r>
        <w:rPr>
          <w:rFonts w:ascii="Times New Roman" w:cs="Times New Roman" w:eastAsia="Times New Roman" w:hAnsi="Times New Roman"/>
          <w:sz w:val="20"/>
          <w:szCs w:val="20"/>
          <w:color w:val="auto"/>
        </w:rPr>
        <w:t>” means the Parent, any Subsidiary and all members of a controlled group of corporations and all trades or businesses (whether or not incorporated) under common control, which, together with the Parent or any Subsidiary, are treated as a single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employer under Section 414 of the Internal Revenue Code.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has the meaning assigned thereto in Section 11.11(a).</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Deficiency Assignment</w:t>
      </w:r>
      <w:r>
        <w:rPr>
          <w:rFonts w:ascii="Times New Roman" w:cs="Times New Roman" w:eastAsia="Times New Roman" w:hAnsi="Times New Roman"/>
          <w:sz w:val="20"/>
          <w:szCs w:val="20"/>
          <w:color w:val="auto"/>
        </w:rPr>
        <w:t>” has the meaning assigned thereto in Section 11.11(d).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Impacted Class</w:t>
      </w:r>
      <w:r>
        <w:rPr>
          <w:rFonts w:ascii="Times New Roman" w:cs="Times New Roman" w:eastAsia="Times New Roman" w:hAnsi="Times New Roman"/>
          <w:sz w:val="20"/>
          <w:szCs w:val="20"/>
          <w:color w:val="auto"/>
        </w:rPr>
        <w:t>” has the meaning assigned thereto in Section 11.11(d).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Return Deficiency</w:t>
      </w:r>
      <w:r>
        <w:rPr>
          <w:rFonts w:ascii="Times New Roman" w:cs="Times New Roman" w:eastAsia="Times New Roman" w:hAnsi="Times New Roman"/>
          <w:sz w:val="20"/>
          <w:szCs w:val="20"/>
          <w:color w:val="auto"/>
        </w:rPr>
        <w:t>” has the meaning assigned thereto in Section 11.11(d).</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2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means any of the events specified in Section 10.1.; provided that any requirement for notice or lapse of time or any other condition has been satisfied.</w:t>
      </w:r>
    </w:p>
    <w:p>
      <w:pPr>
        <w:spacing w:after="0" w:line="12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Swap Obligation</w:t>
      </w:r>
      <w:r>
        <w:rPr>
          <w:rFonts w:ascii="Times New Roman" w:cs="Times New Roman" w:eastAsia="Times New Roman" w:hAnsi="Times New Roman"/>
          <w:sz w:val="20"/>
          <w:szCs w:val="20"/>
          <w:color w:val="auto"/>
        </w:rPr>
        <w:t>” means, with respect to any Loan Party, any Specified Derivatives Obligations if, and to the extent that, all or a portion of the liability of such Loan Party for or the Guarantee of such Loan Party of, or the grant by such Loan Party of a Lien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secure, such Specified Derivatives Obligation (or any liability or guarantee thereof) is or becomes illegal under the Commodity Exchange Act or any rule, regulation or order of the Commodity Futures Trading Commission (or the application or official interpretation of any</w:t>
      </w:r>
    </w:p>
    <w:p>
      <w:pPr>
        <w:spacing w:after="0" w:line="211" w:lineRule="auto"/>
        <w:rPr>
          <w:sz w:val="20"/>
          <w:szCs w:val="20"/>
          <w:color w:val="auto"/>
        </w:rPr>
      </w:pPr>
      <w:r>
        <w:rPr>
          <w:rFonts w:ascii="Times New Roman" w:cs="Times New Roman" w:eastAsia="Times New Roman" w:hAnsi="Times New Roman"/>
          <w:sz w:val="20"/>
          <w:szCs w:val="20"/>
          <w:color w:val="auto"/>
        </w:rPr>
        <w:t>thereof) by virtue of such Loan Party’s failure for any reason to constitute an “eligible contract participant” as defined in the Commodity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Exchange Act and the regulations thereunder at the time the liability for or the Guarantee of such Loan Party or the grant of such Lien becomes effective with respect to such Specified Derivatives Obligation (such determination being made after giving effect to any applicable</w:t>
      </w:r>
    </w:p>
    <w:p>
      <w:pPr>
        <w:spacing w:after="0" w:line="222" w:lineRule="auto"/>
        <w:rPr>
          <w:sz w:val="20"/>
          <w:szCs w:val="20"/>
          <w:color w:val="auto"/>
        </w:rPr>
      </w:pPr>
      <w:r>
        <w:rPr>
          <w:rFonts w:ascii="Times New Roman" w:cs="Times New Roman" w:eastAsia="Times New Roman" w:hAnsi="Times New Roman"/>
          <w:sz w:val="19"/>
          <w:szCs w:val="19"/>
          <w:color w:val="auto"/>
        </w:rPr>
        <w:t>keepwell, support or other agreement for the benefit of the applicable Loan Party). If a Specified Derivatives Obligation arises under a master</w:t>
      </w:r>
    </w:p>
    <w:p>
      <w:pPr>
        <w:spacing w:after="0" w:line="215" w:lineRule="auto"/>
        <w:rPr>
          <w:sz w:val="20"/>
          <w:szCs w:val="20"/>
          <w:color w:val="auto"/>
        </w:rPr>
      </w:pPr>
      <w:r>
        <w:rPr>
          <w:rFonts w:ascii="Times New Roman" w:cs="Times New Roman" w:eastAsia="Times New Roman" w:hAnsi="Times New Roman"/>
          <w:sz w:val="19"/>
          <w:szCs w:val="19"/>
          <w:color w:val="auto"/>
        </w:rPr>
        <w:t>agreement governing more than one swap, such exclusion shall apply only to the portion of such Specified Derivatives Obligation that is attributable to swaps for which such Guarantee or Lien is or becomes illegal for the reasons identified in the immediately preceding sentence</w:t>
      </w:r>
    </w:p>
    <w:p>
      <w:pPr>
        <w:spacing w:after="0"/>
        <w:rPr>
          <w:sz w:val="20"/>
          <w:szCs w:val="20"/>
          <w:color w:val="auto"/>
        </w:rPr>
      </w:pPr>
      <w:r>
        <w:rPr>
          <w:rFonts w:ascii="Times New Roman" w:cs="Times New Roman" w:eastAsia="Times New Roman" w:hAnsi="Times New Roman"/>
          <w:sz w:val="20"/>
          <w:szCs w:val="20"/>
          <w:color w:val="auto"/>
        </w:rPr>
        <w:t>of this definition.</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branch profits Taxes, in each case, (i) imposed as a result of such Recipient being organized under the laws of, or having its principal office or, in the case of any Lender, its applicable Lending Office located in, the jurisdiction imposing such Tax (or any political subdivision</w:t>
      </w:r>
    </w:p>
    <w:p>
      <w:pPr>
        <w:spacing w:after="0" w:line="211" w:lineRule="auto"/>
        <w:rPr>
          <w:sz w:val="20"/>
          <w:szCs w:val="20"/>
          <w:color w:val="auto"/>
        </w:rPr>
      </w:pPr>
      <w:r>
        <w:rPr>
          <w:rFonts w:ascii="Times New Roman" w:cs="Times New Roman" w:eastAsia="Times New Roman" w:hAnsi="Times New Roman"/>
          <w:sz w:val="20"/>
          <w:szCs w:val="20"/>
          <w:color w:val="auto"/>
        </w:rPr>
        <w:t>thereof) or (ii) that are Other Connection Taxes, (b) in the case of a Lender, U.S. federal withholding Taxes imposed on amounts payable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for the account of such Lender with respect to an applicable interest in a Loan pursuant to an Applicable Law in effect on the date (which date shall not be earlier than the Effective Date) on which (i) such Lender acquires such interest in such Loan (other than pursuant to an</w:t>
      </w:r>
    </w:p>
    <w:p>
      <w:pPr>
        <w:spacing w:after="0" w:line="223" w:lineRule="auto"/>
        <w:rPr>
          <w:sz w:val="20"/>
          <w:szCs w:val="20"/>
          <w:color w:val="auto"/>
        </w:rPr>
      </w:pPr>
      <w:r>
        <w:rPr>
          <w:rFonts w:ascii="Times New Roman" w:cs="Times New Roman" w:eastAsia="Times New Roman" w:hAnsi="Times New Roman"/>
          <w:sz w:val="19"/>
          <w:szCs w:val="19"/>
          <w:color w:val="auto"/>
        </w:rPr>
        <w:t>assignment request by the Borrower Representative under Section 4.6.) or (ii) such Lender changes its Lending Office, except in each case to</w:t>
      </w:r>
    </w:p>
    <w:p>
      <w:pPr>
        <w:spacing w:after="0" w:line="215" w:lineRule="auto"/>
        <w:rPr>
          <w:sz w:val="20"/>
          <w:szCs w:val="20"/>
          <w:color w:val="auto"/>
        </w:rPr>
      </w:pPr>
      <w:r>
        <w:rPr>
          <w:rFonts w:ascii="Times New Roman" w:cs="Times New Roman" w:eastAsia="Times New Roman" w:hAnsi="Times New Roman"/>
          <w:sz w:val="19"/>
          <w:szCs w:val="19"/>
          <w:color w:val="auto"/>
        </w:rPr>
        <w:t>the extent that, pursuant to Section 3.10., amounts with respect to such Taxes were payable either to such Lender’s assignor immediately before such Lender became a party hereto or to such Lender immediately before it changed its Lending Office, (c) Taxes attributable to such</w:t>
      </w:r>
    </w:p>
    <w:p>
      <w:pPr>
        <w:spacing w:after="0"/>
        <w:rPr>
          <w:sz w:val="20"/>
          <w:szCs w:val="20"/>
          <w:color w:val="auto"/>
        </w:rPr>
      </w:pPr>
      <w:r>
        <w:rPr>
          <w:rFonts w:ascii="Times New Roman" w:cs="Times New Roman" w:eastAsia="Times New Roman" w:hAnsi="Times New Roman"/>
          <w:sz w:val="20"/>
          <w:szCs w:val="20"/>
          <w:color w:val="auto"/>
        </w:rPr>
        <w:t>Recipient’s failure to comply with Section 3.10.(g) and (d) any U.S. federal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- 12 -</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means that certain Third Amended and Restated Credit Agreement dated as of December 6, 2021, by and among the Borrowers, the financial institutions from time to time party thereto, Wells Fargo Bank, National Association, as</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administrative agent, and the other parties thereto, </w:t>
      </w:r>
      <w:r>
        <w:rPr>
          <w:rFonts w:ascii="Times New Roman" w:cs="Times New Roman" w:eastAsia="Times New Roman" w:hAnsi="Times New Roman"/>
          <w:sz w:val="20"/>
          <w:szCs w:val="20"/>
          <w:color w:val="FF0000"/>
          <w:strike w:val="1"/>
        </w:rPr>
        <w:t>including</w:t>
      </w:r>
      <w:r>
        <w:rPr>
          <w:rFonts w:ascii="Times New Roman" w:cs="Times New Roman" w:eastAsia="Times New Roman" w:hAnsi="Times New Roman"/>
          <w:sz w:val="20"/>
          <w:szCs w:val="20"/>
          <w:u w:val="single" w:color="auto"/>
          <w:color w:val="0101FF"/>
        </w:rPr>
        <w:t>as amended by that certain First Amendment to Third Amended and Restated</w:t>
      </w:r>
    </w:p>
    <w:p>
      <w:pPr>
        <w:jc w:val="both"/>
        <w:spacing w:after="0" w:line="221" w:lineRule="auto"/>
        <w:rPr>
          <w:sz w:val="20"/>
          <w:szCs w:val="20"/>
          <w:color w:val="auto"/>
        </w:rPr>
      </w:pPr>
      <w:r>
        <w:rPr>
          <w:rFonts w:ascii="Times New Roman" w:cs="Times New Roman" w:eastAsia="Times New Roman" w:hAnsi="Times New Roman"/>
          <w:sz w:val="20"/>
          <w:szCs w:val="20"/>
          <w:u w:val="single" w:color="auto"/>
          <w:color w:val="0101FF"/>
        </w:rPr>
        <w:t>Credit Agreement dated as of the First Amendment Date and as further amended by</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any amendment, restatement, modification, refinancing,</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refunding, renewal, replacement or extension thereof.</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Loans</w:t>
      </w:r>
      <w:r>
        <w:rPr>
          <w:rFonts w:ascii="Times New Roman" w:cs="Times New Roman" w:eastAsia="Times New Roman" w:hAnsi="Times New Roman"/>
          <w:sz w:val="20"/>
          <w:szCs w:val="20"/>
          <w:color w:val="auto"/>
        </w:rPr>
        <w:t>” means Loans, the maturity of which shall have been extended pursuant to Section 12.6.(e).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has the meaning given that term in Section 12.6.(e)(i).</w:t>
      </w:r>
    </w:p>
    <w:p>
      <w:pPr>
        <w:spacing w:after="0" w:line="16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means an amendment to this Agreement (which may, at the option of the Administrative Agent and the Borrowers, be in the form an amendment and restatement of this Agreement) among the Loan Parties, the applicable extending Lenders and the Administrative Agent.</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Offer</w:t>
      </w:r>
      <w:r>
        <w:rPr>
          <w:rFonts w:ascii="Times New Roman" w:cs="Times New Roman" w:eastAsia="Times New Roman" w:hAnsi="Times New Roman"/>
          <w:sz w:val="20"/>
          <w:szCs w:val="20"/>
          <w:color w:val="auto"/>
        </w:rPr>
        <w:t>” has the meaning given that term in Section 12.6.(e)(i).</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Request</w:t>
      </w:r>
      <w:r>
        <w:rPr>
          <w:rFonts w:ascii="Times New Roman" w:cs="Times New Roman" w:eastAsia="Times New Roman" w:hAnsi="Times New Roman"/>
          <w:sz w:val="20"/>
          <w:szCs w:val="20"/>
          <w:color w:val="auto"/>
        </w:rPr>
        <w:t>” has the meaning given that term in Section 2.14.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17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Internal Revenue Code, as of the date of this Agreement (or any amended or successor version that is substantively comparable and not materially more onerous to comply with) and any current or future regulations or</w:t>
      </w:r>
    </w:p>
    <w:p>
      <w:pPr>
        <w:spacing w:after="0" w:line="213" w:lineRule="auto"/>
        <w:rPr>
          <w:sz w:val="20"/>
          <w:szCs w:val="20"/>
          <w:color w:val="auto"/>
        </w:rPr>
      </w:pPr>
      <w:r>
        <w:rPr>
          <w:rFonts w:ascii="Times New Roman" w:cs="Times New Roman" w:eastAsia="Times New Roman" w:hAnsi="Times New Roman"/>
          <w:sz w:val="20"/>
          <w:szCs w:val="20"/>
          <w:color w:val="auto"/>
        </w:rPr>
        <w:t>official interpretations thereof and any agreement entered into pursuant to Section 1471(b)(l) of the Internal Revenue Code and any fiscal or</w:t>
      </w:r>
    </w:p>
    <w:p>
      <w:pPr>
        <w:jc w:val="both"/>
        <w:spacing w:after="0" w:line="221" w:lineRule="auto"/>
        <w:rPr>
          <w:sz w:val="20"/>
          <w:szCs w:val="20"/>
          <w:color w:val="auto"/>
        </w:rPr>
      </w:pPr>
      <w:r>
        <w:rPr>
          <w:rFonts w:ascii="Times New Roman" w:cs="Times New Roman" w:eastAsia="Times New Roman" w:hAnsi="Times New Roman"/>
          <w:sz w:val="20"/>
          <w:szCs w:val="20"/>
          <w:color w:val="auto"/>
        </w:rPr>
        <w:t>regulatory legislation, rules or practices adopted pursuant to any intergovernmental agreement, treaty or convention among Governmental Authorities and implementing such Sections of the Internal Revenue Code.</w:t>
      </w:r>
    </w:p>
    <w:p>
      <w:pPr>
        <w:spacing w:after="0" w:line="14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Federal Funds Rate</w:t>
      </w:r>
      <w:r>
        <w:rPr>
          <w:rFonts w:ascii="Times New Roman" w:cs="Times New Roman" w:eastAsia="Times New Roman" w:hAnsi="Times New Roman"/>
          <w:sz w:val="19"/>
          <w:szCs w:val="19"/>
          <w:color w:val="auto"/>
        </w:rPr>
        <w:t>” means, for any day, the rate per annum equal to the weighted average of the rates on overnight federal funds transactions with members of the Federal Reserve System, as published by the Federal Reserve Bank of New York on the Business Day next</w:t>
      </w:r>
    </w:p>
    <w:p>
      <w:pPr>
        <w:spacing w:after="0" w:line="223" w:lineRule="auto"/>
        <w:rPr>
          <w:sz w:val="20"/>
          <w:szCs w:val="20"/>
          <w:color w:val="auto"/>
        </w:rPr>
      </w:pPr>
      <w:r>
        <w:rPr>
          <w:rFonts w:ascii="Times New Roman" w:cs="Times New Roman" w:eastAsia="Times New Roman" w:hAnsi="Times New Roman"/>
          <w:sz w:val="19"/>
          <w:szCs w:val="19"/>
          <w:color w:val="auto"/>
        </w:rPr>
        <w:t>succeeding such day, provided that if such rate is not so published for any day which is a Business Day, the Federal Funds Rate for such day</w:t>
      </w:r>
    </w:p>
    <w:p>
      <w:pPr>
        <w:jc w:val="both"/>
        <w:spacing w:after="0" w:line="215" w:lineRule="auto"/>
        <w:rPr>
          <w:sz w:val="20"/>
          <w:szCs w:val="20"/>
          <w:color w:val="auto"/>
        </w:rPr>
      </w:pPr>
      <w:r>
        <w:rPr>
          <w:rFonts w:ascii="Times New Roman" w:cs="Times New Roman" w:eastAsia="Times New Roman" w:hAnsi="Times New Roman"/>
          <w:sz w:val="19"/>
          <w:szCs w:val="19"/>
          <w:color w:val="auto"/>
        </w:rPr>
        <w:t>shall be the average of the quotation for such day on such transactions received by the Administrative Agent from three federal funds brokers of recognized standing selected by the Administrative Agent. Notwithstanding the foregoing, if the Federal Funds Rate shall be less than</w:t>
      </w:r>
    </w:p>
    <w:p>
      <w:pPr>
        <w:spacing w:after="0"/>
        <w:rPr>
          <w:sz w:val="20"/>
          <w:szCs w:val="20"/>
          <w:color w:val="auto"/>
        </w:rPr>
      </w:pPr>
      <w:r>
        <w:rPr>
          <w:rFonts w:ascii="Times New Roman" w:cs="Times New Roman" w:eastAsia="Times New Roman" w:hAnsi="Times New Roman"/>
          <w:sz w:val="20"/>
          <w:szCs w:val="20"/>
          <w:color w:val="auto"/>
        </w:rPr>
        <w:t>zero, such rate shall be deemed to be zero for purposes of this Agreement.</w:t>
      </w:r>
    </w:p>
    <w:p>
      <w:pPr>
        <w:spacing w:after="0" w:line="13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means the fee letter dated as of November 19, 2024, by and among the Borrowers, Wells Fargo and Wells Fargo Securities, LLC.</w:t>
      </w:r>
    </w:p>
    <w:p>
      <w:pPr>
        <w:spacing w:after="0" w:line="1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 means the fees and commissions provided for or referred to in Section 3.5. and any other fees payable by any Borrower hereunder, under any other Loan Document or under any Fee Letter.</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b w:val="1"/>
          <w:bCs w:val="1"/>
          <w:u w:val="single" w:color="auto"/>
          <w:color w:val="0101FF"/>
        </w:rPr>
        <w:t>First Amendment Date</w:t>
      </w:r>
      <w:r>
        <w:rPr>
          <w:rFonts w:ascii="Times New Roman" w:cs="Times New Roman" w:eastAsia="Times New Roman" w:hAnsi="Times New Roman"/>
          <w:sz w:val="20"/>
          <w:szCs w:val="20"/>
          <w:u w:val="single" w:color="auto"/>
          <w:color w:val="0101FF"/>
        </w:rPr>
        <w:t>” means March 18, 2026.</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Fitch</w:t>
      </w:r>
      <w:r>
        <w:rPr>
          <w:rFonts w:ascii="Times New Roman" w:cs="Times New Roman" w:eastAsia="Times New Roman" w:hAnsi="Times New Roman"/>
          <w:sz w:val="20"/>
          <w:szCs w:val="20"/>
          <w:color w:val="auto"/>
        </w:rPr>
        <w:t>” means Fitch Ratings Inc. and its successors.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Fixed Charges</w:t>
      </w:r>
      <w:r>
        <w:rPr>
          <w:rFonts w:ascii="Times New Roman" w:cs="Times New Roman" w:eastAsia="Times New Roman" w:hAnsi="Times New Roman"/>
          <w:sz w:val="19"/>
          <w:szCs w:val="19"/>
          <w:color w:val="auto"/>
        </w:rPr>
        <w:t>” means, with respect to a Person and for a given period, the sum of (a) the Interest Expense of such Person for such</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aggregate of all regularly scheduled principal payments on Indebtedness payable by such Person during such period (excluding balloon, bullet or similar payments of principal due upon the stated maturity of Indebtedness), plus (c) the aggregate amount of all</w:t>
      </w:r>
    </w:p>
    <w:p>
      <w:pPr>
        <w:spacing w:after="0"/>
        <w:rPr>
          <w:sz w:val="20"/>
          <w:szCs w:val="20"/>
          <w:color w:val="auto"/>
        </w:rPr>
      </w:pPr>
      <w:r>
        <w:rPr>
          <w:rFonts w:ascii="Times New Roman" w:cs="Times New Roman" w:eastAsia="Times New Roman" w:hAnsi="Times New Roman"/>
          <w:sz w:val="20"/>
          <w:szCs w:val="20"/>
          <w:color w:val="auto"/>
        </w:rPr>
        <w:t>Preferred Dividends paid by such Person during such period.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a rate of interest equal to 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 Lender that is not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- 13 -</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means any Person (other than a natural person or holding company, investment vehicle or trust for, or owned and operated</w:t>
      </w:r>
    </w:p>
    <w:p>
      <w:pPr>
        <w:jc w:val="both"/>
        <w:spacing w:after="0" w:line="221" w:lineRule="auto"/>
        <w:rPr>
          <w:sz w:val="20"/>
          <w:szCs w:val="20"/>
          <w:color w:val="auto"/>
        </w:rPr>
      </w:pPr>
      <w:r>
        <w:rPr>
          <w:rFonts w:ascii="Times New Roman" w:cs="Times New Roman" w:eastAsia="Times New Roman" w:hAnsi="Times New Roman"/>
          <w:sz w:val="20"/>
          <w:szCs w:val="20"/>
          <w:color w:val="auto"/>
        </w:rPr>
        <w:t>for the primary benefit of a natural person) that is (or will be) engaged in making, purchasing, holding or otherwise investing in commercial loans and similar extensions of credit in the ordinary course of its business.</w:t>
      </w:r>
    </w:p>
    <w:p>
      <w:pPr>
        <w:spacing w:after="0" w:line="14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Funds From Operations</w:t>
      </w:r>
      <w:r>
        <w:rPr>
          <w:rFonts w:ascii="Times New Roman" w:cs="Times New Roman" w:eastAsia="Times New Roman" w:hAnsi="Times New Roman"/>
          <w:sz w:val="19"/>
          <w:szCs w:val="19"/>
          <w:color w:val="FF0000"/>
          <w:strike w:val="1"/>
        </w:rPr>
        <w:t>” means, with respect to a Person and for a given period, (a) net income (loss) of such Person for such period determined on a consolidated basis in accordance with GAAP minus (or plus) (b) gains (or losses) from debt restructuring and sales of</w:t>
      </w:r>
    </w:p>
    <w:p>
      <w:pPr>
        <w:spacing w:after="0" w:line="223" w:lineRule="auto"/>
        <w:rPr>
          <w:sz w:val="20"/>
          <w:szCs w:val="20"/>
          <w:color w:val="auto"/>
        </w:rPr>
      </w:pPr>
      <w:r>
        <w:rPr>
          <w:rFonts w:ascii="Times New Roman" w:cs="Times New Roman" w:eastAsia="Times New Roman" w:hAnsi="Times New Roman"/>
          <w:sz w:val="19"/>
          <w:szCs w:val="19"/>
          <w:color w:val="FF0000"/>
          <w:strike w:val="1"/>
        </w:rPr>
        <w:t>property during such period plus (c) depreciation with respect to such Person’s real estate assets and amortization (other than amortization of</w:t>
      </w:r>
    </w:p>
    <w:p>
      <w:pPr>
        <w:jc w:val="both"/>
        <w:spacing w:after="0" w:line="204" w:lineRule="auto"/>
        <w:rPr>
          <w:sz w:val="20"/>
          <w:szCs w:val="20"/>
          <w:color w:val="auto"/>
        </w:rPr>
      </w:pPr>
      <w:r>
        <w:rPr>
          <w:rFonts w:ascii="Times New Roman" w:cs="Times New Roman" w:eastAsia="Times New Roman" w:hAnsi="Times New Roman"/>
          <w:sz w:val="20"/>
          <w:szCs w:val="20"/>
          <w:color w:val="FF0000"/>
          <w:strike w:val="1"/>
        </w:rPr>
        <w:t>deferred financing costs) of such Person for such period plus (d) non cash impairment losses minus (e) non cash gains, all after adjustment for Unconsolidated Affiliates. Adjustments for Unconsolidated Affiliates will be calculated to reflect funds from operations on the same</w:t>
      </w:r>
    </w:p>
    <w:p>
      <w:pPr>
        <w:spacing w:after="0" w:line="223" w:lineRule="auto"/>
        <w:rPr>
          <w:sz w:val="20"/>
          <w:szCs w:val="20"/>
          <w:color w:val="auto"/>
        </w:rPr>
      </w:pPr>
      <w:r>
        <w:rPr>
          <w:rFonts w:ascii="Times New Roman" w:cs="Times New Roman" w:eastAsia="Times New Roman" w:hAnsi="Times New Roman"/>
          <w:sz w:val="19"/>
          <w:szCs w:val="19"/>
          <w:color w:val="FF0000"/>
          <w:strike w:val="1"/>
        </w:rPr>
        <w:t>basis. For purposes of this Agreement, Funds From Operations shall be calculated consistent with the White Paper on Funds from Operations</w:t>
      </w:r>
    </w:p>
    <w:p>
      <w:pPr>
        <w:jc w:val="both"/>
        <w:spacing w:after="0" w:line="221" w:lineRule="auto"/>
        <w:rPr>
          <w:sz w:val="20"/>
          <w:szCs w:val="20"/>
          <w:color w:val="auto"/>
        </w:rPr>
      </w:pPr>
      <w:r>
        <w:rPr>
          <w:rFonts w:ascii="Times New Roman" w:cs="Times New Roman" w:eastAsia="Times New Roman" w:hAnsi="Times New Roman"/>
          <w:sz w:val="20"/>
          <w:szCs w:val="20"/>
          <w:color w:val="FF0000"/>
          <w:strike w:val="1"/>
        </w:rPr>
        <w:t>dated April 2002 issued by National Association of Real Estate Investment Trusts, Inc., but without giving effect to any supplements, amendments or other modifications promulgated after the Agreement Date.</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b w:val="1"/>
          <w:bCs w:val="1"/>
          <w:u w:val="single" w:color="auto"/>
          <w:color w:val="0101FF"/>
        </w:rPr>
        <w:t>Fund Investments</w:t>
      </w:r>
      <w:r>
        <w:rPr>
          <w:rFonts w:ascii="Times New Roman" w:cs="Times New Roman" w:eastAsia="Times New Roman" w:hAnsi="Times New Roman"/>
          <w:sz w:val="20"/>
          <w:szCs w:val="20"/>
          <w:u w:val="single" w:color="auto"/>
          <w:color w:val="0101FF"/>
        </w:rPr>
        <w:t>” means, collectively, Investments directly or indirectly in Equity Interests of, and indebtedness issued by, investment funds.</w:t>
      </w:r>
    </w:p>
    <w:p>
      <w:pPr>
        <w:spacing w:after="0" w:line="13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u w:val="single" w:color="auto"/>
          <w:color w:val="0101FF"/>
        </w:rPr>
        <w:t>“</w:t>
      </w:r>
      <w:r>
        <w:rPr>
          <w:rFonts w:ascii="Times New Roman" w:cs="Times New Roman" w:eastAsia="Times New Roman" w:hAnsi="Times New Roman"/>
          <w:sz w:val="19"/>
          <w:szCs w:val="19"/>
          <w:b w:val="1"/>
          <w:bCs w:val="1"/>
          <w:u w:val="single" w:color="auto"/>
          <w:color w:val="0101FF"/>
        </w:rPr>
        <w:t>Fund Investment Value</w:t>
      </w:r>
      <w:r>
        <w:rPr>
          <w:rFonts w:ascii="Times New Roman" w:cs="Times New Roman" w:eastAsia="Times New Roman" w:hAnsi="Times New Roman"/>
          <w:sz w:val="19"/>
          <w:szCs w:val="19"/>
          <w:u w:val="single" w:color="auto"/>
          <w:color w:val="0101FF"/>
        </w:rPr>
        <w:t>” means (a) for the purpose of determining Total Asset Value an amount equal to a Borrower’s pro rata share of the value (as determined in accordance with GAAP) of each Fund Investment and (b) for the purpose of determining Unencumbered Asset Value, an amount equal to a Borrower’s pro rata share of the value (as determined in accordance with GAAP) of each Fund Investment</w:t>
      </w:r>
    </w:p>
    <w:p>
      <w:pPr>
        <w:jc w:val="both"/>
        <w:ind w:firstLine="8"/>
        <w:spacing w:after="0" w:line="214" w:lineRule="auto"/>
        <w:tabs>
          <w:tab w:leader="none" w:pos="237" w:val="left"/>
        </w:tabs>
        <w:numPr>
          <w:ilvl w:val="0"/>
          <w:numId w:val="100"/>
        </w:numPr>
        <w:rPr>
          <w:rFonts w:ascii="Times New Roman" w:cs="Times New Roman" w:eastAsia="Times New Roman" w:hAnsi="Times New Roman"/>
          <w:sz w:val="20"/>
          <w:szCs w:val="20"/>
          <w:u w:val="single" w:color="auto"/>
          <w:color w:val="0101FF"/>
        </w:rPr>
      </w:pPr>
      <w:r>
        <w:rPr>
          <w:rFonts w:ascii="Times New Roman" w:cs="Times New Roman" w:eastAsia="Times New Roman" w:hAnsi="Times New Roman"/>
          <w:sz w:val="20"/>
          <w:szCs w:val="20"/>
          <w:u w:val="single" w:color="auto"/>
          <w:color w:val="0101FF"/>
        </w:rPr>
        <w:t>that is owned by a Borrower or a Wholly Owned Subsidiary, (ii) that is not subject to any Lien or Negative Pledge, (iii) that, if owned by a Subsidiary, no Borrower’s direct or indirect ownership interest in such Subsidiary is subject to any Lien or Negative Pledge, (iv) with respect to which a Borrower has a right, directly or indirectly through a Subsidiary, to create Liens on such Fund Investment as security for Indebtedness of such Borrower and to sell, transfer or otherwise dispose of such Fund Investment, in the case, without the consent of any Person and (v) with respect to which no investment fund obligor is more than 60 days past due on payment obligations (including any required distributions thereof) thereunder.</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 of America set forth in the opinions and</w:t>
      </w:r>
    </w:p>
    <w:p>
      <w:pPr>
        <w:spacing w:after="0" w:line="215" w:lineRule="auto"/>
        <w:rPr>
          <w:sz w:val="20"/>
          <w:szCs w:val="20"/>
          <w:color w:val="auto"/>
        </w:rPr>
      </w:pPr>
      <w:r>
        <w:rPr>
          <w:rFonts w:ascii="Times New Roman" w:cs="Times New Roman" w:eastAsia="Times New Roman" w:hAnsi="Times New Roman"/>
          <w:sz w:val="19"/>
          <w:szCs w:val="19"/>
          <w:color w:val="auto"/>
        </w:rPr>
        <w:t>pronouncements of the Accounting Principles Board of the American Institute of Certified Public Accountants and statements and pronouncements of the Financial Accounting Standards Board (including Statement of Financial Accounting Standards No. 168, “The FASB</w:t>
      </w:r>
    </w:p>
    <w:p>
      <w:pPr>
        <w:ind w:right="20"/>
        <w:spacing w:after="0" w:line="228" w:lineRule="auto"/>
        <w:rPr>
          <w:sz w:val="20"/>
          <w:szCs w:val="20"/>
          <w:color w:val="auto"/>
        </w:rPr>
      </w:pPr>
      <w:r>
        <w:rPr>
          <w:rFonts w:ascii="Times New Roman" w:cs="Times New Roman" w:eastAsia="Times New Roman" w:hAnsi="Times New Roman"/>
          <w:sz w:val="20"/>
          <w:szCs w:val="20"/>
          <w:color w:val="auto"/>
        </w:rPr>
        <w:t>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3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Approvals</w:t>
      </w:r>
      <w:r>
        <w:rPr>
          <w:rFonts w:ascii="Times New Roman" w:cs="Times New Roman" w:eastAsia="Times New Roman" w:hAnsi="Times New Roman"/>
          <w:sz w:val="20"/>
          <w:szCs w:val="20"/>
          <w:color w:val="auto"/>
        </w:rPr>
        <w:t>” means all authorizations, consents, approvals, licenses and exemptions of, registrations and filings with, and reports to, all Governmental Authorities.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national, state or local government (whether domestic or foreign), any political subdivision</w:t>
      </w:r>
    </w:p>
    <w:p>
      <w:pPr>
        <w:ind w:right="20"/>
        <w:spacing w:after="0" w:line="233" w:lineRule="auto"/>
        <w:rPr>
          <w:sz w:val="20"/>
          <w:szCs w:val="20"/>
          <w:color w:val="auto"/>
        </w:rPr>
      </w:pPr>
      <w:r>
        <w:rPr>
          <w:rFonts w:ascii="Times New Roman" w:cs="Times New Roman" w:eastAsia="Times New Roman" w:hAnsi="Times New Roman"/>
          <w:sz w:val="19"/>
          <w:szCs w:val="19"/>
          <w:color w:val="auto"/>
        </w:rPr>
        <w:t>thereof or any other governmental, quasi-governmental, judicial, administrative, public or statutory instrumentality, authority, body, agency, bureau, commission, board, department or other entity (including, without limitation, the Federal Deposit Insurance Corporation, the</w:t>
      </w:r>
    </w:p>
    <w:p>
      <w:pPr>
        <w:spacing w:after="0" w:line="14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Comptroller of the Currency or the Federal Reserve Board, any central bank or any comparable authority) or any arbitrator with authority to bind a party at law.</w:t>
      </w:r>
    </w:p>
    <w:p>
      <w:pPr>
        <w:spacing w:after="0" w:line="14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Ground Lease</w:t>
      </w:r>
      <w:r>
        <w:rPr>
          <w:rFonts w:ascii="Times New Roman" w:cs="Times New Roman" w:eastAsia="Times New Roman" w:hAnsi="Times New Roman"/>
          <w:sz w:val="19"/>
          <w:szCs w:val="19"/>
          <w:color w:val="auto"/>
        </w:rPr>
        <w:t>” means a ground lease containing the following terms and conditions: (a) a remaining term (inclusive of any unexercised extension options that may be exercised by a Borrower or Subsidiary without the consent of the lessor) of 30 years or more from</w:t>
      </w:r>
    </w:p>
    <w:p>
      <w:pPr>
        <w:spacing w:after="0" w:line="223" w:lineRule="auto"/>
        <w:rPr>
          <w:sz w:val="20"/>
          <w:szCs w:val="20"/>
          <w:color w:val="auto"/>
        </w:rPr>
      </w:pPr>
      <w:r>
        <w:rPr>
          <w:rFonts w:ascii="Times New Roman" w:cs="Times New Roman" w:eastAsia="Times New Roman" w:hAnsi="Times New Roman"/>
          <w:sz w:val="19"/>
          <w:szCs w:val="19"/>
          <w:color w:val="auto"/>
        </w:rPr>
        <w:t>the Agreement Date; (b) the right of the lessee to mortgage and encumber its interest in the leased property without the consent of the lessor;</w:t>
      </w:r>
    </w:p>
    <w:p>
      <w:pPr>
        <w:ind w:left="280" w:hanging="272"/>
        <w:spacing w:after="0"/>
        <w:tabs>
          <w:tab w:leader="none" w:pos="2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the lessor to give the holder of any mortgage Lien on such leased property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6"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14 -</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w:t>
      </w:r>
    </w:p>
    <w:p>
      <w:pPr>
        <w:spacing w:after="0" w:line="212" w:lineRule="auto"/>
        <w:rPr>
          <w:sz w:val="20"/>
          <w:szCs w:val="20"/>
          <w:color w:val="auto"/>
        </w:rPr>
      </w:pPr>
      <w:r>
        <w:rPr>
          <w:rFonts w:ascii="Times New Roman" w:cs="Times New Roman" w:eastAsia="Times New Roman" w:hAnsi="Times New Roman"/>
          <w:sz w:val="20"/>
          <w:szCs w:val="20"/>
          <w:color w:val="auto"/>
        </w:rPr>
        <w:t>under such lease, including ability to sublease; and (e) such other rights customarily required by mortgagees making a loan secured by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interest of the holder of the leasehold estate demised pursuant to a ground lease. Each of the ground leases associated with the properties located at (i) 1185 Avenue of the Americas, New York, New York, the term of which expires in the year 2043, </w:t>
      </w:r>
      <w:r>
        <w:rPr>
          <w:rFonts w:ascii="Times New Roman" w:cs="Times New Roman" w:eastAsia="Times New Roman" w:hAnsi="Times New Roman"/>
          <w:sz w:val="19"/>
          <w:szCs w:val="19"/>
          <w:u w:val="single" w:color="auto"/>
          <w:color w:val="0101FF"/>
        </w:rPr>
        <w:t>and</w:t>
      </w:r>
      <w:r>
        <w:rPr>
          <w:rFonts w:ascii="Times New Roman" w:cs="Times New Roman" w:eastAsia="Times New Roman" w:hAnsi="Times New Roman"/>
          <w:sz w:val="19"/>
          <w:szCs w:val="19"/>
          <w:color w:val="auto"/>
        </w:rPr>
        <w:t xml:space="preserve"> (ii</w:t>
      </w:r>
      <w:r>
        <w:rPr>
          <w:rFonts w:ascii="Times New Roman" w:cs="Times New Roman" w:eastAsia="Times New Roman" w:hAnsi="Times New Roman"/>
          <w:sz w:val="19"/>
          <w:szCs w:val="19"/>
          <w:color w:val="FF0000"/>
          <w:strike w:val="1"/>
        </w:rPr>
        <w:t>) 625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-7620</wp:posOffset>
            </wp:positionV>
            <wp:extent cx="311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FF0000"/>
          <w:strike w:val="1"/>
        </w:rPr>
        <w:t>New York, New York, the term of which expires in the year 2054 and (iii</w:t>
      </w:r>
      <w:r>
        <w:rPr>
          <w:rFonts w:ascii="Times New Roman" w:cs="Times New Roman" w:eastAsia="Times New Roman" w:hAnsi="Times New Roman"/>
          <w:sz w:val="20"/>
          <w:szCs w:val="20"/>
          <w:color w:val="000000"/>
        </w:rPr>
        <w:t>) 711 Third Avenue, New York, New York, the term of which</w:t>
      </w:r>
    </w:p>
    <w:p>
      <w:pPr>
        <w:spacing w:after="0"/>
        <w:rPr>
          <w:sz w:val="20"/>
          <w:szCs w:val="20"/>
          <w:color w:val="auto"/>
        </w:rPr>
      </w:pPr>
      <w:r>
        <w:rPr>
          <w:rFonts w:ascii="Times New Roman" w:cs="Times New Roman" w:eastAsia="Times New Roman" w:hAnsi="Times New Roman"/>
          <w:sz w:val="20"/>
          <w:szCs w:val="20"/>
          <w:color w:val="auto"/>
        </w:rPr>
        <w:t>expires in the year 2033, will not be subject to the requirement of clause (a) of this definition.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Guaranteed</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as applied to any obligation means and includes: (a) a guaranty (other than by</w:t>
      </w:r>
    </w:p>
    <w:p>
      <w:pPr>
        <w:spacing w:after="0" w:line="215" w:lineRule="auto"/>
        <w:rPr>
          <w:sz w:val="20"/>
          <w:szCs w:val="20"/>
          <w:color w:val="auto"/>
        </w:rPr>
      </w:pPr>
      <w:r>
        <w:rPr>
          <w:rFonts w:ascii="Times New Roman" w:cs="Times New Roman" w:eastAsia="Times New Roman" w:hAnsi="Times New Roman"/>
          <w:sz w:val="19"/>
          <w:szCs w:val="19"/>
          <w:color w:val="auto"/>
        </w:rPr>
        <w:t>endorsement of negotiable instruments for collection in the ordinary course of business), directly or indirectly, in any manner, of any part or all of such obligation, including without limitation, becoming jointly and severally in respect of such obligation or (b) an agreement, direct or</w:t>
      </w:r>
    </w:p>
    <w:p>
      <w:pPr>
        <w:spacing w:after="0" w:line="211" w:lineRule="auto"/>
        <w:rPr>
          <w:sz w:val="20"/>
          <w:szCs w:val="20"/>
          <w:color w:val="auto"/>
        </w:rPr>
      </w:pPr>
      <w:r>
        <w:rPr>
          <w:rFonts w:ascii="Times New Roman" w:cs="Times New Roman" w:eastAsia="Times New Roman" w:hAnsi="Times New Roman"/>
          <w:sz w:val="20"/>
          <w:szCs w:val="20"/>
          <w:color w:val="auto"/>
        </w:rPr>
        <w:t>indirect, contingent or otherwise, and whether or not constituting a guaranty, the practical effect of which is to assure the payment or</w:t>
      </w:r>
    </w:p>
    <w:p>
      <w:pPr>
        <w:spacing w:after="0" w:line="204" w:lineRule="auto"/>
        <w:rPr>
          <w:sz w:val="20"/>
          <w:szCs w:val="20"/>
          <w:color w:val="auto"/>
        </w:rPr>
      </w:pPr>
      <w:r>
        <w:rPr>
          <w:rFonts w:ascii="Times New Roman" w:cs="Times New Roman" w:eastAsia="Times New Roman" w:hAnsi="Times New Roman"/>
          <w:sz w:val="20"/>
          <w:szCs w:val="20"/>
          <w:color w:val="auto"/>
        </w:rPr>
        <w:t>performance (or payment of damages in the event of nonperformance) of any part or all of such obligation whether by: (i) the purchase of securities or obligations, (ii) the purchase, sale or lease (as lessee or lessor) of property or the purchase or sale of services primarily for the</w:t>
      </w:r>
    </w:p>
    <w:p>
      <w:pPr>
        <w:spacing w:after="0" w:line="223" w:lineRule="auto"/>
        <w:rPr>
          <w:sz w:val="20"/>
          <w:szCs w:val="20"/>
          <w:color w:val="auto"/>
        </w:rPr>
      </w:pPr>
      <w:r>
        <w:rPr>
          <w:rFonts w:ascii="Times New Roman" w:cs="Times New Roman" w:eastAsia="Times New Roman" w:hAnsi="Times New Roman"/>
          <w:sz w:val="19"/>
          <w:szCs w:val="19"/>
          <w:color w:val="auto"/>
        </w:rPr>
        <w:t>purpose of enabling the obligor with respect to such obligation to make any payment or performance (or payment of damages in the event of</w:t>
      </w:r>
    </w:p>
    <w:p>
      <w:pPr>
        <w:spacing w:after="0" w:line="204" w:lineRule="auto"/>
        <w:rPr>
          <w:sz w:val="20"/>
          <w:szCs w:val="20"/>
          <w:color w:val="auto"/>
        </w:rPr>
      </w:pPr>
      <w:r>
        <w:rPr>
          <w:rFonts w:ascii="Times New Roman" w:cs="Times New Roman" w:eastAsia="Times New Roman" w:hAnsi="Times New Roman"/>
          <w:sz w:val="20"/>
          <w:szCs w:val="20"/>
          <w:color w:val="auto"/>
        </w:rPr>
        <w:t>nonperformance) of or on account of any part or all of such obligation, or to assure the owner of such obligation against loss, (iii) the supplying of funds to or in any other manner investing in the obligor with respect to such obligation, (iv) repayment of amounts drawn by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beneficiaries of letters of credit, or (v) the supplying of funds to or investing in a Person on account of all or any part of such Person’s obligation under a Guaranty of any obligation or indemnifying or holding harmless, in any way, such Person against any part or all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w:t>
      </w:r>
    </w:p>
    <w:p>
      <w:pPr>
        <w:spacing w:after="0" w:line="13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Obligations</w:t>
      </w:r>
      <w:r>
        <w:rPr>
          <w:rFonts w:ascii="Times New Roman" w:cs="Times New Roman" w:eastAsia="Times New Roman" w:hAnsi="Times New Roman"/>
          <w:sz w:val="20"/>
          <w:szCs w:val="20"/>
          <w:color w:val="auto"/>
        </w:rPr>
        <w:t>” means, collectively, (a) the Obligations and (b) all existing or future payment and other obligations owing by any Loan Party under any Specified Derivatives Contract (other than any Excluded Swap Obligation).</w:t>
      </w:r>
    </w:p>
    <w:p>
      <w:pPr>
        <w:spacing w:after="0" w:line="12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all or any of the following: (a) substances that are defined or listed in, or otherwise classified pursuant to, any applicable Environmental Laws as “hazardous substances”, “hazardous materials”, “hazardous wastes”, “toxic substances”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or any other formulation intended to define, list or classify substances by reason of deleterious properties such as ignitability, corrosivity, reactivity, carcinogenicity, reproductive toxicity, “</w:t>
      </w:r>
      <w:r>
        <w:rPr>
          <w:rFonts w:ascii="Times New Roman" w:cs="Times New Roman" w:eastAsia="Times New Roman" w:hAnsi="Times New Roman"/>
          <w:sz w:val="20"/>
          <w:szCs w:val="20"/>
          <w:b w:val="1"/>
          <w:bCs w:val="1"/>
          <w:color w:val="auto"/>
        </w:rPr>
        <w:t>TCLP</w:t>
      </w:r>
      <w:r>
        <w:rPr>
          <w:rFonts w:ascii="Times New Roman" w:cs="Times New Roman" w:eastAsia="Times New Roman" w:hAnsi="Times New Roman"/>
          <w:sz w:val="20"/>
          <w:szCs w:val="20"/>
          <w:color w:val="auto"/>
        </w:rPr>
        <w:t>” toxicity, or “</w:t>
      </w:r>
      <w:r>
        <w:rPr>
          <w:rFonts w:ascii="Times New Roman" w:cs="Times New Roman" w:eastAsia="Times New Roman" w:hAnsi="Times New Roman"/>
          <w:sz w:val="20"/>
          <w:szCs w:val="20"/>
          <w:b w:val="1"/>
          <w:bCs w:val="1"/>
          <w:color w:val="auto"/>
        </w:rPr>
        <w:t>EP toxicity</w:t>
      </w:r>
      <w:r>
        <w:rPr>
          <w:rFonts w:ascii="Times New Roman" w:cs="Times New Roman" w:eastAsia="Times New Roman" w:hAnsi="Times New Roman"/>
          <w:sz w:val="20"/>
          <w:szCs w:val="20"/>
          <w:color w:val="auto"/>
        </w:rPr>
        <w:t>”; (b) oil, petroleum or petroleum derived substances,</w:t>
      </w:r>
    </w:p>
    <w:p>
      <w:pPr>
        <w:spacing w:after="0" w:line="211" w:lineRule="auto"/>
        <w:rPr>
          <w:sz w:val="20"/>
          <w:szCs w:val="20"/>
          <w:color w:val="auto"/>
        </w:rPr>
      </w:pPr>
      <w:r>
        <w:rPr>
          <w:rFonts w:ascii="Times New Roman" w:cs="Times New Roman" w:eastAsia="Times New Roman" w:hAnsi="Times New Roman"/>
          <w:sz w:val="20"/>
          <w:szCs w:val="20"/>
          <w:color w:val="auto"/>
        </w:rPr>
        <w:t>natural gas, natural gas liquids or synthetic gas and drilling fluids, produced waters and other wastes associated with the exploration,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development or production of crude oil, natural gas or geothermal resources; (c) any flammable substances or explosives or any radioactive materials; (d) asbestos in any form; (e) toxic mold; and (f) electrical equipment which contains any oil or dielectric fluid containing levels of</w:t>
      </w:r>
    </w:p>
    <w:p>
      <w:pPr>
        <w:spacing w:after="0"/>
        <w:rPr>
          <w:sz w:val="20"/>
          <w:szCs w:val="20"/>
          <w:color w:val="auto"/>
        </w:rPr>
      </w:pPr>
      <w:r>
        <w:rPr>
          <w:rFonts w:ascii="Times New Roman" w:cs="Times New Roman" w:eastAsia="Times New Roman" w:hAnsi="Times New Roman"/>
          <w:sz w:val="20"/>
          <w:szCs w:val="20"/>
          <w:color w:val="auto"/>
        </w:rPr>
        <w:t>polychlorinated biphenyls in excess of fifty parts per million.</w:t>
      </w:r>
    </w:p>
    <w:p>
      <w:pPr>
        <w:spacing w:after="0" w:line="136"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 Person, at the time of computation thereof, all of the following (without duplication): (a) all obligations of such Person in respect of money borrowed or for the deferred purchase price of property or services (excluding trade debt</w:t>
      </w:r>
    </w:p>
    <w:p>
      <w:pPr>
        <w:spacing w:after="0" w:line="2"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incurred in the ordinary course of business); (b) all obligations of such Person, whether or not for money borrowed (i) represented by notes payable, or drafts accepted, in each case representing extensions of credit, (ii) evidenced by bonds, debentures, notes or similar instruments,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or (iii) constituting purchase money indebtedness, conditional sales contracts, title retention debt instruments or other similar instruments, upon which interest charges are customarily paid or that are issued or assumed as full or partial payment for property or for services rendered;</w:t>
      </w:r>
    </w:p>
    <w:p>
      <w:pPr>
        <w:jc w:val="both"/>
        <w:ind w:firstLine="8"/>
        <w:spacing w:after="0" w:line="212" w:lineRule="auto"/>
        <w:tabs>
          <w:tab w:leader="none" w:pos="29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Lease Obligations of such Person; (d) all reimbursement obligations (contingent or otherwise) of such Person under or in respect of any letters of credit or acceptances (whether or not the same have been presented for payment); (e) [reserved];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[reserved]; (h) net obligations under any Derivatives Contract not entered into as a hedge against interest rate risk in respect of existing Indebtedness, in an amount equal to the Derivatives Termination Value thereof at such time (but in no event less than zero); (i) all Indebtedness of other Persons which such Person has guaranteed or is otherwise recourse to such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6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Person, including by virtue of being jointly and severally liable for the Indebtedness of such other Person (except for guaranties of customary exceptions for fraud, misapplication of funds, environmental indemnities, voluntary bankruptcy, collusive involuntary bankruptcy and other</w:t>
      </w:r>
    </w:p>
    <w:p>
      <w:pPr>
        <w:spacing w:after="0" w:line="222" w:lineRule="auto"/>
        <w:rPr>
          <w:sz w:val="20"/>
          <w:szCs w:val="20"/>
          <w:color w:val="auto"/>
        </w:rPr>
      </w:pPr>
      <w:r>
        <w:rPr>
          <w:rFonts w:ascii="Times New Roman" w:cs="Times New Roman" w:eastAsia="Times New Roman" w:hAnsi="Times New Roman"/>
          <w:sz w:val="19"/>
          <w:szCs w:val="19"/>
          <w:color w:val="auto"/>
        </w:rPr>
        <w:t>similar customary exceptions to non-recourse liability); and (j) all Indebtedness of another Person secured by (or for which the holder of such</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Indebtedness has an existing right, contingent or otherwise, to be secured by) any Lien on property or assets owned by such Person, even though such Person has not assumed or become liable for the payment of such Indebtedness or other payment obligation. Indebtedness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Borrowers and their respective Subsidiaries shall exclude </w:t>
      </w:r>
      <w:r>
        <w:rPr>
          <w:rFonts w:ascii="Times New Roman" w:cs="Times New Roman" w:eastAsia="Times New Roman" w:hAnsi="Times New Roman"/>
          <w:sz w:val="20"/>
          <w:szCs w:val="20"/>
          <w:u w:val="single" w:color="auto"/>
          <w:color w:val="0101FF"/>
        </w:rPr>
        <w:t>(A) subscription facilities incurred by Fund Investments so long as the Borrowers</w:t>
      </w: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0101FF"/>
        </w:rPr>
        <w:t>and their Subsidiaries are not direct obligors with respect thereto and (B)</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the following but only to the extent the outstanding principal</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amount of the following Indebtedness does not exceed $100,000,000 in the aggregate at the time of determination: (a) Indebtedness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-127000</wp:posOffset>
            </wp:positionV>
            <wp:extent cx="482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48260" cy="889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SLGOP in respect of the Junior Subordinated Indenture and (b) Indebtedness of any Borrower in respect of any other debt securities (and</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guarantees, if any, in respect of such debt securities) issued to any trust other than the Trust (or a trustee of any such trust), or to any partnership or other entity affiliated with such Borrower that is a financing vehicle of such Borrower (a “</w:t>
      </w:r>
      <w:r>
        <w:rPr>
          <w:rFonts w:ascii="Times New Roman" w:cs="Times New Roman" w:eastAsia="Times New Roman" w:hAnsi="Times New Roman"/>
          <w:sz w:val="20"/>
          <w:szCs w:val="20"/>
          <w:b w:val="1"/>
          <w:bCs w:val="1"/>
          <w:color w:val="auto"/>
        </w:rPr>
        <w:t>financing entity</w:t>
      </w:r>
      <w:r>
        <w:rPr>
          <w:rFonts w:ascii="Times New Roman" w:cs="Times New Roman" w:eastAsia="Times New Roman" w:hAnsi="Times New Roman"/>
          <w:sz w:val="20"/>
          <w:szCs w:val="20"/>
          <w:color w:val="auto"/>
        </w:rPr>
        <w:t>”) in connection</w:t>
      </w:r>
    </w:p>
    <w:p>
      <w:pPr>
        <w:spacing w:after="0" w:line="223" w:lineRule="auto"/>
        <w:rPr>
          <w:sz w:val="20"/>
          <w:szCs w:val="20"/>
          <w:color w:val="auto"/>
        </w:rPr>
      </w:pPr>
      <w:r>
        <w:rPr>
          <w:rFonts w:ascii="Times New Roman" w:cs="Times New Roman" w:eastAsia="Times New Roman" w:hAnsi="Times New Roman"/>
          <w:sz w:val="19"/>
          <w:szCs w:val="19"/>
          <w:color w:val="auto"/>
        </w:rPr>
        <w:t>with the issuance by such financing entity of equity securities or other securities pursuant to an instrument that ranks pari passu with or junior</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in right of payment to the Junior Subordinated Indenture so long as the maturity of the Indebtedness of such Borrower referred to in this clause (b) is after the </w:t>
      </w:r>
      <w:r>
        <w:rPr>
          <w:rFonts w:ascii="Times New Roman" w:cs="Times New Roman" w:eastAsia="Times New Roman" w:hAnsi="Times New Roman"/>
          <w:sz w:val="20"/>
          <w:szCs w:val="20"/>
          <w:u w:val="single" w:color="auto"/>
          <w:color w:val="0101FF"/>
        </w:rPr>
        <w:t>latest of the</w:t>
      </w:r>
      <w:r>
        <w:rPr>
          <w:rFonts w:ascii="Times New Roman" w:cs="Times New Roman" w:eastAsia="Times New Roman" w:hAnsi="Times New Roman"/>
          <w:sz w:val="20"/>
          <w:szCs w:val="20"/>
          <w:color w:val="auto"/>
        </w:rPr>
        <w:t xml:space="preserve"> Maturity Date </w:t>
      </w:r>
      <w:r>
        <w:rPr>
          <w:rFonts w:ascii="Times New Roman" w:cs="Times New Roman" w:eastAsia="Times New Roman" w:hAnsi="Times New Roman"/>
          <w:sz w:val="20"/>
          <w:szCs w:val="20"/>
          <w:color w:val="0101FF"/>
        </w:rPr>
        <w:t>and the maturity date with respect to any other Class of Loans created hereunder</w:t>
      </w:r>
      <w:r>
        <w:rPr>
          <w:rFonts w:ascii="Times New Roman" w:cs="Times New Roman" w:eastAsia="Times New Roman" w:hAnsi="Times New Roman"/>
          <w:sz w:val="20"/>
          <w:szCs w:val="20"/>
          <w:color w:val="auto"/>
        </w:rPr>
        <w:t>. All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-6985</wp:posOffset>
            </wp:positionV>
            <wp:extent cx="48742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48742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to a Borrower shall constitute Indebtedness of each other Borrower.</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Indemnifiable Amounts</w:t>
      </w:r>
      <w:r>
        <w:rPr>
          <w:rFonts w:ascii="Times New Roman" w:cs="Times New Roman" w:eastAsia="Times New Roman" w:hAnsi="Times New Roman"/>
          <w:sz w:val="20"/>
          <w:szCs w:val="20"/>
          <w:color w:val="auto"/>
        </w:rPr>
        <w:t>” has the meaning given that term in Section 11.6.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Costs</w:t>
      </w:r>
      <w:r>
        <w:rPr>
          <w:rFonts w:ascii="Times New Roman" w:cs="Times New Roman" w:eastAsia="Times New Roman" w:hAnsi="Times New Roman"/>
          <w:sz w:val="20"/>
          <w:szCs w:val="20"/>
          <w:color w:val="auto"/>
        </w:rPr>
        <w:t>” has the meaning given that term in Section 12.9.</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has the meaning given that term in Section 12.9.</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w:t>
      </w:r>
    </w:p>
    <w:p>
      <w:pPr>
        <w:jc w:val="both"/>
        <w:spacing w:after="0" w:line="221" w:lineRule="auto"/>
        <w:rPr>
          <w:sz w:val="20"/>
          <w:szCs w:val="20"/>
          <w:color w:val="auto"/>
        </w:rPr>
      </w:pPr>
      <w:r>
        <w:rPr>
          <w:rFonts w:ascii="Times New Roman" w:cs="Times New Roman" w:eastAsia="Times New Roman" w:hAnsi="Times New Roman"/>
          <w:sz w:val="20"/>
          <w:szCs w:val="20"/>
          <w:color w:val="auto"/>
        </w:rPr>
        <w:t>account of any obligation of any of the Borrowers or any other Loan Party under any Loan Document and (b) to the extent not otherwise described in the immediately preceding clause (a), Other Taxes.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Indemnity Proceeding</w:t>
      </w:r>
      <w:r>
        <w:rPr>
          <w:rFonts w:ascii="Times New Roman" w:cs="Times New Roman" w:eastAsia="Times New Roman" w:hAnsi="Times New Roman"/>
          <w:sz w:val="20"/>
          <w:szCs w:val="20"/>
          <w:color w:val="auto"/>
        </w:rPr>
        <w:t>” has the meaning given that term in Section 12.9.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has the meaning given that term in Section 12.8.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 Materials</w:t>
      </w:r>
      <w:r>
        <w:rPr>
          <w:rFonts w:ascii="Times New Roman" w:cs="Times New Roman" w:eastAsia="Times New Roman" w:hAnsi="Times New Roman"/>
          <w:sz w:val="20"/>
          <w:szCs w:val="20"/>
          <w:color w:val="auto"/>
        </w:rPr>
        <w:t>” has the meaning given that term in Section 8.6.</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has the meaning given that term in Section 6.1.(s).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 Expense</w:t>
      </w:r>
      <w:r>
        <w:rPr>
          <w:rFonts w:ascii="Times New Roman" w:cs="Times New Roman" w:eastAsia="Times New Roman" w:hAnsi="Times New Roman"/>
          <w:sz w:val="19"/>
          <w:szCs w:val="19"/>
          <w:color w:val="auto"/>
        </w:rPr>
        <w:t>” means, with respect to a Person and for a given period, without duplication, total interest expense of such Person</w:t>
      </w:r>
    </w:p>
    <w:p>
      <w:pPr>
        <w:spacing w:after="0" w:line="10"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and its Subsidiaries, including capitalized interest not funded under a construction loan interest reserve account, determined on a consolidated basis in accordance with GAAP for such period.</w:t>
      </w:r>
    </w:p>
    <w:p>
      <w:pPr>
        <w:spacing w:after="0" w:line="1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 with respect to each SOFR Loan, each period commencing on the date such SOFR Loan is made, or in the case of the Continuation of a SOFR Loan the last day of the preceding Interest Period for such Loan, and ending on the numerically</w:t>
      </w:r>
    </w:p>
    <w:p>
      <w:pPr>
        <w:spacing w:after="0" w:line="213" w:lineRule="auto"/>
        <w:rPr>
          <w:sz w:val="20"/>
          <w:szCs w:val="20"/>
          <w:color w:val="auto"/>
        </w:rPr>
      </w:pPr>
      <w:r>
        <w:rPr>
          <w:rFonts w:ascii="Times New Roman" w:cs="Times New Roman" w:eastAsia="Times New Roman" w:hAnsi="Times New Roman"/>
          <w:sz w:val="20"/>
          <w:szCs w:val="20"/>
          <w:color w:val="auto"/>
        </w:rPr>
        <w:t>corresponding day in the first or third calendar month thereafter, in each case, as the Borrower Representative may select in a Notice of</w:t>
      </w:r>
    </w:p>
    <w:p>
      <w:pPr>
        <w:jc w:val="both"/>
        <w:spacing w:after="0" w:line="215" w:lineRule="auto"/>
        <w:rPr>
          <w:sz w:val="20"/>
          <w:szCs w:val="20"/>
          <w:color w:val="auto"/>
        </w:rPr>
      </w:pPr>
      <w:r>
        <w:rPr>
          <w:rFonts w:ascii="Times New Roman" w:cs="Times New Roman" w:eastAsia="Times New Roman" w:hAnsi="Times New Roman"/>
          <w:sz w:val="19"/>
          <w:szCs w:val="19"/>
          <w:color w:val="auto"/>
        </w:rPr>
        <w:t>Borrowing, Notice of Continuation or Notice of Conversion, as the case may be, except that each Interest Period that commences on the last Business Day of a calendar month (or on any day for which there is no numerically corresponding day in the appropriate subsequent calendar</w:t>
      </w:r>
    </w:p>
    <w:p>
      <w:pPr>
        <w:spacing w:after="0"/>
        <w:rPr>
          <w:sz w:val="20"/>
          <w:szCs w:val="20"/>
          <w:color w:val="auto"/>
        </w:rPr>
      </w:pPr>
      <w:r>
        <w:rPr>
          <w:rFonts w:ascii="Times New Roman" w:cs="Times New Roman" w:eastAsia="Times New Roman" w:hAnsi="Times New Roman"/>
          <w:sz w:val="20"/>
          <w:szCs w:val="20"/>
          <w:color w:val="auto"/>
        </w:rPr>
        <w:t>month) shall end on the last Business Day of the appropriate subsequent calendar month.</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Notwithstanding the foregoing: (i) if any Interest Period for a Loan would otherwise end after the Maturity Date, such Interest Period shall end on the Maturity Date; (ii) each Interest Period that would otherwise end on a day which is not a Business Day shall end on the immediately following Business Day (or, if such immediately following Business Day falls in the next calendar month, on the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- 16 -</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preceding Business Day), (iii) no tenor that has been removed from this definition pursuant to Section 4.2(b)(iv) shall be available for specification in any Notice of Borrowing or Notice of Conversion or Notice of Continuation, (iv) solely for purposes of the initial Interest Period, such Interest Period shall be deemed to commence on the Effective Date and end on December 31, 2024 and (v) solely in the case of the incurrence of Additional Loans pursuant to Section 2.19, the initial Interest Period of such Loans may have a duration separately agreed to among the Borrowers, the Administrative Agent and the Lenders providing such Additional Loans.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Internal Revenue Code</w:t>
      </w:r>
      <w:r>
        <w:rPr>
          <w:rFonts w:ascii="Times New Roman" w:cs="Times New Roman" w:eastAsia="Times New Roman" w:hAnsi="Times New Roman"/>
          <w:sz w:val="20"/>
          <w:szCs w:val="20"/>
          <w:color w:val="auto"/>
        </w:rPr>
        <w:t>” means the Internal Revenue Code of 1986, as amended.</w:t>
      </w:r>
    </w:p>
    <w:p>
      <w:pPr>
        <w:spacing w:after="0" w:line="17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means, with respect to any Person, any acquisition or investment (whether or not of a controlling interest) by such Person, by means of any of the following: (a) the purchase or other acquisition of any Equity Interest in another Person, (b) a loan, advance</w:t>
      </w:r>
    </w:p>
    <w:p>
      <w:pPr>
        <w:spacing w:after="0" w:line="224" w:lineRule="auto"/>
        <w:rPr>
          <w:sz w:val="20"/>
          <w:szCs w:val="20"/>
          <w:color w:val="auto"/>
        </w:rPr>
      </w:pPr>
      <w:r>
        <w:rPr>
          <w:rFonts w:ascii="Times New Roman" w:cs="Times New Roman" w:eastAsia="Times New Roman" w:hAnsi="Times New Roman"/>
          <w:sz w:val="19"/>
          <w:szCs w:val="19"/>
          <w:color w:val="auto"/>
        </w:rPr>
        <w:t>or extension of credit to, capital contribution to, Guaranty of Indebtedness of, or purchase or other acquisition of any Indebtedness of, another</w:t>
      </w:r>
    </w:p>
    <w:p>
      <w:pPr>
        <w:jc w:val="both"/>
        <w:spacing w:after="0" w:line="204" w:lineRule="auto"/>
        <w:rPr>
          <w:sz w:val="20"/>
          <w:szCs w:val="20"/>
          <w:color w:val="auto"/>
        </w:rPr>
      </w:pPr>
      <w:r>
        <w:rPr>
          <w:rFonts w:ascii="Times New Roman" w:cs="Times New Roman" w:eastAsia="Times New Roman" w:hAnsi="Times New Roman"/>
          <w:sz w:val="20"/>
          <w:szCs w:val="20"/>
          <w:color w:val="auto"/>
        </w:rPr>
        <w:t>Person, including any partnership or joint venture interest in such other Person, or (c) the purchase or other acquisition (in one transaction or a series of transactions) of assets of another Person that constitute the business or a division or operating unit of another Person. Any</w:t>
      </w:r>
    </w:p>
    <w:p>
      <w:pPr>
        <w:spacing w:after="0" w:line="211" w:lineRule="auto"/>
        <w:rPr>
          <w:sz w:val="20"/>
          <w:szCs w:val="20"/>
          <w:color w:val="auto"/>
        </w:rPr>
      </w:pPr>
      <w:r>
        <w:rPr>
          <w:rFonts w:ascii="Times New Roman" w:cs="Times New Roman" w:eastAsia="Times New Roman" w:hAnsi="Times New Roman"/>
          <w:sz w:val="20"/>
          <w:szCs w:val="20"/>
          <w:color w:val="auto"/>
        </w:rPr>
        <w:t>commitment to make an Investment in any other Person, as well as any option of another Person to require an Investment in such Person,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shall constitute an Investment but only in an amount equal to the stated or determinable amount thereof and only to the extent that all conditions to such Investment have been satisfied or waived. Except as expressly provided otherwise, for purposes of determining</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compliance with any covenant contained in a Loan Document, the amount of any Investment shall be the amount actually invested, without adjustment for subsequent increases or decreases in the value of such Investment.</w:t>
      </w:r>
    </w:p>
    <w:p>
      <w:pPr>
        <w:spacing w:after="0" w:line="13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Grade Rating</w:t>
      </w:r>
      <w:r>
        <w:rPr>
          <w:rFonts w:ascii="Times New Roman" w:cs="Times New Roman" w:eastAsia="Times New Roman" w:hAnsi="Times New Roman"/>
          <w:sz w:val="20"/>
          <w:szCs w:val="20"/>
          <w:color w:val="auto"/>
        </w:rPr>
        <w:t>” means a Credit Rating of BBB- or higher from S&amp;P, Baa3 or higher from Moody’s or BBB- or higher from Fitch.</w:t>
      </w:r>
    </w:p>
    <w:p>
      <w:pPr>
        <w:spacing w:after="0" w:line="14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ISP</w:t>
      </w:r>
      <w:r>
        <w:rPr>
          <w:rFonts w:ascii="Times New Roman" w:cs="Times New Roman" w:eastAsia="Times New Roman" w:hAnsi="Times New Roman"/>
          <w:sz w:val="20"/>
          <w:szCs w:val="20"/>
          <w:color w:val="auto"/>
        </w:rPr>
        <w:t>” means the International Standby Practices (1998 Revision, effective January 1, 1999), International Chamber of Commerce Publication No. 590.</w:t>
      </w:r>
    </w:p>
    <w:p>
      <w:pPr>
        <w:spacing w:after="0" w:line="14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Subordinated Indenture</w:t>
      </w:r>
      <w:r>
        <w:rPr>
          <w:rFonts w:ascii="Times New Roman" w:cs="Times New Roman" w:eastAsia="Times New Roman" w:hAnsi="Times New Roman"/>
          <w:sz w:val="20"/>
          <w:szCs w:val="20"/>
          <w:color w:val="auto"/>
        </w:rPr>
        <w:t>” means that certain Junior Subordinated Indenture dated as of June 30, 2005 by and between SLGOP and JPMorgan Chase Bank, National Association, as Trustee.</w:t>
      </w:r>
    </w:p>
    <w:p>
      <w:pPr>
        <w:spacing w:after="0" w:line="14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Lead Arranger</w:t>
      </w:r>
      <w:r>
        <w:rPr>
          <w:rFonts w:ascii="Times New Roman" w:cs="Times New Roman" w:eastAsia="Times New Roman" w:hAnsi="Times New Roman"/>
          <w:sz w:val="20"/>
          <w:szCs w:val="20"/>
          <w:color w:val="auto"/>
        </w:rPr>
        <w:t>” means each Person identified as such in the introductory paragraph hereof and shall include each such Person’s successor and permitted assigns.</w:t>
      </w:r>
    </w:p>
    <w:p>
      <w:pPr>
        <w:spacing w:after="0" w:line="1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means each financial institution from time to time party hereto as a “Lender” together with its respective successors and permitted assigns; provided, however, that the term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except as otherwise expressly provided herein, shall exclude any Lender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Affiliates) in its capacity as a Specified Derivatives Provider.</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Parties</w:t>
      </w:r>
      <w:r>
        <w:rPr>
          <w:rFonts w:ascii="Times New Roman" w:cs="Times New Roman" w:eastAsia="Times New Roman" w:hAnsi="Times New Roman"/>
          <w:sz w:val="20"/>
          <w:szCs w:val="20"/>
          <w:color w:val="auto"/>
        </w:rPr>
        <w:t>” means, collectively, the Administrative Agent, the Lenders, the Specified Derivatives Providers, each co-agent or sub-agent appointed by the Administrative Agent from time to time pursuant to Section 11.5., any other holder from time to time of any of any Obligations and, in each case, their respective successors and permitted assigns.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Lending Office</w:t>
      </w:r>
      <w:r>
        <w:rPr>
          <w:rFonts w:ascii="Times New Roman" w:cs="Times New Roman" w:eastAsia="Times New Roman" w:hAnsi="Times New Roman"/>
          <w:sz w:val="20"/>
          <w:szCs w:val="20"/>
          <w:color w:val="auto"/>
        </w:rPr>
        <w:t>” means, for each Lender and for each Type of Loan, the office of such Lender specified in such Lender’s</w:t>
      </w:r>
    </w:p>
    <w:p>
      <w:pPr>
        <w:jc w:val="both"/>
        <w:spacing w:after="0" w:line="221" w:lineRule="auto"/>
        <w:rPr>
          <w:sz w:val="20"/>
          <w:szCs w:val="20"/>
          <w:color w:val="auto"/>
        </w:rPr>
      </w:pPr>
      <w:r>
        <w:rPr>
          <w:rFonts w:ascii="Times New Roman" w:cs="Times New Roman" w:eastAsia="Times New Roman" w:hAnsi="Times New Roman"/>
          <w:sz w:val="20"/>
          <w:szCs w:val="20"/>
          <w:color w:val="auto"/>
        </w:rPr>
        <w:t>Administrative Questionnaire or in the applicable Assignment and Assumption, or such other office of such Lender as such Lender may notify the Administrative Agent in writing from time to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Level</w:t>
      </w:r>
      <w:r>
        <w:rPr>
          <w:rFonts w:ascii="Times New Roman" w:cs="Times New Roman" w:eastAsia="Times New Roman" w:hAnsi="Times New Roman"/>
          <w:sz w:val="20"/>
          <w:szCs w:val="20"/>
          <w:color w:val="auto"/>
        </w:rPr>
        <w:t>” has the meaning given that term in the definition of the term “Applicable Margin.”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as applied to the property of any Person means: (a) any security interest, encumbrance, mortgage, deed to secure debt, deed</w:t>
      </w:r>
    </w:p>
    <w:p>
      <w:pPr>
        <w:jc w:val="both"/>
        <w:spacing w:after="0" w:line="221" w:lineRule="auto"/>
        <w:rPr>
          <w:sz w:val="20"/>
          <w:szCs w:val="20"/>
          <w:color w:val="auto"/>
        </w:rPr>
      </w:pPr>
      <w:r>
        <w:rPr>
          <w:rFonts w:ascii="Times New Roman" w:cs="Times New Roman" w:eastAsia="Times New Roman" w:hAnsi="Times New Roman"/>
          <w:sz w:val="20"/>
          <w:szCs w:val="20"/>
          <w:color w:val="auto"/>
        </w:rPr>
        <w:t>of trust, assignment of leases and rents, pledge, lien, hypothecation, assignment, charge or lease constituting a Capitalized Lease Obligation, conditional sale or other title retention agreement, or other security title or encumbrance of any kind in respect of any property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- 17 -</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6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Person, or upon the income, rents or profits therefrom; (b) any arrangement, express or implied, under which any property of such Person is transferred, sequestered or otherwise identified for the purpose of subjecting the same to the payment of Indebtedness or performance of any</w:t>
      </w:r>
    </w:p>
    <w:p>
      <w:pPr>
        <w:spacing w:after="0" w:line="211" w:lineRule="auto"/>
        <w:rPr>
          <w:sz w:val="20"/>
          <w:szCs w:val="20"/>
          <w:color w:val="auto"/>
        </w:rPr>
      </w:pPr>
      <w:r>
        <w:rPr>
          <w:rFonts w:ascii="Times New Roman" w:cs="Times New Roman" w:eastAsia="Times New Roman" w:hAnsi="Times New Roman"/>
          <w:sz w:val="20"/>
          <w:szCs w:val="20"/>
          <w:color w:val="auto"/>
        </w:rPr>
        <w:t>other obligation in priority to the payment of the general, unsecured creditors of such Person; and (c) the filing of any financing statement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under the UCC or its equivalent in any jurisdiction, other than any precautionary filing not otherwise constituting or giving rise to a Lien, including a financing statement filed (i) in respect of a lease not constituting a Capitalized Lease Obligation pursuant to Section 9-505 (or 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successor provision) of the UCC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a loan made by a Lender as described in Section 2.2.(a) or an Additional Loan made pursuant to Section 2.19.</w:t>
      </w:r>
    </w:p>
    <w:p>
      <w:pPr>
        <w:spacing w:after="0" w:line="16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w:t>
      </w:r>
      <w:r>
        <w:rPr>
          <w:rFonts w:ascii="Times New Roman" w:cs="Times New Roman" w:eastAsia="Times New Roman" w:hAnsi="Times New Roman"/>
          <w:sz w:val="20"/>
          <w:szCs w:val="20"/>
          <w:color w:val="auto"/>
        </w:rPr>
        <w:t>” means this Agreement, each Note, the New York Mortgages, and each other document or instrument now or hereafter executed and delivered by a Loan Party in connection with, pursuant to or relating to this Agreement (other than the Fee Letters and any Specified Derivatives Contract).</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Party</w:t>
      </w:r>
      <w:r>
        <w:rPr>
          <w:rFonts w:ascii="Times New Roman" w:cs="Times New Roman" w:eastAsia="Times New Roman" w:hAnsi="Times New Roman"/>
          <w:sz w:val="20"/>
          <w:szCs w:val="20"/>
          <w:color w:val="auto"/>
        </w:rPr>
        <w:t>” means each Borrower.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Mandatorily Redeemable Stock</w:t>
      </w:r>
      <w:r>
        <w:rPr>
          <w:rFonts w:ascii="Times New Roman" w:cs="Times New Roman" w:eastAsia="Times New Roman" w:hAnsi="Times New Roman"/>
          <w:sz w:val="20"/>
          <w:szCs w:val="20"/>
          <w:color w:val="auto"/>
        </w:rPr>
        <w:t>” means, with respect to any Person, any Equity Interest of such Person which by the terms of</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Equity Interest (or by the terms of any security into which it is convertible or for which it is exchangeable or exercisable), upon the happening of any event or otherwise, (a) matures or is mandatorily redeemable, pursuant to a sinking fund obligation or otherwise (other than</w:t>
      </w:r>
    </w:p>
    <w:p>
      <w:pPr>
        <w:jc w:val="both"/>
        <w:spacing w:after="0" w:line="204" w:lineRule="auto"/>
        <w:rPr>
          <w:sz w:val="20"/>
          <w:szCs w:val="20"/>
          <w:color w:val="auto"/>
        </w:rPr>
      </w:pPr>
      <w:r>
        <w:rPr>
          <w:rFonts w:ascii="Times New Roman" w:cs="Times New Roman" w:eastAsia="Times New Roman" w:hAnsi="Times New Roman"/>
          <w:sz w:val="20"/>
          <w:szCs w:val="20"/>
          <w:color w:val="auto"/>
        </w:rPr>
        <w:t>an Equity Interest to the extent redeemable in exchange for common stock or other equivalent common Equity Interests at the option of the issuer of such Equity Interest), (b) is convertible into or exchangeable or exercisable for Indebtedness or Mandatorily Redeemable Stock, or</w:t>
      </w:r>
    </w:p>
    <w:p>
      <w:pPr>
        <w:spacing w:after="0" w:line="1" w:lineRule="exact"/>
        <w:rPr>
          <w:sz w:val="20"/>
          <w:szCs w:val="20"/>
          <w:color w:val="auto"/>
        </w:rPr>
      </w:pPr>
    </w:p>
    <w:p>
      <w:pPr>
        <w:jc w:val="both"/>
        <w:ind w:firstLine="8"/>
        <w:spacing w:after="0" w:line="223" w:lineRule="auto"/>
        <w:tabs>
          <w:tab w:leader="none" w:pos="27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redeemable at the option of the holder thereof, in whole or part (other than an Equity Interest which is redeemable solely in exchange for common stock or other equivalent common Equity Interests), in each case on or prior to the </w:t>
      </w:r>
      <w:r>
        <w:rPr>
          <w:rFonts w:ascii="Times New Roman" w:cs="Times New Roman" w:eastAsia="Times New Roman" w:hAnsi="Times New Roman"/>
          <w:sz w:val="20"/>
          <w:szCs w:val="20"/>
          <w:u w:val="single" w:color="auto"/>
          <w:color w:val="0101FF"/>
        </w:rPr>
        <w:t>latest of the</w:t>
      </w:r>
      <w:r>
        <w:rPr>
          <w:rFonts w:ascii="Times New Roman" w:cs="Times New Roman" w:eastAsia="Times New Roman" w:hAnsi="Times New Roman"/>
          <w:sz w:val="20"/>
          <w:szCs w:val="20"/>
          <w:color w:val="auto"/>
        </w:rPr>
        <w:t xml:space="preserve"> Maturity Date </w:t>
      </w:r>
      <w:r>
        <w:rPr>
          <w:rFonts w:ascii="Times New Roman" w:cs="Times New Roman" w:eastAsia="Times New Roman" w:hAnsi="Times New Roman"/>
          <w:sz w:val="20"/>
          <w:szCs w:val="20"/>
          <w:color w:val="0101FF"/>
        </w:rPr>
        <w:t>and the maturity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date with respect to any other Class of Loans created hereunder</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-157480</wp:posOffset>
            </wp:positionV>
            <wp:extent cx="400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-157480</wp:posOffset>
            </wp:positionV>
            <wp:extent cx="8801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10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b w:val="1"/>
          <w:bCs w:val="1"/>
          <w:u w:val="single" w:color="auto"/>
          <w:color w:val="0101FF"/>
        </w:rPr>
        <w:t>Marketable Securities</w:t>
      </w:r>
      <w:r>
        <w:rPr>
          <w:rFonts w:ascii="Times New Roman" w:cs="Times New Roman" w:eastAsia="Times New Roman" w:hAnsi="Times New Roman"/>
          <w:sz w:val="20"/>
          <w:szCs w:val="20"/>
          <w:u w:val="single" w:color="auto"/>
          <w:color w:val="0101FF"/>
        </w:rPr>
        <w:t>” means the securities owned by the Borrower or any of its Subsidiaries which are publicly traded on a nationally-recognized exchange or in the over-the-counter markets.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 materially adverse effect on (a) the business, assets, liabilities, financial condition or results of</w:t>
      </w:r>
    </w:p>
    <w:p>
      <w:pPr>
        <w:spacing w:after="0" w:line="204" w:lineRule="auto"/>
        <w:rPr>
          <w:sz w:val="20"/>
          <w:szCs w:val="20"/>
          <w:color w:val="auto"/>
        </w:rPr>
      </w:pPr>
      <w:r>
        <w:rPr>
          <w:rFonts w:ascii="Times New Roman" w:cs="Times New Roman" w:eastAsia="Times New Roman" w:hAnsi="Times New Roman"/>
          <w:sz w:val="20"/>
          <w:szCs w:val="20"/>
          <w:color w:val="auto"/>
        </w:rPr>
        <w:t>operations of any Borrower and its respective Subsidiaries taken as a whole, (b) the ability of any Borrower or any other Loan Party to perform its obligations under any Loan Document or Fee Letter to which it is a party, (c) the validity or enforceability of any of the Loan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Documents, (d) the rights and remedies of the Lenders and the Administrative Agent under any of the Loan Documents or (e) the timely payment of the principal of or interest on the Loans or other amounts payable in connection therewith.</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Indebtedness</w:t>
      </w:r>
      <w:r>
        <w:rPr>
          <w:rFonts w:ascii="Times New Roman" w:cs="Times New Roman" w:eastAsia="Times New Roman" w:hAnsi="Times New Roman"/>
          <w:sz w:val="20"/>
          <w:szCs w:val="20"/>
          <w:color w:val="auto"/>
        </w:rPr>
        <w:t>” has the meaning given that term in Section 10.1.(d)(i).</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Subsidiary</w:t>
      </w:r>
      <w:r>
        <w:rPr>
          <w:rFonts w:ascii="Times New Roman" w:cs="Times New Roman" w:eastAsia="Times New Roman" w:hAnsi="Times New Roman"/>
          <w:sz w:val="20"/>
          <w:szCs w:val="20"/>
          <w:color w:val="auto"/>
        </w:rPr>
        <w:t>” means any Subsidiary to which more than seven and one-half of one percent (7.5%) of Total Asset Value is attributable on an individual basis.</w:t>
      </w:r>
    </w:p>
    <w:p>
      <w:pPr>
        <w:spacing w:after="0" w:line="12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November 19, 2025, as the same may be extended in accordance with the terms of Section 2.14. and/or Section 12.6.(e).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means Moody’s Investors Service, Inc. and its successors.</w:t>
      </w:r>
    </w:p>
    <w:p>
      <w:pPr>
        <w:spacing w:after="0" w:line="17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- 18 -</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 Receivable</w:t>
      </w:r>
      <w:r>
        <w:rPr>
          <w:rFonts w:ascii="Times New Roman" w:cs="Times New Roman" w:eastAsia="Times New Roman" w:hAnsi="Times New Roman"/>
          <w:sz w:val="20"/>
          <w:szCs w:val="20"/>
          <w:color w:val="auto"/>
        </w:rPr>
        <w:t>” means a promissory note secured by a Mortgage of which a Borrower, a Subsidiary or an Unconsolidated Affiliate is the holder and retains the rights of collection of all payments thereunder.</w:t>
      </w:r>
    </w:p>
    <w:p>
      <w:pPr>
        <w:spacing w:after="0" w:line="144"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Multiemployer Plan</w:t>
      </w:r>
      <w:r>
        <w:rPr>
          <w:rFonts w:ascii="Times New Roman" w:cs="Times New Roman" w:eastAsia="Times New Roman" w:hAnsi="Times New Roman"/>
          <w:sz w:val="19"/>
          <w:szCs w:val="19"/>
          <w:color w:val="auto"/>
        </w:rPr>
        <w:t>” means at any time a multiemployer plan within the meaning of Section 4001(a)(3) of ERISA to which any member of the ERISA Group is then making or accruing an obligation to make contributions or has within the preceding six plan years made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contributions, including for these purposes any Person which ceased to be a member of the ERISA Group during such six-year period.</w:t>
      </w:r>
    </w:p>
    <w:p>
      <w:pPr>
        <w:spacing w:after="0" w:line="13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Negative Pledge</w:t>
      </w:r>
      <w:r>
        <w:rPr>
          <w:rFonts w:ascii="Times New Roman" w:cs="Times New Roman" w:eastAsia="Times New Roman" w:hAnsi="Times New Roman"/>
          <w:sz w:val="19"/>
          <w:szCs w:val="19"/>
          <w:color w:val="auto"/>
        </w:rPr>
        <w:t>” means, with respect to a given asset, any provision of a document, instrument or agreement (other than any Loan Document) which prohibits or purports to prohibit the creation or assumption of any Lien on such asset as security for Indebtedness of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Person owning such asset or any other Person; provided, however, that an agreement that conditions a Person’s ability to encumber its assets upon the maintenance of one or more specified ratios that limit such Person’s ability to encumber its assets but that do not generally prohibit</w:t>
      </w:r>
    </w:p>
    <w:p>
      <w:pPr>
        <w:spacing w:after="0"/>
        <w:rPr>
          <w:sz w:val="20"/>
          <w:szCs w:val="20"/>
          <w:color w:val="auto"/>
        </w:rPr>
      </w:pPr>
      <w:r>
        <w:rPr>
          <w:rFonts w:ascii="Times New Roman" w:cs="Times New Roman" w:eastAsia="Times New Roman" w:hAnsi="Times New Roman"/>
          <w:sz w:val="20"/>
          <w:szCs w:val="20"/>
          <w:color w:val="auto"/>
        </w:rPr>
        <w:t>the encumbrance of its assets, or the encumbrance of specific assets, shall not constitute a Negative Pledge.</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Operating Income</w:t>
      </w:r>
      <w:r>
        <w:rPr>
          <w:rFonts w:ascii="Times New Roman" w:cs="Times New Roman" w:eastAsia="Times New Roman" w:hAnsi="Times New Roman"/>
          <w:sz w:val="20"/>
          <w:szCs w:val="20"/>
          <w:color w:val="auto"/>
        </w:rPr>
        <w:t>” means, for any Property and for a given period, the sum of the following (without duplication and determined on a consistent basis with prior periods): (a) rents and other revenues recognized in accordance with GAAP from such Property</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(including proceeds of rent loss or business interruption insurance but excluding pre-paid rents and revenues and security deposits except to the extent applied in satisfaction of tenants’ obligations for rent) minus (b) all expenses recognized in accordance with GAAP (excluding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interest but including an appropriate accrual for property taxes and insurance) related to the ownership, operation or maintenance of such Property, including but not limited to property taxes, assessments and the like, insurance, utilities, payroll costs, maintenance, repair and</w:t>
      </w:r>
    </w:p>
    <w:p>
      <w:pPr>
        <w:spacing w:after="0" w:line="211" w:lineRule="auto"/>
        <w:rPr>
          <w:sz w:val="20"/>
          <w:szCs w:val="20"/>
          <w:color w:val="auto"/>
        </w:rPr>
      </w:pPr>
      <w:r>
        <w:rPr>
          <w:rFonts w:ascii="Times New Roman" w:cs="Times New Roman" w:eastAsia="Times New Roman" w:hAnsi="Times New Roman"/>
          <w:sz w:val="20"/>
          <w:szCs w:val="20"/>
          <w:color w:val="auto"/>
        </w:rPr>
        <w:t>landscaping expenses, marketing expenses, and general and administrative expenses (including an appropriate allocation for legal,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accounting, advertising, marketing and other expenses incurred in connection with such Property, but specifically excluding general overhead expenses of any Borrower and its Subsidiaries and any property management fees) minus (c) the actual property management fee paid during</w:t>
      </w:r>
    </w:p>
    <w:p>
      <w:pPr>
        <w:spacing w:after="0"/>
        <w:rPr>
          <w:sz w:val="20"/>
          <w:szCs w:val="20"/>
          <w:color w:val="auto"/>
        </w:rPr>
      </w:pPr>
      <w:r>
        <w:rPr>
          <w:rFonts w:ascii="Times New Roman" w:cs="Times New Roman" w:eastAsia="Times New Roman" w:hAnsi="Times New Roman"/>
          <w:sz w:val="20"/>
          <w:szCs w:val="20"/>
          <w:color w:val="auto"/>
        </w:rPr>
        <w:t>such period.</w:t>
      </w:r>
    </w:p>
    <w:p>
      <w:pPr>
        <w:spacing w:after="0" w:line="13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York Mortgages</w:t>
      </w:r>
      <w:r>
        <w:rPr>
          <w:rFonts w:ascii="Times New Roman" w:cs="Times New Roman" w:eastAsia="Times New Roman" w:hAnsi="Times New Roman"/>
          <w:sz w:val="20"/>
          <w:szCs w:val="20"/>
          <w:color w:val="auto"/>
        </w:rPr>
        <w:t>” means each of the Mortgages described on Schedule 1.1. and any additional Mortgages encumbering real property located in the State of New York, in each case which have been assigned from time to time pursuant to Section 12.20.</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Newly-Acquired Property</w:t>
      </w:r>
      <w:r>
        <w:rPr>
          <w:rFonts w:ascii="Times New Roman" w:cs="Times New Roman" w:eastAsia="Times New Roman" w:hAnsi="Times New Roman"/>
          <w:sz w:val="19"/>
          <w:szCs w:val="19"/>
          <w:color w:val="auto"/>
        </w:rPr>
        <w:t>” means an Eligible Property acquired during the period of six fiscal quarters of the Parent most recently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ended.</w:t>
      </w:r>
    </w:p>
    <w:p>
      <w:pPr>
        <w:spacing w:after="0" w:line="13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means any Lender that does not approve any consent, waiver or amendment that (i) requires the approval of such Lender in accordance with the terms of Section 12.6.(b) and (ii) has been approved by the Requisite Lenders.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175"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Nonrecourse Indebtedness</w:t>
      </w:r>
      <w:r>
        <w:rPr>
          <w:rFonts w:ascii="Times New Roman" w:cs="Times New Roman" w:eastAsia="Times New Roman" w:hAnsi="Times New Roman"/>
          <w:sz w:val="19"/>
          <w:szCs w:val="19"/>
          <w:color w:val="auto"/>
        </w:rPr>
        <w:t>” means, with respect to a Person, (a) Indebtedness in respect of which recourse for payment (except for customary exceptions for fraud, misapplication of funds, environmental indemnities, voluntary bankruptcy, collusive involuntary bankruptcy</w:t>
      </w:r>
    </w:p>
    <w:p>
      <w:pPr>
        <w:spacing w:after="0" w:line="211" w:lineRule="auto"/>
        <w:rPr>
          <w:sz w:val="20"/>
          <w:szCs w:val="20"/>
          <w:color w:val="auto"/>
        </w:rPr>
      </w:pPr>
      <w:r>
        <w:rPr>
          <w:rFonts w:ascii="Times New Roman" w:cs="Times New Roman" w:eastAsia="Times New Roman" w:hAnsi="Times New Roman"/>
          <w:sz w:val="20"/>
          <w:szCs w:val="20"/>
          <w:color w:val="auto"/>
        </w:rPr>
        <w:t>and other similar customary exceptions to nonrecourse liability) is contractually limited to specific assets of such Person encumbered by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Lien securing such Indebtedness, (b) if such Person is a Single Asset Entity, any Secured Indebtedness of such Person (other than Indebtedness described in the immediately following clause (c)), or (c) if such Person is a Single Asset Holding Company or SL Green</w:t>
      </w:r>
    </w:p>
    <w:p>
      <w:pPr>
        <w:spacing w:after="0" w:line="211" w:lineRule="auto"/>
        <w:rPr>
          <w:sz w:val="20"/>
          <w:szCs w:val="20"/>
          <w:color w:val="auto"/>
        </w:rPr>
      </w:pPr>
      <w:r>
        <w:rPr>
          <w:rFonts w:ascii="Times New Roman" w:cs="Times New Roman" w:eastAsia="Times New Roman" w:hAnsi="Times New Roman"/>
          <w:sz w:val="20"/>
          <w:szCs w:val="20"/>
          <w:color w:val="auto"/>
        </w:rPr>
        <w:t>Funding (in either case, a “Holdco”), any Indebtedness (“Holdco Indebtedness”) of such Holdco resulting from a Guarantee of, or Lien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securing, Indebtedness of a Single Asset Entity that is a Subsidiary of such Holdco, so long as, in the case of a Single Asset Holding Company, either (i) recourse for payment of such Holdco Indebtedness (except for customary exceptions for fraud, misapplication of funds,</w:t>
      </w:r>
    </w:p>
    <w:p>
      <w:pPr>
        <w:spacing w:after="0" w:line="211" w:lineRule="auto"/>
        <w:rPr>
          <w:sz w:val="20"/>
          <w:szCs w:val="20"/>
          <w:color w:val="auto"/>
        </w:rPr>
      </w:pPr>
      <w:r>
        <w:rPr>
          <w:rFonts w:ascii="Times New Roman" w:cs="Times New Roman" w:eastAsia="Times New Roman" w:hAnsi="Times New Roman"/>
          <w:sz w:val="20"/>
          <w:szCs w:val="20"/>
          <w:color w:val="auto"/>
        </w:rPr>
        <w:t>environmental indemnities, voluntary bankruptcy, collusive involuntary bankruptcy and other similar customary exceptions to nonrecourse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liability) is contractually limited to the Equity Interests held by such Single Asset Holding Company in such Single Asset Entity or (ii) such Single Asset Holding Company has no assets other than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- 19 -</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Interests in such Single Asset Entity and cash and other assets of nominal value incidental to the ownership of the such Single Asset Entity.</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means a promissory note of the Borrowers substantially in the form of Exhibit J, payable to a Lender or its registered assignees in a principal amount equal to the amount of such Lender’s Loan.</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Borrowing</w:t>
      </w:r>
      <w:r>
        <w:rPr>
          <w:rFonts w:ascii="Times New Roman" w:cs="Times New Roman" w:eastAsia="Times New Roman" w:hAnsi="Times New Roman"/>
          <w:sz w:val="20"/>
          <w:szCs w:val="20"/>
          <w:color w:val="auto"/>
        </w:rPr>
        <w:t>” means a notice substantially in the form of Exhibit D (or such other form reasonably acceptable to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Administrative Agent and containing the information required in such Exhibit) to be delivered to the Administrative Agent pursuant to Section 2.2.(b) evidencing a Borrower’s request for a borrowing of Loans.</w:t>
      </w:r>
    </w:p>
    <w:p>
      <w:pPr>
        <w:spacing w:after="0" w:line="1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Continuation</w:t>
      </w:r>
      <w:r>
        <w:rPr>
          <w:rFonts w:ascii="Times New Roman" w:cs="Times New Roman" w:eastAsia="Times New Roman" w:hAnsi="Times New Roman"/>
          <w:sz w:val="20"/>
          <w:szCs w:val="20"/>
          <w:color w:val="auto"/>
        </w:rPr>
        <w:t>” means a notice substantially in the form of Exhibit E (or such other form reasonably acceptable to the Administrative Agent and containing the information required in such Exhibit) to be delivered to the Administrative Agent pursuant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2.10. evidencing a Borrower’s request for the Continuation of a SOFR Loan.</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Conversion</w:t>
      </w:r>
      <w:r>
        <w:rPr>
          <w:rFonts w:ascii="Times New Roman" w:cs="Times New Roman" w:eastAsia="Times New Roman" w:hAnsi="Times New Roman"/>
          <w:sz w:val="20"/>
          <w:szCs w:val="20"/>
          <w:color w:val="auto"/>
        </w:rPr>
        <w:t>” means a notice substantially in the form of Exhibit F (or such other form reasonably acceptable to the Administrative Agent and containing the information required in such Exhibit) to be delivered to the Administrative Agent pursuant to Section 2.11. evidencing a Borrower’s request for the Conversion of a Loan from one Type to another Type.</w:t>
      </w:r>
    </w:p>
    <w:p>
      <w:pPr>
        <w:spacing w:after="0" w:line="13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Obligations</w:t>
      </w:r>
      <w:r>
        <w:rPr>
          <w:rFonts w:ascii="Times New Roman" w:cs="Times New Roman" w:eastAsia="Times New Roman" w:hAnsi="Times New Roman"/>
          <w:sz w:val="19"/>
          <w:szCs w:val="19"/>
          <w:color w:val="auto"/>
        </w:rPr>
        <w:t>” means, individually and collectively: (a) the aggregate principal balance of, and all accrued and unpaid interest on, all Loans; and (b) all other indebtedness, liabilities, obligations, covenants and duties of the Borrowers and the other Loan Parties owing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or any Lender of every kind, nature and description, under or in respect of this Agreement or any of the other Loan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Documents, including, without limitation, the Fees and indemnification obligations, whether direct or indirect, absolute or contingent, due or not due, contractual or tortious, liquidated or unliquidated, and whether or not evidenced by any promissory note. For the avoidance of doubt,</w:t>
      </w:r>
    </w:p>
    <w:p>
      <w:pPr>
        <w:spacing w:after="0"/>
        <w:rPr>
          <w:sz w:val="20"/>
          <w:szCs w:val="20"/>
          <w:color w:val="auto"/>
        </w:rPr>
      </w:pPr>
      <w:r>
        <w:rPr>
          <w:rFonts w:ascii="Times New Roman" w:cs="Times New Roman" w:eastAsia="Times New Roman" w:hAnsi="Times New Roman"/>
          <w:sz w:val="20"/>
          <w:szCs w:val="20"/>
          <w:color w:val="auto"/>
        </w:rPr>
        <w:t>“Obligations” shall not include Specified Derivatives Obligations.</w:t>
      </w:r>
    </w:p>
    <w:p>
      <w:pPr>
        <w:spacing w:after="0" w:line="136"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Occupancy Rate</w:t>
      </w:r>
      <w:r>
        <w:rPr>
          <w:rFonts w:ascii="Times New Roman" w:cs="Times New Roman" w:eastAsia="Times New Roman" w:hAnsi="Times New Roman"/>
          <w:sz w:val="20"/>
          <w:szCs w:val="20"/>
          <w:color w:val="auto"/>
        </w:rPr>
        <w:t>” means, with respect to a Property at any time, the ratio, expressed as a percentage, of (a) the net rentable square footage of such Property actually occupied by non-Affiliate tenants paying rent at rates not materially less than rates generally prevailing at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time the applicable lease was entered into, pursuant to binding leases as to which no default in the payment of fixed or basic rent has occurred and has continued unremedied for 60 or more days to (b) the aggregate net rentable square footage of such Property. For the</w:t>
      </w:r>
    </w:p>
    <w:p>
      <w:pPr>
        <w:spacing w:after="0" w:line="211" w:lineRule="auto"/>
        <w:rPr>
          <w:sz w:val="20"/>
          <w:szCs w:val="20"/>
          <w:color w:val="auto"/>
        </w:rPr>
      </w:pPr>
      <w:r>
        <w:rPr>
          <w:rFonts w:ascii="Times New Roman" w:cs="Times New Roman" w:eastAsia="Times New Roman" w:hAnsi="Times New Roman"/>
          <w:sz w:val="20"/>
          <w:szCs w:val="20"/>
          <w:color w:val="auto"/>
        </w:rPr>
        <w:t>purposes of the definition of “Occupancy Rate”, a tenant shall be deemed to actually occupy a Property notwithstanding a temporary</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cessation of operations for renovation, repairs or other temporary reason, or for the purpose of completing tenant build out or that is otherwise scheduled to be open for business within 90 days of such date.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U.S. Department of the Treasury’s Office of Foreign Assets Control.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w:t>
      </w:r>
    </w:p>
    <w:p>
      <w:pPr>
        <w:jc w:val="both"/>
        <w:spacing w:after="0" w:line="204" w:lineRule="auto"/>
        <w:rPr>
          <w:sz w:val="20"/>
          <w:szCs w:val="20"/>
          <w:color w:val="auto"/>
        </w:rPr>
      </w:pPr>
      <w:r>
        <w:rPr>
          <w:rFonts w:ascii="Times New Roman" w:cs="Times New Roman" w:eastAsia="Times New Roman" w:hAnsi="Times New Roman"/>
          <w:sz w:val="20"/>
          <w:szCs w:val="20"/>
          <w:color w:val="auto"/>
        </w:rPr>
        <w:t>between such Recipient and the jurisdiction imposing such Tax (other than connections arising from such Recipient having executed, delivered, become a party to, performed its obligations under, received payments under, received or perfected a security interest under,</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engaged in any other transaction pursuant to or enforced any Loan Document, or sold or assigned an interest in any Loan or Loan Document).</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means all present or future stamp, court, documentary, intangible, recording, filing or similar Taxes that arise from</w:t>
      </w:r>
    </w:p>
    <w:p>
      <w:pPr>
        <w:jc w:val="both"/>
        <w:spacing w:after="0" w:line="204" w:lineRule="auto"/>
        <w:rPr>
          <w:sz w:val="20"/>
          <w:szCs w:val="20"/>
          <w:color w:val="auto"/>
        </w:rPr>
      </w:pPr>
      <w:r>
        <w:rPr>
          <w:rFonts w:ascii="Times New Roman" w:cs="Times New Roman" w:eastAsia="Times New Roman" w:hAnsi="Times New Roman"/>
          <w:sz w:val="20"/>
          <w:szCs w:val="20"/>
          <w:color w:val="auto"/>
        </w:rPr>
        <w:t>any payment made under, from the execution, delivery, performance, enforcement or registration of, from the receipt or perfection of a security interest under, or otherwise with respect to, any Loan Document, except any such Taxes that are Other Connection Taxes imposed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an assignment (other than an assignment made pursuant to Section 4.6.).</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b w:val="1"/>
          <w:bCs w:val="1"/>
          <w:u w:val="single" w:color="auto"/>
          <w:color w:val="0101FF"/>
        </w:rPr>
        <w:t>Outbound Investment Rules</w:t>
      </w:r>
      <w:r>
        <w:rPr>
          <w:rFonts w:ascii="Times New Roman" w:cs="Times New Roman" w:eastAsia="Times New Roman" w:hAnsi="Times New Roman"/>
          <w:sz w:val="20"/>
          <w:szCs w:val="20"/>
          <w:u w:val="single" w:color="auto"/>
          <w:color w:val="0101FF"/>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- 20 -</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58"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Overnight Rate</w:t>
      </w:r>
      <w:r>
        <w:rPr>
          <w:rFonts w:ascii="Times New Roman" w:cs="Times New Roman" w:eastAsia="Times New Roman" w:hAnsi="Times New Roman"/>
          <w:sz w:val="20"/>
          <w:szCs w:val="20"/>
          <w:color w:val="auto"/>
        </w:rPr>
        <w:t>” means, for any day, the greater of (a) the Federal Funds Rate and (b) an overnight rate determined by the Administrative Agent in accordance with banking industry rules on interbank compensation.</w:t>
      </w:r>
    </w:p>
    <w:p>
      <w:pPr>
        <w:spacing w:after="0" w:line="144"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Ownership Share</w:t>
      </w:r>
      <w:r>
        <w:rPr>
          <w:rFonts w:ascii="Times New Roman" w:cs="Times New Roman" w:eastAsia="Times New Roman" w:hAnsi="Times New Roman"/>
          <w:sz w:val="19"/>
          <w:szCs w:val="19"/>
          <w:color w:val="auto"/>
        </w:rPr>
        <w:t>” means, with respect to any Unconsolidated Affiliate of a Person, the greater of (a) such Person’s relative nominal direct and indirect ownership interest (expressed as a percentage) in such Unconsolidated Affiliate or (b) subject to compliance with</w:t>
      </w:r>
    </w:p>
    <w:p>
      <w:pPr>
        <w:spacing w:after="0" w:line="211" w:lineRule="auto"/>
        <w:rPr>
          <w:sz w:val="20"/>
          <w:szCs w:val="20"/>
          <w:color w:val="auto"/>
        </w:rPr>
      </w:pPr>
      <w:r>
        <w:rPr>
          <w:rFonts w:ascii="Times New Roman" w:cs="Times New Roman" w:eastAsia="Times New Roman" w:hAnsi="Times New Roman"/>
          <w:sz w:val="20"/>
          <w:szCs w:val="20"/>
          <w:color w:val="auto"/>
        </w:rPr>
        <w:t>the following paragraph, such Person’s relative direct and indirect economic interest (calculated as a percentage) in such Subsidiary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Unconsolidated Affiliate determined in accordance with the applicable provisions of the declaration of trust, articles or certificate of incorporation, articles of organization, partnership agreement, joint venture agreement or other applicable organizational document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Unconsolidated Affiliate.</w:t>
      </w:r>
    </w:p>
    <w:p>
      <w:pPr>
        <w:spacing w:after="0" w:line="13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has the meaning given that term in the introductory paragraph hereof and shall include the Parent’s successors and permitted assigns.</w:t>
      </w:r>
    </w:p>
    <w:p>
      <w:pPr>
        <w:spacing w:after="0" w:line="12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Pari Passu Indebtedness</w:t>
      </w:r>
      <w:r>
        <w:rPr>
          <w:rFonts w:ascii="Times New Roman" w:cs="Times New Roman" w:eastAsia="Times New Roman" w:hAnsi="Times New Roman"/>
          <w:sz w:val="20"/>
          <w:szCs w:val="20"/>
          <w:color w:val="auto"/>
        </w:rPr>
        <w:t>” means Indebtedness (a) owing by one or more of the Loan Parties; (b) evidenced by documents, instruments and agreements containing terms, conditions, representations, covenants and events of default substantially the same as, or less</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restrictive than, but in no event more restrictive when taken as a whole than, those contained in this Agreement and the other Loan Documents; (c) that is not Secured Indebtedness; and (d) that ranks pari passu with the Indebtedness owing hereunder.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has the meaning given that term in Section 12.5.(d).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has the meaning given that term in Section 12.5.(d).</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Recipient</w:t>
      </w:r>
      <w:r>
        <w:rPr>
          <w:rFonts w:ascii="Times New Roman" w:cs="Times New Roman" w:eastAsia="Times New Roman" w:hAnsi="Times New Roman"/>
          <w:sz w:val="20"/>
          <w:szCs w:val="20"/>
          <w:color w:val="auto"/>
        </w:rPr>
        <w:t>” has the meaning given that term in Section 11.11.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and any successor agency.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has the meaning assigned thereto in the definition of “Term SOFR”.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with respect to any asset or property of a Person, (a)(i) Liens securing taxes, assessments and other</w:t>
      </w:r>
    </w:p>
    <w:p>
      <w:pPr>
        <w:jc w:val="both"/>
        <w:spacing w:after="0" w:line="215" w:lineRule="auto"/>
        <w:rPr>
          <w:sz w:val="20"/>
          <w:szCs w:val="20"/>
          <w:color w:val="auto"/>
        </w:rPr>
      </w:pPr>
      <w:r>
        <w:rPr>
          <w:rFonts w:ascii="Times New Roman" w:cs="Times New Roman" w:eastAsia="Times New Roman" w:hAnsi="Times New Roman"/>
          <w:sz w:val="19"/>
          <w:szCs w:val="19"/>
          <w:color w:val="auto"/>
        </w:rPr>
        <w:t>charges or levies imposed by any Governmental Authority (excluding, other than for purposes of Sections 6.1.(f) and 9.2., any Lien imposed pursuant to any of the provisions of ERISA or pursuant to any Environmental Laws) or (ii) the claims of materialmen, mechanics, carriers,</w:t>
      </w:r>
    </w:p>
    <w:p>
      <w:pPr>
        <w:spacing w:after="0" w:line="222" w:lineRule="auto"/>
        <w:rPr>
          <w:sz w:val="20"/>
          <w:szCs w:val="20"/>
          <w:color w:val="auto"/>
        </w:rPr>
      </w:pPr>
      <w:r>
        <w:rPr>
          <w:rFonts w:ascii="Times New Roman" w:cs="Times New Roman" w:eastAsia="Times New Roman" w:hAnsi="Times New Roman"/>
          <w:sz w:val="19"/>
          <w:szCs w:val="19"/>
          <w:color w:val="auto"/>
        </w:rPr>
        <w:t>warehousemen or landlords for labor, materials, supplies or rentals incurred in the ordinary course of business, which, in each case, are not at</w:t>
      </w:r>
    </w:p>
    <w:p>
      <w:pPr>
        <w:spacing w:after="0" w:line="204" w:lineRule="auto"/>
        <w:rPr>
          <w:sz w:val="20"/>
          <w:szCs w:val="20"/>
          <w:color w:val="auto"/>
        </w:rPr>
      </w:pPr>
      <w:r>
        <w:rPr>
          <w:rFonts w:ascii="Times New Roman" w:cs="Times New Roman" w:eastAsia="Times New Roman" w:hAnsi="Times New Roman"/>
          <w:sz w:val="20"/>
          <w:szCs w:val="20"/>
          <w:color w:val="auto"/>
        </w:rPr>
        <w:t>the time required to be paid or discharged under Section 7.6.; (b) Liens consisting of deposits or pledges made, in the ordinary course of business, in connection with, or to secure payment of, obligations under workers’ compensation, unemployment insurance or similar</w:t>
      </w:r>
    </w:p>
    <w:p>
      <w:pPr>
        <w:spacing w:after="0" w:line="223" w:lineRule="auto"/>
        <w:rPr>
          <w:sz w:val="20"/>
          <w:szCs w:val="20"/>
          <w:color w:val="auto"/>
        </w:rPr>
      </w:pPr>
      <w:r>
        <w:rPr>
          <w:rFonts w:ascii="Times New Roman" w:cs="Times New Roman" w:eastAsia="Times New Roman" w:hAnsi="Times New Roman"/>
          <w:sz w:val="19"/>
          <w:szCs w:val="19"/>
          <w:color w:val="auto"/>
        </w:rPr>
        <w:t>Applicable Laws; (c) Liens consisting of encumbrances in the nature of zoning restrictions, easements, and rights or restrictions of record on</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use of real property, which do not materially detract from the value of such property or impair the intended use thereof in the business of such Person; (d) the rights of tenants under leases or subleases not interfering with the ordinary conduct of business of such Person;</w:t>
      </w:r>
    </w:p>
    <w:p>
      <w:pPr>
        <w:spacing w:after="0" w:line="1" w:lineRule="exact"/>
        <w:rPr>
          <w:sz w:val="20"/>
          <w:szCs w:val="20"/>
          <w:color w:val="auto"/>
        </w:rPr>
      </w:pPr>
    </w:p>
    <w:p>
      <w:pPr>
        <w:jc w:val="both"/>
        <w:ind w:firstLine="8"/>
        <w:spacing w:after="0" w:line="217" w:lineRule="auto"/>
        <w:tabs>
          <w:tab w:leader="none" w:pos="28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Liens in favor of the Administrative Agent for its benefit and the benefit of the other Lender Parties and (ii) any Liens securing the Existing Credit Agreement pursuant to Section 12.20 (or any replacement) thereof; (f) Liens securing judgments not constituting an Event of Default under Section 10.1.(h); (g) Liens (i) of a collection bank arising under Section 4-210 of the UCC on items in the course of collection,</w:t>
      </w:r>
    </w:p>
    <w:p>
      <w:pPr>
        <w:spacing w:after="0" w:line="1" w:lineRule="exact"/>
        <w:rPr>
          <w:rFonts w:ascii="Times New Roman" w:cs="Times New Roman" w:eastAsia="Times New Roman" w:hAnsi="Times New Roman"/>
          <w:sz w:val="19"/>
          <w:szCs w:val="19"/>
          <w:color w:val="auto"/>
        </w:rPr>
      </w:pPr>
    </w:p>
    <w:p>
      <w:pPr>
        <w:jc w:val="both"/>
        <w:ind w:firstLine="8"/>
        <w:spacing w:after="0" w:line="212" w:lineRule="auto"/>
        <w:tabs>
          <w:tab w:leader="none" w:pos="29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(including the right of set-off) and which are within the general parameters customary in the banking industry; (h) Liens (i) on earnest money deposits in connection with purchases and sales of properties, (ii) on cash advances in favor of the seller of any property to be acquired in an Investment permitted pursuant to this Agreement, or (iii) consisting of an agreement to dispose of any property; (i) Liens in favor of any Borrower or any 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6"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21 -</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its Subsidiaries; (j) Liens arising from precautionary UCC financing statement filings regarding leases entered into by any Borrower or any of its Subsidiaries in the ordinary course of business; (k) Liens deemed to exist in connection with Investments in repurchase agreements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permitted under this Agreement; (l) Liens encumbering reasonable customary initial deposits and margin deposits and similar Liens attaching to commodity trading accounts or other brokerage accounts incurred in the ordinary course of business and not for speculative purposes; and</w:t>
      </w:r>
    </w:p>
    <w:p>
      <w:pPr>
        <w:jc w:val="both"/>
        <w:ind w:firstLine="8"/>
        <w:spacing w:after="0" w:line="223" w:lineRule="auto"/>
        <w:tabs>
          <w:tab w:leader="none" w:pos="34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not specifically listed above securing obligations in an aggregate principal amount not to exceed $10,000,000;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Liens described in the foregoing clauses (e)(ii) and (g) through (m) shall constitute Permitted Liens solely for purposes of Sections 6.1.(f) and 9.2.</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limited partnership, general partnership, joint stock company, limited liability</w:t>
      </w:r>
    </w:p>
    <w:p>
      <w:pPr>
        <w:jc w:val="both"/>
        <w:spacing w:after="0" w:line="221" w:lineRule="auto"/>
        <w:rPr>
          <w:sz w:val="20"/>
          <w:szCs w:val="20"/>
          <w:color w:val="auto"/>
        </w:rPr>
      </w:pPr>
      <w:r>
        <w:rPr>
          <w:rFonts w:ascii="Times New Roman" w:cs="Times New Roman" w:eastAsia="Times New Roman" w:hAnsi="Times New Roman"/>
          <w:sz w:val="20"/>
          <w:szCs w:val="20"/>
          <w:color w:val="auto"/>
        </w:rPr>
        <w:t>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44"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at any time an employee pension benefit plan (other than a Multiemployer Plan) which is covered by Title IV of ERISA or subject to the minimum funding standards under Section 412 of the Internal Revenue Code and either (a) is maintained, or</w:t>
      </w:r>
    </w:p>
    <w:p>
      <w:pPr>
        <w:spacing w:after="0" w:line="213" w:lineRule="auto"/>
        <w:rPr>
          <w:sz w:val="20"/>
          <w:szCs w:val="20"/>
          <w:color w:val="auto"/>
        </w:rPr>
      </w:pPr>
      <w:r>
        <w:rPr>
          <w:rFonts w:ascii="Times New Roman" w:cs="Times New Roman" w:eastAsia="Times New Roman" w:hAnsi="Times New Roman"/>
          <w:sz w:val="20"/>
          <w:szCs w:val="20"/>
          <w:color w:val="auto"/>
        </w:rPr>
        <w:t>contributed to, by any member of the ERISA Group for employees of any member of the ERISA Group or (b) has at any time within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preceding six years been maintained, or contributed to, by any Person which was at such time a member of the ERISA Group for employees of any Person which was at such time a member of the ERISA Group.</w:t>
      </w:r>
    </w:p>
    <w:p>
      <w:pPr>
        <w:spacing w:after="0" w:line="13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Post-Default Rate</w:t>
      </w:r>
      <w:r>
        <w:rPr>
          <w:rFonts w:ascii="Times New Roman" w:cs="Times New Roman" w:eastAsia="Times New Roman" w:hAnsi="Times New Roman"/>
          <w:sz w:val="20"/>
          <w:szCs w:val="20"/>
          <w:color w:val="auto"/>
        </w:rPr>
        <w:t xml:space="preserve">” means, in respect of any principal of any Loan, the rate otherwise applicable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two percent (2.0%) per annum and with respect to any other Obligation, a rate per annum equal to the Base Rate as in effect from time to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for Loans that are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two percent (2.0%).</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Dividends</w:t>
      </w:r>
      <w:r>
        <w:rPr>
          <w:rFonts w:ascii="Times New Roman" w:cs="Times New Roman" w:eastAsia="Times New Roman" w:hAnsi="Times New Roman"/>
          <w:sz w:val="20"/>
          <w:szCs w:val="20"/>
          <w:color w:val="auto"/>
        </w:rPr>
        <w:t>” means, as to any Person, for any period and without duplication, all Restricted Payments paid during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period on Preferred Equity Interests issued by such Person. Preferred Dividends shall not include dividends or distributions (a) paid or payable solely in Equity Interests (other than Mandatorily Redeemable Stock) payable to holders of that class of Equity Interests, (b) paid or</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payable to such Person, or (c) constituting or resulting in the redemption of Preferred Equity Interests, other than scheduled redemptions not constituting balloon, bullet or similar redemptions in full.</w:t>
      </w:r>
    </w:p>
    <w:p>
      <w:pPr>
        <w:spacing w:after="0" w:line="13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Preferred Equity Interests</w:t>
      </w:r>
      <w:r>
        <w:rPr>
          <w:rFonts w:ascii="Times New Roman" w:cs="Times New Roman" w:eastAsia="Times New Roman" w:hAnsi="Times New Roman"/>
          <w:sz w:val="19"/>
          <w:szCs w:val="19"/>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Prime Rate</w:t>
      </w:r>
      <w:r>
        <w:rPr>
          <w:rFonts w:ascii="Times New Roman" w:cs="Times New Roman" w:eastAsia="Times New Roman" w:hAnsi="Times New Roman"/>
          <w:sz w:val="20"/>
          <w:szCs w:val="20"/>
          <w:color w:val="auto"/>
        </w:rPr>
        <w:t>” means, at any time, the rate of interest per annum publicly announced from time to time by the Administrative Agent</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w:t>
      </w:r>
    </w:p>
    <w:p>
      <w:pPr>
        <w:spacing w:after="0"/>
        <w:rPr>
          <w:sz w:val="20"/>
          <w:szCs w:val="20"/>
          <w:color w:val="auto"/>
        </w:rPr>
      </w:pPr>
      <w:r>
        <w:rPr>
          <w:rFonts w:ascii="Times New Roman" w:cs="Times New Roman" w:eastAsia="Times New Roman" w:hAnsi="Times New Roman"/>
          <w:sz w:val="20"/>
          <w:szCs w:val="20"/>
          <w:color w:val="auto"/>
        </w:rPr>
        <w:t>and shall not necessarily be its lowest or best rate charged to its customers or other banks.</w:t>
      </w:r>
    </w:p>
    <w:p>
      <w:pPr>
        <w:spacing w:after="0" w:line="13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Office</w:t>
      </w:r>
      <w:r>
        <w:rPr>
          <w:rFonts w:ascii="Times New Roman" w:cs="Times New Roman" w:eastAsia="Times New Roman" w:hAnsi="Times New Roman"/>
          <w:sz w:val="20"/>
          <w:szCs w:val="20"/>
          <w:color w:val="auto"/>
        </w:rPr>
        <w:t xml:space="preserve">” means the office of the Administrative Agent located at Wells Fargo Bank, National Association, Real Estate Banking, 550 South Tryon Street, </w:t>
      </w:r>
      <w:r>
        <w:rPr>
          <w:rFonts w:ascii="Times New Roman" w:cs="Times New Roman" w:eastAsia="Times New Roman" w:hAnsi="Times New Roman"/>
          <w:sz w:val="20"/>
          <w:szCs w:val="20"/>
          <w:color w:val="FF0000"/>
          <w:strike w:val="1"/>
        </w:rPr>
        <w:t>20</w:t>
      </w:r>
      <w:r>
        <w:rPr>
          <w:rFonts w:ascii="Times New Roman" w:cs="Times New Roman" w:eastAsia="Times New Roman" w:hAnsi="Times New Roman"/>
          <w:sz w:val="25"/>
          <w:szCs w:val="25"/>
          <w:color w:val="FF0000"/>
          <w:strike w:val="1"/>
          <w:vertAlign w:val="superscript"/>
        </w:rPr>
        <w:t>th</w:t>
      </w:r>
      <w:r>
        <w:rPr>
          <w:rFonts w:ascii="Times New Roman" w:cs="Times New Roman" w:eastAsia="Times New Roman" w:hAnsi="Times New Roman"/>
          <w:sz w:val="20"/>
          <w:szCs w:val="20"/>
          <w:u w:val="single" w:color="auto"/>
          <w:color w:val="0101FF"/>
        </w:rPr>
        <w:t>22</w:t>
      </w:r>
      <w:r>
        <w:rPr>
          <w:rFonts w:ascii="Times New Roman" w:cs="Times New Roman" w:eastAsia="Times New Roman" w:hAnsi="Times New Roman"/>
          <w:sz w:val="25"/>
          <w:szCs w:val="25"/>
          <w:u w:val="single" w:color="auto"/>
          <w:color w:val="0101FF"/>
          <w:vertAlign w:val="superscript"/>
        </w:rPr>
        <w:t>nd</w:t>
      </w:r>
      <w:r>
        <w:rPr>
          <w:rFonts w:ascii="Times New Roman" w:cs="Times New Roman" w:eastAsia="Times New Roman" w:hAnsi="Times New Roman"/>
          <w:sz w:val="20"/>
          <w:szCs w:val="20"/>
          <w:color w:val="auto"/>
        </w:rPr>
        <w:t xml:space="preserve"> Floor, Charlotte, NC 28202, or any other subsequent office that the Administrative Agent shall have specified as the Principal Office by written notice to the Borrower Representative and the Lenders.</w:t>
      </w:r>
    </w:p>
    <w:p>
      <w:pPr>
        <w:spacing w:after="0" w:line="13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means, with respect to a Lender, the ratio, expressed as a percentage of (a) the outstanding principal amount of such Lender’s Loan to (b) the outstanding principal amount of all Loans.</w:t>
      </w:r>
    </w:p>
    <w:p>
      <w:pPr>
        <w:spacing w:after="0" w:line="1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Property</w:t>
      </w:r>
      <w:r>
        <w:rPr>
          <w:rFonts w:ascii="Times New Roman" w:cs="Times New Roman" w:eastAsia="Times New Roman" w:hAnsi="Times New Roman"/>
          <w:sz w:val="20"/>
          <w:szCs w:val="20"/>
          <w:color w:val="auto"/>
        </w:rPr>
        <w:t>” means a parcel (or group of related parcels) of real property owned or leased by a Borrower, any Subsidiary or any Unconsolidated Affiliate.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QI</w:t>
      </w:r>
      <w:r>
        <w:rPr>
          <w:rFonts w:ascii="Times New Roman" w:cs="Times New Roman" w:eastAsia="Times New Roman" w:hAnsi="Times New Roman"/>
          <w:sz w:val="20"/>
          <w:szCs w:val="20"/>
          <w:color w:val="auto"/>
        </w:rPr>
        <w:t>” has the meaning given that term in the definition of 1031 Property.</w:t>
      </w:r>
    </w:p>
    <w:p>
      <w:pPr>
        <w:spacing w:after="0" w:line="162"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b w:val="1"/>
          <w:bCs w:val="1"/>
          <w:u w:val="single" w:color="auto"/>
          <w:color w:val="0101FF"/>
        </w:rPr>
        <w:t>Qualified Forward Equity Contract</w:t>
      </w:r>
      <w:r>
        <w:rPr>
          <w:rFonts w:ascii="Times New Roman" w:cs="Times New Roman" w:eastAsia="Times New Roman" w:hAnsi="Times New Roman"/>
          <w:sz w:val="20"/>
          <w:szCs w:val="20"/>
          <w:u w:val="single" w:color="auto"/>
          <w:color w:val="0101FF"/>
        </w:rPr>
        <w:t>” means a forward equity contract with respect to common Equity Interests of the REIT, entered into by the REIT and a Person (other than the Borrower,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- 22 -</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u w:val="single" w:color="auto"/>
          <w:color w:val="0101FF"/>
        </w:rPr>
        <w:t>Subsidiaries or their respective Affiliates); provided that, Qualified Forward Equity Contract shall exclude each forward equity contract, if any, with respect to which any of the following apply (x) the REIT or the counterparty would not reasonably be expected (as determined in</w:t>
      </w:r>
    </w:p>
    <w:p>
      <w:pPr>
        <w:spacing w:after="0" w:line="212" w:lineRule="auto"/>
        <w:rPr>
          <w:sz w:val="20"/>
          <w:szCs w:val="20"/>
          <w:color w:val="auto"/>
        </w:rPr>
      </w:pPr>
      <w:r>
        <w:rPr>
          <w:rFonts w:ascii="Times New Roman" w:cs="Times New Roman" w:eastAsia="Times New Roman" w:hAnsi="Times New Roman"/>
          <w:sz w:val="20"/>
          <w:szCs w:val="20"/>
          <w:u w:val="single" w:color="auto"/>
          <w:color w:val="0101FF"/>
        </w:rPr>
        <w:t>good faith by the General Partner), for any reason, to be able to fulfill its obligations thereunder prior to the Maturity Date, (y) the REIT no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0101FF"/>
        </w:rPr>
        <w:t>longer intends to issue shares sufficient to realize such proceeds or (z) the REIT does not intend to contribute the net cash proceeds received in connection with any such forward equity contracts to the Borrower or its Subsidiaries.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Plan</w:t>
      </w:r>
      <w:r>
        <w:rPr>
          <w:rFonts w:ascii="Times New Roman" w:cs="Times New Roman" w:eastAsia="Times New Roman" w:hAnsi="Times New Roman"/>
          <w:sz w:val="20"/>
          <w:szCs w:val="20"/>
          <w:color w:val="auto"/>
        </w:rPr>
        <w:t>” means a Benefit Arrangement that is intended to be tax-qualified under Section 401(a) of the Internal Revenue</w:t>
      </w:r>
    </w:p>
    <w:p>
      <w:pPr>
        <w:spacing w:after="0"/>
        <w:rPr>
          <w:sz w:val="20"/>
          <w:szCs w:val="20"/>
          <w:color w:val="auto"/>
        </w:rPr>
      </w:pPr>
      <w:r>
        <w:rPr>
          <w:rFonts w:ascii="Times New Roman" w:cs="Times New Roman" w:eastAsia="Times New Roman" w:hAnsi="Times New Roman"/>
          <w:sz w:val="20"/>
          <w:szCs w:val="20"/>
          <w:color w:val="auto"/>
        </w:rPr>
        <w:t>Code.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Rated Borrower</w:t>
      </w:r>
      <w:r>
        <w:rPr>
          <w:rFonts w:ascii="Times New Roman" w:cs="Times New Roman" w:eastAsia="Times New Roman" w:hAnsi="Times New Roman"/>
          <w:sz w:val="20"/>
          <w:szCs w:val="20"/>
          <w:color w:val="auto"/>
        </w:rPr>
        <w:t>” has the meaning given that term in the definition of the term “Applicable Margin”.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Rating Agency</w:t>
      </w:r>
      <w:r>
        <w:rPr>
          <w:rFonts w:ascii="Times New Roman" w:cs="Times New Roman" w:eastAsia="Times New Roman" w:hAnsi="Times New Roman"/>
          <w:sz w:val="20"/>
          <w:szCs w:val="20"/>
          <w:color w:val="auto"/>
        </w:rPr>
        <w:t>” means S&amp;P, Moody’s or Fitch.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means (a) the Administrative Agent or (b) any Lender, as applicable.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has the meaning given that term in Section 12.5.(c).</w:t>
      </w:r>
    </w:p>
    <w:p>
      <w:pPr>
        <w:spacing w:after="0" w:line="162"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Change</w:t>
      </w:r>
      <w:r>
        <w:rPr>
          <w:rFonts w:ascii="Times New Roman" w:cs="Times New Roman" w:eastAsia="Times New Roman" w:hAnsi="Times New Roman"/>
          <w:sz w:val="20"/>
          <w:szCs w:val="20"/>
          <w:color w:val="auto"/>
        </w:rPr>
        <w:t>” means, with respect to any Lender, any change effective after the Agreement Date in Applicable Law (including without limitation, Regulation D of the Board of Governors of the Federal Reserve System) or the adoption or making after such</w:t>
      </w:r>
    </w:p>
    <w:p>
      <w:pPr>
        <w:spacing w:after="0" w:line="213" w:lineRule="auto"/>
        <w:rPr>
          <w:sz w:val="20"/>
          <w:szCs w:val="20"/>
          <w:color w:val="auto"/>
        </w:rPr>
      </w:pPr>
      <w:r>
        <w:rPr>
          <w:rFonts w:ascii="Times New Roman" w:cs="Times New Roman" w:eastAsia="Times New Roman" w:hAnsi="Times New Roman"/>
          <w:sz w:val="20"/>
          <w:szCs w:val="20"/>
          <w:color w:val="auto"/>
        </w:rPr>
        <w:t>date of any interpretation, directive or request applying to a class of banks, including such Lender, of or under any Applicable Law (whether</w:t>
      </w:r>
    </w:p>
    <w:p>
      <w:pPr>
        <w:spacing w:after="0" w:line="204" w:lineRule="auto"/>
        <w:rPr>
          <w:sz w:val="20"/>
          <w:szCs w:val="20"/>
          <w:color w:val="auto"/>
        </w:rPr>
      </w:pPr>
      <w:r>
        <w:rPr>
          <w:rFonts w:ascii="Times New Roman" w:cs="Times New Roman" w:eastAsia="Times New Roman" w:hAnsi="Times New Roman"/>
          <w:sz w:val="20"/>
          <w:szCs w:val="20"/>
          <w:color w:val="auto"/>
        </w:rPr>
        <w:t>or not having the force of law and whether or not failure to comply therewith would be unlawful) by any Governmental Authority or monetary authority charged with the interpretation or administration thereof or compliance by any Lender with any request or directive</w:t>
      </w:r>
    </w:p>
    <w:p>
      <w:pPr>
        <w:spacing w:after="0" w:line="211" w:lineRule="auto"/>
        <w:rPr>
          <w:sz w:val="20"/>
          <w:szCs w:val="20"/>
          <w:color w:val="auto"/>
        </w:rPr>
      </w:pPr>
      <w:r>
        <w:rPr>
          <w:rFonts w:ascii="Times New Roman" w:cs="Times New Roman" w:eastAsia="Times New Roman" w:hAnsi="Times New Roman"/>
          <w:sz w:val="20"/>
          <w:szCs w:val="20"/>
          <w:color w:val="auto"/>
        </w:rPr>
        <w:t>regarding capital adequacy. Notwithstanding anything herein to the contrary: (a) the Dodd-Frank Wall Street Reform and Consumer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Protection Act and all requests, rules, guidelines or directives thereunder or issued in connection therewith and (b) all requests, rules, guidelines or directives promulgated by the Bank for International Settlements, the Basel Committee on Banking Supervision (or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successor or similar authority) or the United States or foreign regulatory authorities, in each case pursuant to Basel III, shall in each case be deemed to be a “Regulatory Change”, regardless of the date enacted, adopted or issued.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REIT</w:t>
      </w:r>
      <w:r>
        <w:rPr>
          <w:rFonts w:ascii="Times New Roman" w:cs="Times New Roman" w:eastAsia="Times New Roman" w:hAnsi="Times New Roman"/>
          <w:sz w:val="20"/>
          <w:szCs w:val="20"/>
          <w:color w:val="auto"/>
        </w:rPr>
        <w:t>” means a Person qualifying for treatment as a “real estate investment trust” under the Internal Revenue Code.</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means, with respect to any Person, such Person’s Affiliates and the partners, shareholders, directors, officers, employees, agents, counsel, other advisors and representatives of such Person and of such Person’s Affiliates.</w:t>
      </w:r>
    </w:p>
    <w:p>
      <w:pPr>
        <w:spacing w:after="0" w:line="12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FRB or the Federal Reserve Bank of New York, or a committee officially endorsed or convened by the FRB or the Federal Reserve Bank of New York, or any successor thereto.</w:t>
      </w:r>
    </w:p>
    <w:p>
      <w:pPr>
        <w:spacing w:after="0" w:line="12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Requisite Lenders</w:t>
      </w:r>
      <w:r>
        <w:rPr>
          <w:rFonts w:ascii="Times New Roman" w:cs="Times New Roman" w:eastAsia="Times New Roman" w:hAnsi="Times New Roman"/>
          <w:sz w:val="20"/>
          <w:szCs w:val="20"/>
          <w:color w:val="auto"/>
        </w:rPr>
        <w:t>” means, as of any date, Lenders having more than 50.0% of the outstanding principal amount of all Loans; provided that (x) in determining such percentage at any given time, all then existing Defaulting Lenders will be disregarded and excluded,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and (y) at all times when two or more Lenders (excluding Defaulting Lenders) are party to this Agreement, the term “Requisite Lenders” shall in no event mean less than two Lenders.</w:t>
      </w:r>
    </w:p>
    <w:p>
      <w:pPr>
        <w:spacing w:after="0" w:line="14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Indebtedness</w:t>
      </w:r>
      <w:r>
        <w:rPr>
          <w:rFonts w:ascii="Times New Roman" w:cs="Times New Roman" w:eastAsia="Times New Roman" w:hAnsi="Times New Roman"/>
          <w:sz w:val="20"/>
          <w:szCs w:val="20"/>
          <w:color w:val="auto"/>
        </w:rPr>
        <w:t>” means Indebtedness of the type described in clause (a), (b), (c) or (f) of the definition thereof or of the type described in clause (i) or (j) of the definition thereof entered into with respect to Indebtedness of the type described in clauses (a), (b),</w:t>
      </w:r>
    </w:p>
    <w:p>
      <w:pPr>
        <w:spacing w:after="0" w:line="2" w:lineRule="exact"/>
        <w:rPr>
          <w:sz w:val="20"/>
          <w:szCs w:val="20"/>
          <w:color w:val="auto"/>
        </w:rPr>
      </w:pPr>
    </w:p>
    <w:p>
      <w:pPr>
        <w:ind w:left="280" w:hanging="272"/>
        <w:spacing w:after="0"/>
        <w:tabs>
          <w:tab w:leader="none" w:pos="2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(f) of the definition thereof (other than Nonrecourse Indebtedness and Indebtedness of a Subsidiary owing to a Borrower).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23 -</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means with respect to any Loan Party, the chairman, the chief executive officer, the chief operating officer, the chief financial officer, the treasurer, the general counsel, any executive vice president and any senior vice president of such Loan Party,</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and with respect to any Subsidiary (other than a Loan Party), the chief executive officer, the chief operating officer and the chief financial officer.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Payment</w:t>
      </w:r>
      <w:r>
        <w:rPr>
          <w:rFonts w:ascii="Times New Roman" w:cs="Times New Roman" w:eastAsia="Times New Roman" w:hAnsi="Times New Roman"/>
          <w:sz w:val="19"/>
          <w:szCs w:val="19"/>
          <w:color w:val="auto"/>
        </w:rPr>
        <w:t>” means (a) any dividend or other distribution, direct or indirect, on account of any Equity Interest of the Parent</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or any of its Subsidiaries now or hereafter outstanding, except a dividend payable solely in shares of that class of Equity Interests to the holders of that class; (b) any redemption, conversion, exchange, retirement, sinking fund or similar payment, purchase or other acquisition for</w:t>
      </w:r>
    </w:p>
    <w:p>
      <w:pPr>
        <w:spacing w:after="0" w:line="222" w:lineRule="auto"/>
        <w:rPr>
          <w:sz w:val="20"/>
          <w:szCs w:val="20"/>
          <w:color w:val="auto"/>
        </w:rPr>
      </w:pPr>
      <w:r>
        <w:rPr>
          <w:rFonts w:ascii="Times New Roman" w:cs="Times New Roman" w:eastAsia="Times New Roman" w:hAnsi="Times New Roman"/>
          <w:sz w:val="19"/>
          <w:szCs w:val="19"/>
          <w:color w:val="auto"/>
        </w:rPr>
        <w:t>value, direct or indirect, of any shares of any Equity Interest of the Parent or any of its Subsidiaries now or hereafter outstanding; and (c) any</w:t>
      </w:r>
    </w:p>
    <w:p>
      <w:pPr>
        <w:jc w:val="both"/>
        <w:spacing w:after="0" w:line="221" w:lineRule="auto"/>
        <w:rPr>
          <w:sz w:val="20"/>
          <w:szCs w:val="20"/>
          <w:color w:val="auto"/>
        </w:rPr>
      </w:pPr>
      <w:r>
        <w:rPr>
          <w:rFonts w:ascii="Times New Roman" w:cs="Times New Roman" w:eastAsia="Times New Roman" w:hAnsi="Times New Roman"/>
          <w:sz w:val="20"/>
          <w:szCs w:val="20"/>
          <w:color w:val="auto"/>
        </w:rPr>
        <w:t>payment made to retire, or to obtain the surrender of, any outstanding warrants, options or other rights to acquire any Equity Interests of the Parent or any of its Subsidiaries now or hereafter outstanding.</w:t>
      </w:r>
    </w:p>
    <w:p>
      <w:pPr>
        <w:spacing w:after="0" w:line="14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Sanctioned Country</w:t>
      </w:r>
      <w:r>
        <w:rPr>
          <w:rFonts w:ascii="Times New Roman" w:cs="Times New Roman" w:eastAsia="Times New Roman" w:hAnsi="Times New Roman"/>
          <w:sz w:val="19"/>
          <w:szCs w:val="19"/>
          <w:color w:val="auto"/>
        </w:rPr>
        <w:t xml:space="preserve">” means, at any time, a country, territory or region which is, or whose government is, the subject or target of any Sanctions (including, without limitation, at the time of </w:t>
      </w:r>
      <w:r>
        <w:rPr>
          <w:rFonts w:ascii="Times New Roman" w:cs="Times New Roman" w:eastAsia="Times New Roman" w:hAnsi="Times New Roman"/>
          <w:sz w:val="19"/>
          <w:szCs w:val="19"/>
          <w:color w:val="FF0000"/>
          <w:strike w:val="1"/>
        </w:rPr>
        <w:t>this agreement</w:t>
      </w:r>
      <w:r>
        <w:rPr>
          <w:rFonts w:ascii="Times New Roman" w:cs="Times New Roman" w:eastAsia="Times New Roman" w:hAnsi="Times New Roman"/>
          <w:sz w:val="19"/>
          <w:szCs w:val="19"/>
          <w:u w:val="single" w:color="auto"/>
          <w:color w:val="0101FF"/>
        </w:rPr>
        <w:t>the First Amendment Date</w:t>
      </w:r>
      <w:r>
        <w:rPr>
          <w:rFonts w:ascii="Times New Roman" w:cs="Times New Roman" w:eastAsia="Times New Roman" w:hAnsi="Times New Roman"/>
          <w:sz w:val="19"/>
          <w:szCs w:val="19"/>
          <w:color w:val="auto"/>
        </w:rPr>
        <w:t>, the Crimea, Zaporizhzhia and Kherson</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Regions of Ukraine, the so-called Donetsk People’s Republic or Luhansk People’s Republic regions of Ukraine, Cuba, Iran, </w:t>
      </w:r>
      <w:r>
        <w:rPr>
          <w:rFonts w:ascii="Times New Roman" w:cs="Times New Roman" w:eastAsia="Times New Roman" w:hAnsi="Times New Roman"/>
          <w:sz w:val="19"/>
          <w:szCs w:val="19"/>
          <w:u w:val="single" w:color="auto"/>
          <w:color w:val="0101FF"/>
        </w:rPr>
        <w:t>and</w:t>
      </w:r>
      <w:r>
        <w:rPr>
          <w:rFonts w:ascii="Times New Roman" w:cs="Times New Roman" w:eastAsia="Times New Roman" w:hAnsi="Times New Roman"/>
          <w:sz w:val="19"/>
          <w:szCs w:val="19"/>
          <w:color w:val="auto"/>
        </w:rPr>
        <w:t xml:space="preserve"> North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6461125</wp:posOffset>
            </wp:positionH>
            <wp:positionV relativeFrom="paragraph">
              <wp:posOffset>-7620</wp:posOffset>
            </wp:positionV>
            <wp:extent cx="31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FF0000"/>
          <w:strike w:val="1"/>
        </w:rPr>
        <w:t>and Syria</w:t>
      </w:r>
      <w:r>
        <w:rPr>
          <w:rFonts w:ascii="Times New Roman" w:cs="Times New Roman" w:eastAsia="Times New Roman" w:hAnsi="Times New Roman"/>
          <w:sz w:val="20"/>
          <w:szCs w:val="20"/>
          <w:color w:val="000000"/>
        </w:rPr>
        <w:t>).</w:t>
      </w:r>
    </w:p>
    <w:p>
      <w:pPr>
        <w:spacing w:after="0" w:line="13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Sanctioned Person</w:t>
      </w:r>
      <w:r>
        <w:rPr>
          <w:rFonts w:ascii="Times New Roman" w:cs="Times New Roman" w:eastAsia="Times New Roman" w:hAnsi="Times New Roman"/>
          <w:sz w:val="19"/>
          <w:szCs w:val="19"/>
          <w:color w:val="auto"/>
        </w:rPr>
        <w:t>” means, at any time, (a) any Person listed in any Sanctions-related list of designated Persons maintained by any Governmental Authority of the United States of America, including without limitation, OFAC or the U.S. Department of State, or by the</w:t>
      </w:r>
    </w:p>
    <w:p>
      <w:pPr>
        <w:spacing w:after="0" w:line="223" w:lineRule="auto"/>
        <w:rPr>
          <w:sz w:val="20"/>
          <w:szCs w:val="20"/>
          <w:color w:val="auto"/>
        </w:rPr>
      </w:pPr>
      <w:r>
        <w:rPr>
          <w:rFonts w:ascii="Times New Roman" w:cs="Times New Roman" w:eastAsia="Times New Roman" w:hAnsi="Times New Roman"/>
          <w:sz w:val="19"/>
          <w:szCs w:val="19"/>
          <w:color w:val="auto"/>
        </w:rPr>
        <w:t>United Nations Security Council, His Majesty’s Treasury, the European Union or any other Governmental Authority, (b) any Person located,</w:t>
      </w:r>
    </w:p>
    <w:p>
      <w:pPr>
        <w:jc w:val="both"/>
        <w:spacing w:after="0" w:line="221" w:lineRule="auto"/>
        <w:rPr>
          <w:sz w:val="20"/>
          <w:szCs w:val="20"/>
          <w:color w:val="auto"/>
        </w:rPr>
      </w:pPr>
      <w:r>
        <w:rPr>
          <w:rFonts w:ascii="Times New Roman" w:cs="Times New Roman" w:eastAsia="Times New Roman" w:hAnsi="Times New Roman"/>
          <w:sz w:val="20"/>
          <w:szCs w:val="20"/>
          <w:color w:val="auto"/>
        </w:rPr>
        <w:t>operating, organized or resident in a Sanctioned Country, (c) an agency of the government of a Sanctioned Country or (d) any Person Controlled by any Person or agency described in any of the preceding clauses (a) through (c).</w:t>
      </w:r>
    </w:p>
    <w:p>
      <w:pPr>
        <w:spacing w:after="0" w:line="144"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any sanctions or trade embargoes imposed, administered or enforced by any Governmental Authority of the United States of America, including without limitation, OFAC or the U.S. Department of State, or by the United Nations Security Council,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His Majesty’s Treasury, the European Union or any other Governmental Authority.</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Indebtedness</w:t>
      </w:r>
      <w:r>
        <w:rPr>
          <w:rFonts w:ascii="Times New Roman" w:cs="Times New Roman" w:eastAsia="Times New Roman" w:hAnsi="Times New Roman"/>
          <w:sz w:val="20"/>
          <w:szCs w:val="20"/>
          <w:color w:val="auto"/>
        </w:rPr>
        <w:t>” means, with respect to a Person as of a given date, the aggregate principal amount of all Indebtedness of such Person outstanding on such date that is secured in any manner by any Lien on any property, including any Nonrecourse Indebtedness of such Person that is secured only by a pledge of Equity Interests, but excluding, for the avoidance of doubt, the Obligations.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together with all rules and regulations issued thereunder.</w:t>
      </w:r>
    </w:p>
    <w:p>
      <w:pPr>
        <w:spacing w:after="0" w:line="16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b w:val="1"/>
          <w:bCs w:val="1"/>
          <w:u w:val="single" w:color="auto"/>
          <w:color w:val="0101FF"/>
        </w:rPr>
        <w:t>SEV Operator</w:t>
      </w:r>
      <w:r>
        <w:rPr>
          <w:rFonts w:ascii="Times New Roman" w:cs="Times New Roman" w:eastAsia="Times New Roman" w:hAnsi="Times New Roman"/>
          <w:sz w:val="20"/>
          <w:szCs w:val="20"/>
          <w:u w:val="single" w:color="auto"/>
          <w:color w:val="0101FF"/>
        </w:rPr>
        <w:t>” means Summit Entertainment Venture LLC, a Delaware limited liability company and its direct and indirect Subsidiaries so long as Summit Entertainment Venture LLC and/or such Subsidiaries are (i) Subsidiaries of the Parent and (ii) own SEV Investments.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0101FF"/>
        </w:rPr>
        <w:t>“</w:t>
      </w:r>
      <w:r>
        <w:rPr>
          <w:rFonts w:ascii="Times New Roman" w:cs="Times New Roman" w:eastAsia="Times New Roman" w:hAnsi="Times New Roman"/>
          <w:sz w:val="19"/>
          <w:szCs w:val="19"/>
          <w:b w:val="1"/>
          <w:bCs w:val="1"/>
          <w:u w:val="single" w:color="auto"/>
          <w:color w:val="0101FF"/>
        </w:rPr>
        <w:t>SEV Investments</w:t>
      </w:r>
      <w:r>
        <w:rPr>
          <w:rFonts w:ascii="Times New Roman" w:cs="Times New Roman" w:eastAsia="Times New Roman" w:hAnsi="Times New Roman"/>
          <w:sz w:val="19"/>
          <w:szCs w:val="19"/>
          <w:u w:val="single" w:color="auto"/>
          <w:color w:val="0101FF"/>
        </w:rPr>
        <w:t>” means Investments that are comprised of the ownership, management, and strategic development of immersive</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u w:val="single" w:color="auto"/>
          <w:color w:val="0101FF"/>
        </w:rPr>
        <w:t>and experiential consumer offerings, including consulting services, food and beverage programming, and the creation of proprietary software and technology intellectual property; provided that, for purposes of calculating SEV Value included in Unencumbered Asset Value (i) such</w:t>
      </w:r>
    </w:p>
    <w:p>
      <w:pPr>
        <w:spacing w:after="0" w:line="211" w:lineRule="auto"/>
        <w:rPr>
          <w:sz w:val="20"/>
          <w:szCs w:val="20"/>
          <w:color w:val="auto"/>
        </w:rPr>
      </w:pPr>
      <w:r>
        <w:rPr>
          <w:rFonts w:ascii="Times New Roman" w:cs="Times New Roman" w:eastAsia="Times New Roman" w:hAnsi="Times New Roman"/>
          <w:sz w:val="20"/>
          <w:szCs w:val="20"/>
          <w:u w:val="single" w:color="auto"/>
          <w:color w:val="0101FF"/>
        </w:rPr>
        <w:t>Investment shall not be subject to any Lien or Negative Pledge, (ii) if such Investment is owned by a Subsidiary, no Borrower’s direct or</w:t>
      </w: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0101FF"/>
        </w:rPr>
        <w:t>indirect ownership interest in such Subsidiary is subject to any Lien or Negative Pledge, (iii) a Borrower has a right, directly or indirectly through a Subsidiary, to create Liens on such Investment as security for Indebtedness of such Borrower and to sell, transfer or otherwise</w:t>
      </w:r>
    </w:p>
    <w:p>
      <w:pPr>
        <w:spacing w:after="0" w:line="211" w:lineRule="auto"/>
        <w:rPr>
          <w:sz w:val="20"/>
          <w:szCs w:val="20"/>
          <w:color w:val="auto"/>
        </w:rPr>
      </w:pPr>
      <w:r>
        <w:rPr>
          <w:rFonts w:ascii="Times New Roman" w:cs="Times New Roman" w:eastAsia="Times New Roman" w:hAnsi="Times New Roman"/>
          <w:sz w:val="20"/>
          <w:szCs w:val="20"/>
          <w:u w:val="single" w:color="auto"/>
          <w:color w:val="0101FF"/>
        </w:rPr>
        <w:t>dispose of such Investment, without the consent of any Person and (iv) with respect to which Investment no obligor, if applicable, is more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0101FF"/>
        </w:rPr>
        <w:t>than 60 days past due on payment obligations (including any required distributions thereof) thereunder. For the avoidance of doubt, no SEV Investment shall constitute a Newly-Acquired Property, a Transition Asset, a Development Property or a “property acquired during the six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101FF"/>
        </w:rPr>
        <w:t>fiscal quarters most recently ended” or similar terms as used in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- 24 -</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b w:val="1"/>
          <w:bCs w:val="1"/>
          <w:u w:val="single" w:color="auto"/>
          <w:color w:val="0101FF"/>
        </w:rPr>
        <w:t>SEV Value</w:t>
      </w:r>
      <w:r>
        <w:rPr>
          <w:rFonts w:ascii="Times New Roman" w:cs="Times New Roman" w:eastAsia="Times New Roman" w:hAnsi="Times New Roman"/>
          <w:sz w:val="20"/>
          <w:szCs w:val="20"/>
          <w:u w:val="single" w:color="auto"/>
          <w:color w:val="0101FF"/>
        </w:rPr>
        <w:t xml:space="preserve">” means, for any date of determination, EBITDA of the SEV Operator generated from the ownership of SEV Investments for the immediately preceding </w:t>
      </w:r>
      <w:r>
        <w:rPr>
          <w:rFonts w:ascii="Times New Roman" w:cs="Times New Roman" w:eastAsia="Times New Roman" w:hAnsi="Times New Roman"/>
          <w:sz w:val="20"/>
          <w:szCs w:val="20"/>
          <w:u w:val="single" w:color="auto"/>
          <w:color w:val="008000"/>
        </w:rPr>
        <w:t>period of four consecutive fiscal quarters</w:t>
      </w:r>
      <w:r>
        <w:rPr>
          <w:rFonts w:ascii="Times New Roman" w:cs="Times New Roman" w:eastAsia="Times New Roman" w:hAnsi="Times New Roman"/>
          <w:sz w:val="20"/>
          <w:szCs w:val="20"/>
          <w:u w:val="single" w:color="auto"/>
          <w:color w:val="0101FF"/>
        </w:rPr>
        <w:t xml:space="preserve"> (excluding EBITDA contributions from SEV</w:t>
      </w:r>
    </w:p>
    <w:p>
      <w:pPr>
        <w:spacing w:after="0" w:line="213" w:lineRule="auto"/>
        <w:rPr>
          <w:sz w:val="20"/>
          <w:szCs w:val="20"/>
          <w:color w:val="auto"/>
        </w:rPr>
      </w:pPr>
      <w:r>
        <w:rPr>
          <w:rFonts w:ascii="Times New Roman" w:cs="Times New Roman" w:eastAsia="Times New Roman" w:hAnsi="Times New Roman"/>
          <w:sz w:val="20"/>
          <w:szCs w:val="20"/>
          <w:u w:val="single" w:color="auto"/>
          <w:color w:val="0101FF"/>
        </w:rPr>
        <w:t>Investments, which the Borrower has elected to value pursuant to the proviso to this definition), divided by 10.0%; provided that, with</w:t>
      </w:r>
    </w:p>
    <w:p>
      <w:pPr>
        <w:spacing w:after="0" w:line="215" w:lineRule="auto"/>
        <w:rPr>
          <w:sz w:val="20"/>
          <w:szCs w:val="20"/>
          <w:color w:val="auto"/>
        </w:rPr>
      </w:pPr>
      <w:r>
        <w:rPr>
          <w:rFonts w:ascii="Times New Roman" w:cs="Times New Roman" w:eastAsia="Times New Roman" w:hAnsi="Times New Roman"/>
          <w:sz w:val="19"/>
          <w:szCs w:val="19"/>
          <w:u w:val="single" w:color="auto"/>
          <w:color w:val="0101FF"/>
        </w:rPr>
        <w:t>respect to any SEV Investment that has been held by the SEV Operator less than two years prior to such date of determination, the Borrower may elect to include in the SEV Value the book value of such SEV Investment determined in accordance with GAAP (notwithstanding this</w:t>
      </w:r>
    </w:p>
    <w:p>
      <w:pPr>
        <w:spacing w:after="0" w:line="228" w:lineRule="auto"/>
        <w:rPr>
          <w:sz w:val="20"/>
          <w:szCs w:val="20"/>
          <w:color w:val="auto"/>
        </w:rPr>
      </w:pPr>
      <w:r>
        <w:rPr>
          <w:rFonts w:ascii="Times New Roman" w:cs="Times New Roman" w:eastAsia="Times New Roman" w:hAnsi="Times New Roman"/>
          <w:sz w:val="20"/>
          <w:szCs w:val="20"/>
          <w:u w:val="single" w:color="auto"/>
          <w:color w:val="0101FF"/>
        </w:rPr>
        <w:t>proviso, once the Borrower elects to determine the value of any SEV Investment as its EBITDA contribution divided by the 10.0%, such election shall be irrevocable).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Single Asset Entity</w:t>
      </w:r>
      <w:r>
        <w:rPr>
          <w:rFonts w:ascii="Times New Roman" w:cs="Times New Roman" w:eastAsia="Times New Roman" w:hAnsi="Times New Roman"/>
          <w:sz w:val="20"/>
          <w:szCs w:val="20"/>
          <w:color w:val="auto"/>
        </w:rPr>
        <w:t>” means a Person (other than an individual) that (a) only owns either (x) a single Property or (y) Structured</w:t>
      </w:r>
    </w:p>
    <w:p>
      <w:pPr>
        <w:spacing w:after="0" w:line="204" w:lineRule="auto"/>
        <w:rPr>
          <w:sz w:val="20"/>
          <w:szCs w:val="20"/>
          <w:color w:val="auto"/>
        </w:rPr>
      </w:pPr>
      <w:r>
        <w:rPr>
          <w:rFonts w:ascii="Times New Roman" w:cs="Times New Roman" w:eastAsia="Times New Roman" w:hAnsi="Times New Roman"/>
          <w:sz w:val="20"/>
          <w:szCs w:val="20"/>
          <w:color w:val="auto"/>
        </w:rPr>
        <w:t>Finance Investments, and in either case, cash and other assets of nominal value incidental to such Person’s ownership of such Property or such Structured Finance Investments, as the case may be; (b) is engaged only in the business of owning, developing and/or leasing such</w:t>
      </w:r>
    </w:p>
    <w:p>
      <w:pPr>
        <w:spacing w:after="0" w:line="211" w:lineRule="auto"/>
        <w:rPr>
          <w:sz w:val="20"/>
          <w:szCs w:val="20"/>
          <w:color w:val="auto"/>
        </w:rPr>
      </w:pPr>
      <w:r>
        <w:rPr>
          <w:rFonts w:ascii="Times New Roman" w:cs="Times New Roman" w:eastAsia="Times New Roman" w:hAnsi="Times New Roman"/>
          <w:sz w:val="20"/>
          <w:szCs w:val="20"/>
          <w:color w:val="auto"/>
        </w:rPr>
        <w:t>Property or owning and/or servicing such Structured Finance Investment, as the case may be; and (c) receives substantially all of its gross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revenues from such Property or Structured Finance Investments, as the case may be. In addition, if the assets of a Person consist solely of (i) Equity Interests in one or more other Single Asset Entities owning Properties and not Structured Finance Investments and (ii) cash and other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assets of nominal value incidental to such Person’s ownership of the other Single Asset Entities, such Person shall also be deemed to be a Single Asset Entity for purposes of this Agreement (such an entity, a “</w:t>
      </w:r>
      <w:r>
        <w:rPr>
          <w:rFonts w:ascii="Times New Roman" w:cs="Times New Roman" w:eastAsia="Times New Roman" w:hAnsi="Times New Roman"/>
          <w:sz w:val="20"/>
          <w:szCs w:val="20"/>
          <w:b w:val="1"/>
          <w:bCs w:val="1"/>
          <w:color w:val="auto"/>
        </w:rPr>
        <w:t>Single Asset Holding Company</w:t>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Single Asset Holding Company</w:t>
      </w:r>
      <w:r>
        <w:rPr>
          <w:rFonts w:ascii="Times New Roman" w:cs="Times New Roman" w:eastAsia="Times New Roman" w:hAnsi="Times New Roman"/>
          <w:sz w:val="20"/>
          <w:szCs w:val="20"/>
          <w:color w:val="auto"/>
        </w:rPr>
        <w:t>” has the meaning given that term in the definition of Single Asset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SLGOP</w:t>
      </w:r>
      <w:r>
        <w:rPr>
          <w:rFonts w:ascii="Times New Roman" w:cs="Times New Roman" w:eastAsia="Times New Roman" w:hAnsi="Times New Roman"/>
          <w:sz w:val="19"/>
          <w:szCs w:val="19"/>
          <w:color w:val="auto"/>
        </w:rPr>
        <w:t>” has the meaning given that term in the introductory paragraph hereof and shall include SLGOP’s successors and permitted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SL Green Funding</w:t>
      </w:r>
      <w:r>
        <w:rPr>
          <w:rFonts w:ascii="Times New Roman" w:cs="Times New Roman" w:eastAsia="Times New Roman" w:hAnsi="Times New Roman"/>
          <w:sz w:val="20"/>
          <w:szCs w:val="20"/>
          <w:color w:val="auto"/>
        </w:rPr>
        <w:t>” means SL Green Funding LLC, a New York limited liability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17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xml:space="preserve">” means the website of the Federal Reserve Bank of New York, currently at </w:t>
      </w:r>
      <w:r>
        <w:rPr>
          <w:rFonts w:ascii="Times New Roman" w:cs="Times New Roman" w:eastAsia="Times New Roman" w:hAnsi="Times New Roman"/>
          <w:sz w:val="20"/>
          <w:szCs w:val="20"/>
          <w:u w:val="single" w:color="auto"/>
          <w:color w:val="auto"/>
        </w:rPr>
        <w:t>http://www.newyorkfed.org</w:t>
      </w:r>
      <w:r>
        <w:rPr>
          <w:rFonts w:ascii="Times New Roman" w:cs="Times New Roman" w:eastAsia="Times New Roman" w:hAnsi="Times New Roman"/>
          <w:sz w:val="20"/>
          <w:szCs w:val="20"/>
          <w:color w:val="auto"/>
        </w:rPr>
        <w:t>, or any successor source for the secured overnight financing rate identified as such by the SOFR Administrator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time to time.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Determination Day</w:t>
      </w:r>
      <w:r>
        <w:rPr>
          <w:rFonts w:ascii="Times New Roman" w:cs="Times New Roman" w:eastAsia="Times New Roman" w:hAnsi="Times New Roman"/>
          <w:sz w:val="20"/>
          <w:szCs w:val="20"/>
          <w:color w:val="auto"/>
        </w:rPr>
        <w:t>” has the meaning specified in the definition of “Daily Simple SOFR”.</w:t>
      </w:r>
    </w:p>
    <w:p>
      <w:pPr>
        <w:spacing w:after="0" w:line="17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xml:space="preserve">” means a Loan (or any portion thereof) (other than a Base Rate Loan) bearing interest at a rate based on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means, when used with respect to any Person, that (a) the fair value and the fair salable value of its assets (excluding any</w:t>
      </w:r>
    </w:p>
    <w:p>
      <w:pPr>
        <w:spacing w:after="0" w:line="204" w:lineRule="auto"/>
        <w:rPr>
          <w:sz w:val="20"/>
          <w:szCs w:val="20"/>
          <w:color w:val="auto"/>
        </w:rPr>
      </w:pPr>
      <w:r>
        <w:rPr>
          <w:rFonts w:ascii="Times New Roman" w:cs="Times New Roman" w:eastAsia="Times New Roman" w:hAnsi="Times New Roman"/>
          <w:sz w:val="20"/>
          <w:szCs w:val="20"/>
          <w:color w:val="auto"/>
        </w:rPr>
        <w:t>Indebtedness due from any Affiliate of such Person) are each in excess of the fair valuation of its total liabilities (including all contingent liabilities computed at the amount which, in light of all facts and circumstances existing at such time, represents the amount that could</w:t>
      </w:r>
    </w:p>
    <w:p>
      <w:pPr>
        <w:spacing w:after="0" w:line="223" w:lineRule="auto"/>
        <w:rPr>
          <w:sz w:val="20"/>
          <w:szCs w:val="20"/>
          <w:color w:val="auto"/>
        </w:rPr>
      </w:pPr>
      <w:r>
        <w:rPr>
          <w:rFonts w:ascii="Times New Roman" w:cs="Times New Roman" w:eastAsia="Times New Roman" w:hAnsi="Times New Roman"/>
          <w:sz w:val="19"/>
          <w:szCs w:val="19"/>
          <w:color w:val="auto"/>
        </w:rPr>
        <w:t>reasonably be expected to become an actual and matured liability); (b) such Person is able to pay its debts or other obligations in the ordinary</w:t>
      </w:r>
    </w:p>
    <w:p>
      <w:pPr>
        <w:spacing w:after="0" w:line="221" w:lineRule="auto"/>
        <w:rPr>
          <w:sz w:val="20"/>
          <w:szCs w:val="20"/>
          <w:color w:val="auto"/>
        </w:rPr>
      </w:pPr>
      <w:r>
        <w:rPr>
          <w:rFonts w:ascii="Times New Roman" w:cs="Times New Roman" w:eastAsia="Times New Roman" w:hAnsi="Times New Roman"/>
          <w:sz w:val="20"/>
          <w:szCs w:val="20"/>
          <w:color w:val="auto"/>
        </w:rPr>
        <w:t>course as they mature; and (c) such Person has capital not unreasonably small to carry on its business and all business in which it proposes to be engaged.</w:t>
      </w:r>
    </w:p>
    <w:p>
      <w:pPr>
        <w:spacing w:after="0" w:line="14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Derivatives Contract</w:t>
      </w:r>
      <w:r>
        <w:rPr>
          <w:rFonts w:ascii="Times New Roman" w:cs="Times New Roman" w:eastAsia="Times New Roman" w:hAnsi="Times New Roman"/>
          <w:sz w:val="20"/>
          <w:szCs w:val="20"/>
          <w:color w:val="auto"/>
        </w:rPr>
        <w:t>” means any Derivatives Contract, together with any Derivatives Support Document relating thereto, that is made or entered into at any time, or in effect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- 25 -</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6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time now or hereafter, whether as a result of an assignment or transfer or otherwise, between a Loan Party and any Specified Derivatives Provider.</w:t>
      </w:r>
    </w:p>
    <w:p>
      <w:pPr>
        <w:spacing w:after="0" w:line="14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Derivatives Obligations</w:t>
      </w:r>
      <w:r>
        <w:rPr>
          <w:rFonts w:ascii="Times New Roman" w:cs="Times New Roman" w:eastAsia="Times New Roman" w:hAnsi="Times New Roman"/>
          <w:sz w:val="20"/>
          <w:szCs w:val="20"/>
          <w:color w:val="auto"/>
        </w:rPr>
        <w:t>” means all indebtedness, liabilities, obligations, covenants and duties of any Loan Party or its Subsidiaries under or in respect of any Specified Derivatives Contract, whether direct or indirect, absolute or contingent, due or not due,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liquidated or unliquidated, and whether or not evidenced by any written confirmation.</w:t>
      </w:r>
    </w:p>
    <w:p>
      <w:pPr>
        <w:spacing w:after="0" w:line="13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Specified Derivatives Provider</w:t>
      </w:r>
      <w:r>
        <w:rPr>
          <w:rFonts w:ascii="Times New Roman" w:cs="Times New Roman" w:eastAsia="Times New Roman" w:hAnsi="Times New Roman"/>
          <w:sz w:val="19"/>
          <w:szCs w:val="19"/>
          <w:color w:val="auto"/>
        </w:rPr>
        <w:t>” means any Person that (a) at the time it enters into a Specified Derivatives Contract with a Loan Party, is a Lender or an Affiliate of a Lender or (b) at the time it (or its Affiliate) becomes a Lender or the Administrative Agent (including 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Effective Date), is a party to a Specified Derivatives Contract with a Loan Party, in each case in its capacity as a party to such Specified Derivatives Contract.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S&amp;P</w:t>
      </w:r>
      <w:r>
        <w:rPr>
          <w:rFonts w:ascii="Times New Roman" w:cs="Times New Roman" w:eastAsia="Times New Roman" w:hAnsi="Times New Roman"/>
          <w:sz w:val="20"/>
          <w:szCs w:val="20"/>
          <w:color w:val="auto"/>
        </w:rPr>
        <w:t>” means Standard &amp; Poor’s Ratings Services, a Standard &amp; Poor’s Financial Services LLC business, or any successor.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Structured Finance Investments</w:t>
      </w:r>
      <w:r>
        <w:rPr>
          <w:rFonts w:ascii="Times New Roman" w:cs="Times New Roman" w:eastAsia="Times New Roman" w:hAnsi="Times New Roman"/>
          <w:sz w:val="19"/>
          <w:szCs w:val="19"/>
          <w:color w:val="auto"/>
        </w:rPr>
        <w:t>” means, collectively, Investments directly or indirectly in (i) Indebtedness secured by Mortgages</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Indebtedness in the form of mezzanine loans, (ii) preferred equity Investments (including preferred limited partnership interests) in entities owning (or leasing pursuant to a Ground Lease) real estate properties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(iii) certificates, notes or similar instruments issued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-58420</wp:posOffset>
            </wp:positionV>
            <wp:extent cx="220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9"/>
          <w:szCs w:val="19"/>
          <w:color w:val="auto"/>
        </w:rPr>
        <w:t>vehicles holding promissory notes secured by a Mortgage</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101FF"/>
        </w:rPr>
        <w:t>and (iv) securitizations (including any transaction which is a “securitisation” 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101FF"/>
        </w:rPr>
        <w:t>defined in the EU Securitisation Regulation) or other obligation issued by a special purpose vehicle and secured directly by, referenced to, or</w:t>
      </w:r>
    </w:p>
    <w:p>
      <w:pPr>
        <w:spacing w:after="0" w:line="211" w:lineRule="auto"/>
        <w:rPr>
          <w:sz w:val="20"/>
          <w:szCs w:val="20"/>
          <w:color w:val="auto"/>
        </w:rPr>
      </w:pPr>
      <w:r>
        <w:rPr>
          <w:rFonts w:ascii="Times New Roman" w:cs="Times New Roman" w:eastAsia="Times New Roman" w:hAnsi="Times New Roman"/>
          <w:sz w:val="20"/>
          <w:szCs w:val="20"/>
          <w:u w:val="single" w:color="auto"/>
          <w:color w:val="0101FF"/>
        </w:rPr>
        <w:t>representing ownership of, a pool of receivables or other financial assets of any obligor, including collateralized debt obligations and</w:t>
      </w:r>
    </w:p>
    <w:p>
      <w:pPr>
        <w:jc w:val="both"/>
        <w:spacing w:after="0" w:line="215" w:lineRule="auto"/>
        <w:rPr>
          <w:sz w:val="20"/>
          <w:szCs w:val="20"/>
          <w:color w:val="auto"/>
        </w:rPr>
      </w:pPr>
      <w:r>
        <w:rPr>
          <w:rFonts w:ascii="Times New Roman" w:cs="Times New Roman" w:eastAsia="Times New Roman" w:hAnsi="Times New Roman"/>
          <w:sz w:val="19"/>
          <w:szCs w:val="19"/>
          <w:u w:val="single" w:color="auto"/>
          <w:color w:val="0101FF"/>
        </w:rPr>
        <w:t>mortgaged-backed securities, any finance lease, debt securities, equity securities or composite or combination securities; including synthetic securities that provide synthetic credit exposure to any such receivables or assets, that entitle the holders thereof to receive payments that (A)</w:t>
      </w:r>
    </w:p>
    <w:p>
      <w:pPr>
        <w:spacing w:after="0" w:line="228" w:lineRule="auto"/>
        <w:rPr>
          <w:sz w:val="20"/>
          <w:szCs w:val="20"/>
          <w:color w:val="auto"/>
        </w:rPr>
      </w:pPr>
      <w:r>
        <w:rPr>
          <w:rFonts w:ascii="Times New Roman" w:cs="Times New Roman" w:eastAsia="Times New Roman" w:hAnsi="Times New Roman"/>
          <w:sz w:val="20"/>
          <w:szCs w:val="20"/>
          <w:u w:val="single" w:color="auto"/>
          <w:color w:val="0101FF"/>
        </w:rPr>
        <w:t>depend on the cash flow from a portfolio consisting primarily of ownership interests in any such receivables or assets or (B) are subject to losses owing to credit events (howsoever defined) under credit derivative transactions with respect to any such receivables or assets.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Structured Finance Value</w:t>
      </w:r>
      <w:r>
        <w:rPr>
          <w:rFonts w:ascii="Times New Roman" w:cs="Times New Roman" w:eastAsia="Times New Roman" w:hAnsi="Times New Roman"/>
          <w:sz w:val="20"/>
          <w:szCs w:val="20"/>
          <w:color w:val="auto"/>
        </w:rPr>
        <w:t>” means (a) for the purpose of determining Total Asset Value, an amount equal to the value (as</w:t>
      </w:r>
    </w:p>
    <w:p>
      <w:pPr>
        <w:spacing w:after="0" w:line="204" w:lineRule="auto"/>
        <w:rPr>
          <w:sz w:val="20"/>
          <w:szCs w:val="20"/>
          <w:color w:val="auto"/>
        </w:rPr>
      </w:pPr>
      <w:r>
        <w:rPr>
          <w:rFonts w:ascii="Times New Roman" w:cs="Times New Roman" w:eastAsia="Times New Roman" w:hAnsi="Times New Roman"/>
          <w:sz w:val="20"/>
          <w:szCs w:val="20"/>
          <w:color w:val="auto"/>
        </w:rPr>
        <w:t>determined in accordance with GAAP) of each Structured Finance Investment and (b) for the purpose of determining Unencumbered Asset Value, an amount equal to the value (as determined in accordance with GAAP) of each Structured Finance Investment (i) that is owned by a</w:t>
      </w:r>
    </w:p>
    <w:p>
      <w:pPr>
        <w:spacing w:after="0" w:line="211" w:lineRule="auto"/>
        <w:rPr>
          <w:sz w:val="20"/>
          <w:szCs w:val="20"/>
          <w:color w:val="auto"/>
        </w:rPr>
      </w:pPr>
      <w:r>
        <w:rPr>
          <w:rFonts w:ascii="Times New Roman" w:cs="Times New Roman" w:eastAsia="Times New Roman" w:hAnsi="Times New Roman"/>
          <w:sz w:val="20"/>
          <w:szCs w:val="20"/>
          <w:color w:val="auto"/>
        </w:rPr>
        <w:t>Borrower or a Wholly Owned Subsidiary, (ii) that is not subject to any Lien or Negative Pledge, (iii) that if owned by a Subsidiary, no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Borrower’s direct or indirect ownership interest in such Subsidiary is subject to any Lien or Negative Pledge, (iv) with respect to which a Borrower has a right, directly or indirectly through a Subsidiary, to create Liens on such Structured Finance Investment as security for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Indebtedness of such Borrower and to sell, transfer or otherwise dispose of such Structured Finance Investment, in the case, without the consent of any Person and (v) in respect of which no obligor is more than 60 days past due in respect of its payment obligations thereunder.</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for any Person, any corporation, partnership, limited liability company or other entity of which at least a</w:t>
      </w:r>
    </w:p>
    <w:p>
      <w:pPr>
        <w:spacing w:after="0" w:line="204" w:lineRule="auto"/>
        <w:rPr>
          <w:sz w:val="20"/>
          <w:szCs w:val="20"/>
          <w:color w:val="auto"/>
        </w:rPr>
      </w:pPr>
      <w:r>
        <w:rPr>
          <w:rFonts w:ascii="Times New Roman" w:cs="Times New Roman" w:eastAsia="Times New Roman" w:hAnsi="Times New Roman"/>
          <w:sz w:val="20"/>
          <w:szCs w:val="20"/>
          <w:color w:val="auto"/>
        </w:rPr>
        <w:t>majority of the Equity Interests having by the terms thereof ordinary voting power to elect a majority of the board of directors or other individuals performing similar functions of such corporation, partnership, limited liability company or other entity (without regard to the</w:t>
      </w:r>
    </w:p>
    <w:p>
      <w:pPr>
        <w:spacing w:after="0" w:line="211" w:lineRule="auto"/>
        <w:rPr>
          <w:sz w:val="20"/>
          <w:szCs w:val="20"/>
          <w:color w:val="auto"/>
        </w:rPr>
      </w:pPr>
      <w:r>
        <w:rPr>
          <w:rFonts w:ascii="Times New Roman" w:cs="Times New Roman" w:eastAsia="Times New Roman" w:hAnsi="Times New Roman"/>
          <w:sz w:val="20"/>
          <w:szCs w:val="20"/>
          <w:color w:val="auto"/>
        </w:rPr>
        <w:t>occurrence of any contingency) is at the time directly or indirectly owned or controlled by such Person or one or more Subsidiaries of such</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Person or by such Person and one or more Subsidiaries of such Person, and shall include all Persons the accounts of which are consolidated with those of such Person pursuant to GAAP.</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SUMMIT One Vanderbilt</w:t>
      </w:r>
      <w:r>
        <w:rPr>
          <w:rFonts w:ascii="Times New Roman" w:cs="Times New Roman" w:eastAsia="Times New Roman" w:hAnsi="Times New Roman"/>
          <w:sz w:val="20"/>
          <w:szCs w:val="20"/>
          <w:color w:val="auto"/>
        </w:rPr>
        <w:t>” means the Property comprising the Summit observatory located at the Property known as One Vanderbilt. For the avoidance of doubt, SUMMIT One Vanderbilt shall not constitute a Newly-Acquired Property, a Transition Asset, a</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Development Property or a “property acquired during the six fiscal quarters most recently ended” or similar terms as used in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- 26 -</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58"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SUMMIT One Vanderbilt Operator</w:t>
      </w:r>
      <w:r>
        <w:rPr>
          <w:rFonts w:ascii="Times New Roman" w:cs="Times New Roman" w:eastAsia="Times New Roman" w:hAnsi="Times New Roman"/>
          <w:sz w:val="20"/>
          <w:szCs w:val="20"/>
          <w:color w:val="auto"/>
        </w:rPr>
        <w:t>” means Summit OVA Tenant LLC d/b/a Summit One Vanderbilt, a Subsidiary of the Parent, which operates SUMMIT One Vanderbilt.</w:t>
      </w:r>
    </w:p>
    <w:p>
      <w:pPr>
        <w:spacing w:after="0" w:line="1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SUMMIT One Vanderbilt Value</w:t>
      </w:r>
      <w:r>
        <w:rPr>
          <w:rFonts w:ascii="Times New Roman" w:cs="Times New Roman" w:eastAsia="Times New Roman" w:hAnsi="Times New Roman"/>
          <w:sz w:val="20"/>
          <w:szCs w:val="20"/>
          <w:color w:val="auto"/>
        </w:rPr>
        <w:t xml:space="preserve">” means, at a given time, </w:t>
      </w:r>
      <w:r>
        <w:rPr>
          <w:rFonts w:ascii="Times New Roman" w:cs="Times New Roman" w:eastAsia="Times New Roman" w:hAnsi="Times New Roman"/>
          <w:sz w:val="20"/>
          <w:szCs w:val="20"/>
          <w:color w:val="FF0000"/>
          <w:strike w:val="1"/>
        </w:rPr>
        <w:t>(a) prior to December 6, 2024, an amount equal to the book value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Investments made by the Parent and its Subsidiaries in the SUMMIT One Vanderbilt Operator prior to such time; provided that the</w:t>
      </w:r>
    </w:p>
    <w:p>
      <w:pPr>
        <w:spacing w:after="0" w:line="213" w:lineRule="auto"/>
        <w:rPr>
          <w:sz w:val="20"/>
          <w:szCs w:val="20"/>
          <w:color w:val="auto"/>
        </w:rPr>
      </w:pPr>
      <w:r>
        <w:rPr>
          <w:rFonts w:ascii="Times New Roman" w:cs="Times New Roman" w:eastAsia="Times New Roman" w:hAnsi="Times New Roman"/>
          <w:sz w:val="20"/>
          <w:szCs w:val="20"/>
          <w:color w:val="FF0000"/>
          <w:strike w:val="1"/>
        </w:rPr>
        <w:t>Borrowers may at any time during such period irrevocably elect to determine the SUMMIT One Vanderbilt Value based on EBITDA of the</w:t>
      </w:r>
    </w:p>
    <w:p>
      <w:pPr>
        <w:jc w:val="both"/>
        <w:spacing w:after="0" w:line="204" w:lineRule="auto"/>
        <w:rPr>
          <w:sz w:val="20"/>
          <w:szCs w:val="20"/>
          <w:color w:val="auto"/>
        </w:rPr>
      </w:pPr>
      <w:r>
        <w:rPr>
          <w:rFonts w:ascii="Times New Roman" w:cs="Times New Roman" w:eastAsia="Times New Roman" w:hAnsi="Times New Roman"/>
          <w:sz w:val="20"/>
          <w:szCs w:val="20"/>
          <w:color w:val="FF0000"/>
          <w:strike w:val="1"/>
        </w:rPr>
        <w:t xml:space="preserve">SUMMIT One Vanderbilt Operator divided by the Capitalization Rate pursuant to clause (b) below in lieu of the book value of Investments pursuant to this clause (a) and (b) on and after December 6, 2024, </w:t>
      </w:r>
      <w:r>
        <w:rPr>
          <w:rFonts w:ascii="Times New Roman" w:cs="Times New Roman" w:eastAsia="Times New Roman" w:hAnsi="Times New Roman"/>
          <w:sz w:val="20"/>
          <w:szCs w:val="20"/>
          <w:color w:val="000000"/>
          <w:strike w:val="1"/>
        </w:rPr>
        <w:t>EBITDA of the SUMMIT One Vanderbilt Operator for the immediately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preceding period of four consecutive fiscal quarters divided by the Capitalization Rate.</w:t>
      </w:r>
    </w:p>
    <w:p>
      <w:pPr>
        <w:spacing w:after="0" w:line="13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Syndication Agent</w:t>
      </w:r>
      <w:r>
        <w:rPr>
          <w:rFonts w:ascii="Times New Roman" w:cs="Times New Roman" w:eastAsia="Times New Roman" w:hAnsi="Times New Roman"/>
          <w:sz w:val="20"/>
          <w:szCs w:val="20"/>
          <w:color w:val="auto"/>
        </w:rPr>
        <w:t>” means the Person identified as such in the introductory paragraph hereof and shall include such Person’s successors and permitted assigns.</w:t>
      </w:r>
    </w:p>
    <w:p>
      <w:pPr>
        <w:spacing w:after="0" w:line="12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0"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 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that is two (2) U.S. Government</w:t>
      </w:r>
    </w:p>
    <w:p>
      <w:pPr>
        <w:spacing w:after="0" w:line="213" w:lineRule="auto"/>
        <w:rPr>
          <w:sz w:val="20"/>
          <w:szCs w:val="20"/>
          <w:color w:val="auto"/>
        </w:rPr>
      </w:pPr>
      <w:r>
        <w:rPr>
          <w:rFonts w:ascii="Times New Roman" w:cs="Times New Roman" w:eastAsia="Times New Roman" w:hAnsi="Times New Roman"/>
          <w:sz w:val="20"/>
          <w:szCs w:val="20"/>
          <w:color w:val="auto"/>
        </w:rPr>
        <w:t>Securities Business Days prior to the first day of such Interest Period, as such rate is published by the Term SOFR Administrator; provided,</w:t>
      </w:r>
    </w:p>
    <w:p>
      <w:pPr>
        <w:jc w:val="both"/>
        <w:spacing w:after="0" w:line="204" w:lineRule="auto"/>
        <w:rPr>
          <w:sz w:val="20"/>
          <w:szCs w:val="20"/>
          <w:color w:val="auto"/>
        </w:rPr>
      </w:pPr>
      <w:r>
        <w:rPr>
          <w:rFonts w:ascii="Times New Roman" w:cs="Times New Roman" w:eastAsia="Times New Roman" w:hAnsi="Times New Roman"/>
          <w:sz w:val="20"/>
          <w:szCs w:val="20"/>
          <w:color w:val="auto"/>
        </w:rPr>
        <w:t>however, that if as of 5:00 p.m. (New York City time) on any Periodic Term SOFR Determination Day the Term SOFR Reference Rate for the applicable tenor has not been published by the Term SOFR Administrator and a Benchmark Replacement Date with respect to the Term</w:t>
      </w:r>
    </w:p>
    <w:p>
      <w:pPr>
        <w:spacing w:after="0" w:line="211" w:lineRule="auto"/>
        <w:rPr>
          <w:sz w:val="20"/>
          <w:szCs w:val="20"/>
          <w:color w:val="auto"/>
        </w:rPr>
      </w:pPr>
      <w:r>
        <w:rPr>
          <w:rFonts w:ascii="Times New Roman" w:cs="Times New Roman" w:eastAsia="Times New Roman" w:hAnsi="Times New Roman"/>
          <w:sz w:val="20"/>
          <w:szCs w:val="20"/>
          <w:color w:val="auto"/>
        </w:rPr>
        <w:t>SOFR Reference Rate has not occurred, then Term SOFR will be the Term SOFR Reference Rate for such tenor as published by the Term</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SOFR Administrator on the first preceding U.S. Government Securities Business Day for which such Term SOFR Reference Rate for such tenor was published by the Term SOFR Administrator so long as such first preceding U.S. Government Securities Business Day is not more</w:t>
      </w:r>
    </w:p>
    <w:p>
      <w:pPr>
        <w:spacing w:after="0" w:line="211" w:lineRule="auto"/>
        <w:rPr>
          <w:sz w:val="20"/>
          <w:szCs w:val="20"/>
          <w:color w:val="auto"/>
        </w:rPr>
      </w:pPr>
      <w:r>
        <w:rPr>
          <w:rFonts w:ascii="Times New Roman" w:cs="Times New Roman" w:eastAsia="Times New Roman" w:hAnsi="Times New Roman"/>
          <w:sz w:val="20"/>
          <w:szCs w:val="20"/>
          <w:color w:val="auto"/>
        </w:rPr>
        <w:t>than three (3) U.S. Government Securities Business Days prior to such Periodic Term SOFR Determination Day</w:t>
      </w:r>
      <w:r>
        <w:rPr>
          <w:rFonts w:ascii="Times New Roman" w:cs="Times New Roman" w:eastAsia="Times New Roman" w:hAnsi="Times New Roman"/>
          <w:sz w:val="20"/>
          <w:szCs w:val="20"/>
          <w:u w:val="single" w:color="auto"/>
          <w:color w:val="0101FF"/>
        </w:rPr>
        <w:t>; provided further, that if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u w:val="single" w:color="auto"/>
          <w:color w:val="0101FF"/>
        </w:rPr>
        <w:t xml:space="preserve">Term SOFR determined as provided above (including pursuant to the proviso) </w:t>
      </w:r>
      <w:r>
        <w:rPr>
          <w:rFonts w:ascii="Times New Roman" w:cs="Times New Roman" w:eastAsia="Times New Roman" w:hAnsi="Times New Roman"/>
          <w:sz w:val="20"/>
          <w:szCs w:val="20"/>
          <w:u w:val="single" w:color="auto"/>
          <w:color w:val="008000"/>
        </w:rPr>
        <w:t>shall ever be less than the Floor, then Term SOFR shall be</w:t>
      </w:r>
      <w:r>
        <w:rPr>
          <w:rFonts w:ascii="Times New Roman" w:cs="Times New Roman" w:eastAsia="Times New Roman" w:hAnsi="Times New Roman"/>
          <w:sz w:val="20"/>
          <w:szCs w:val="20"/>
          <w:u w:val="single" w:color="auto"/>
          <w:color w:val="0101FF"/>
        </w:rPr>
        <w:t xml:space="preserve"> </w:t>
      </w:r>
      <w:r>
        <w:rPr>
          <w:rFonts w:ascii="Times New Roman" w:cs="Times New Roman" w:eastAsia="Times New Roman" w:hAnsi="Times New Roman"/>
          <w:sz w:val="20"/>
          <w:szCs w:val="20"/>
          <w:u w:val="single" w:color="auto"/>
          <w:color w:val="008000"/>
        </w:rPr>
        <w:t>deemed to be the Floor</w:t>
      </w:r>
      <w:r>
        <w:rPr>
          <w:rFonts w:ascii="Times New Roman" w:cs="Times New Roman" w:eastAsia="Times New Roman" w:hAnsi="Times New Roman"/>
          <w:sz w:val="20"/>
          <w:szCs w:val="20"/>
          <w:color w:val="000000"/>
        </w:rPr>
        <w:t>.</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b w:val="1"/>
          <w:bCs w:val="1"/>
          <w:color w:val="FF0000"/>
          <w:strike w:val="1"/>
        </w:rPr>
        <w:t>Term SOFR Adjustment</w:t>
      </w:r>
      <w:r>
        <w:rPr>
          <w:rFonts w:ascii="Times New Roman" w:cs="Times New Roman" w:eastAsia="Times New Roman" w:hAnsi="Times New Roman"/>
          <w:sz w:val="20"/>
          <w:szCs w:val="20"/>
          <w:color w:val="FF0000"/>
          <w:strike w:val="1"/>
        </w:rPr>
        <w:t>” means for any calculation with respect to a SOFR Loan, a percentage per annum as set forth below for the applicable Interest Period of such SOFR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133985</wp:posOffset>
            </wp:positionV>
            <wp:extent cx="2082800" cy="522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82800" cy="522605"/>
                    </a:xfrm>
                    <a:prstGeom prst="rect">
                      <a:avLst/>
                    </a:prstGeom>
                    <a:noFill/>
                  </pic:spPr>
                </pic:pic>
              </a:graphicData>
            </a:graphic>
          </wp:anchor>
        </w:drawing>
      </w:r>
    </w:p>
    <w:p>
      <w:pPr>
        <w:spacing w:after="0" w:line="195" w:lineRule="exact"/>
        <w:rPr>
          <w:sz w:val="20"/>
          <w:szCs w:val="20"/>
          <w:color w:val="auto"/>
        </w:rPr>
      </w:pPr>
    </w:p>
    <w:tbl>
      <w:tblPr>
        <w:tblLayout w:type="fixed"/>
        <w:tblInd w:w="2600" w:type="dxa"/>
        <w:tblCellMar>
          <w:top w:w="0" w:type="dxa"/>
          <w:left w:w="0" w:type="dxa"/>
          <w:bottom w:w="0" w:type="dxa"/>
          <w:right w:w="0" w:type="dxa"/>
        </w:tblCellMar>
      </w:tblP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Interest Period</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Percentage</w:t>
            </w: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One month</w:t>
            </w: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FF0000"/>
                <w:strike w:val="1"/>
              </w:rPr>
              <w:t>0.10%</w:t>
            </w: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Three months</w:t>
            </w: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FF0000"/>
                <w:strike w:val="1"/>
              </w:rPr>
              <w:t>0.15%</w:t>
            </w:r>
          </w:p>
        </w:tc>
      </w:tr>
    </w:tbl>
    <w:p>
      <w:pPr>
        <w:spacing w:after="0" w:line="26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Titled Agents</w:t>
      </w:r>
      <w:r>
        <w:rPr>
          <w:rFonts w:ascii="Times New Roman" w:cs="Times New Roman" w:eastAsia="Times New Roman" w:hAnsi="Times New Roman"/>
          <w:sz w:val="20"/>
          <w:szCs w:val="20"/>
          <w:color w:val="auto"/>
        </w:rPr>
        <w:t>” means each of the Lead Arrangers, the Bookrunners and the Syndication Agents.</w:t>
      </w:r>
    </w:p>
    <w:p>
      <w:pPr>
        <w:spacing w:after="0" w:line="17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Asset Value</w:t>
      </w:r>
      <w:r>
        <w:rPr>
          <w:rFonts w:ascii="Times New Roman" w:cs="Times New Roman" w:eastAsia="Times New Roman" w:hAnsi="Times New Roman"/>
          <w:sz w:val="20"/>
          <w:szCs w:val="20"/>
          <w:color w:val="auto"/>
        </w:rPr>
        <w:t>” means, with respect to a Person, at a given time, the sum (without duplication) of all of the following of such Person and its Subsidiaries determined on a consolidated basis in accordance with GAAP applied on a consistent basis: (a) cash and Cash</w:t>
      </w:r>
    </w:p>
    <w:p>
      <w:pPr>
        <w:spacing w:after="0" w:line="224" w:lineRule="auto"/>
        <w:rPr>
          <w:sz w:val="20"/>
          <w:szCs w:val="20"/>
          <w:color w:val="auto"/>
        </w:rPr>
      </w:pPr>
      <w:r>
        <w:rPr>
          <w:rFonts w:ascii="Times New Roman" w:cs="Times New Roman" w:eastAsia="Times New Roman" w:hAnsi="Times New Roman"/>
          <w:sz w:val="19"/>
          <w:szCs w:val="19"/>
          <w:color w:val="auto"/>
        </w:rPr>
        <w:t>Equivalents (other than tenant deposits and other cash and Cash Equivalents that are subject to a Lien or a Negative Pledge or the disposition</w:t>
      </w:r>
    </w:p>
    <w:p>
      <w:pPr>
        <w:spacing w:after="0" w:line="204" w:lineRule="auto"/>
        <w:rPr>
          <w:sz w:val="20"/>
          <w:szCs w:val="20"/>
          <w:color w:val="auto"/>
        </w:rPr>
      </w:pPr>
      <w:r>
        <w:rPr>
          <w:rFonts w:ascii="Times New Roman" w:cs="Times New Roman" w:eastAsia="Times New Roman" w:hAnsi="Times New Roman"/>
          <w:sz w:val="20"/>
          <w:szCs w:val="20"/>
          <w:color w:val="auto"/>
        </w:rPr>
        <w:t>of which is restricted in any way); plus (b) the quotient of (i) EBITDA of such Person and its Subsidiaries for the immediately preceding period of four consecutive fiscal quarters, divided by (ii) the Capitalization Rate; provided that, for the Annualization Period for a Newly-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Acquired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- 27 -</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Transition Asset, the EBITDA attributable to such Newly-Acquired Property or such Transition Asset, as applicable, shall be determined on an Annualized basis; plus (c) the GAAP book value of Properties acquired during the six fiscal quarters most recently ended; plus (d) the</w:t>
      </w:r>
    </w:p>
    <w:p>
      <w:pPr>
        <w:spacing w:after="0" w:line="212" w:lineRule="auto"/>
        <w:rPr>
          <w:sz w:val="20"/>
          <w:szCs w:val="20"/>
          <w:color w:val="auto"/>
        </w:rPr>
      </w:pPr>
      <w:r>
        <w:rPr>
          <w:rFonts w:ascii="Times New Roman" w:cs="Times New Roman" w:eastAsia="Times New Roman" w:hAnsi="Times New Roman"/>
          <w:sz w:val="20"/>
          <w:szCs w:val="20"/>
          <w:color w:val="auto"/>
        </w:rPr>
        <w:t>GAAP book value of all Development Properties; plus (e) the GAAP book value of Unimproved Land, Mortgage Receivables and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promissory notes plus (f) the </w:t>
      </w:r>
      <w:r>
        <w:rPr>
          <w:rFonts w:ascii="Times New Roman" w:cs="Times New Roman" w:eastAsia="Times New Roman" w:hAnsi="Times New Roman"/>
          <w:sz w:val="20"/>
          <w:szCs w:val="20"/>
          <w:color w:val="0101FF"/>
        </w:rPr>
        <w:t>sum of the</w:t>
      </w:r>
      <w:r>
        <w:rPr>
          <w:rFonts w:ascii="Times New Roman" w:cs="Times New Roman" w:eastAsia="Times New Roman" w:hAnsi="Times New Roman"/>
          <w:sz w:val="20"/>
          <w:szCs w:val="20"/>
          <w:color w:val="auto"/>
        </w:rPr>
        <w:t xml:space="preserve"> Structured Finance Value </w:t>
      </w:r>
      <w:r>
        <w:rPr>
          <w:rFonts w:ascii="Times New Roman" w:cs="Times New Roman" w:eastAsia="Times New Roman" w:hAnsi="Times New Roman"/>
          <w:sz w:val="20"/>
          <w:szCs w:val="20"/>
          <w:color w:val="0101FF"/>
        </w:rPr>
        <w:t>and the Fund Investment Value</w:t>
      </w:r>
      <w:r>
        <w:rPr>
          <w:rFonts w:ascii="Times New Roman" w:cs="Times New Roman" w:eastAsia="Times New Roman" w:hAnsi="Times New Roman"/>
          <w:sz w:val="20"/>
          <w:szCs w:val="20"/>
          <w:color w:val="auto"/>
        </w:rPr>
        <w:t xml:space="preserve">; plus (g) the GAAP book value of Transition Assets; plus (h) </w:t>
      </w:r>
      <w:r>
        <w:rPr>
          <w:rFonts w:ascii="Times New Roman" w:cs="Times New Roman" w:eastAsia="Times New Roman" w:hAnsi="Times New Roman"/>
          <w:sz w:val="20"/>
          <w:szCs w:val="20"/>
          <w:color w:val="0101FF"/>
        </w:rPr>
        <w:t>sum of</w:t>
      </w:r>
      <w:r>
        <w:rPr>
          <w:rFonts w:ascii="Times New Roman" w:cs="Times New Roman" w:eastAsia="Times New Roman" w:hAnsi="Times New Roman"/>
          <w:sz w:val="20"/>
          <w:szCs w:val="20"/>
          <w:color w:val="auto"/>
        </w:rPr>
        <w:t xml:space="preserve"> the SUMMIT One Vanderbilt Value </w:t>
      </w:r>
      <w:r>
        <w:rPr>
          <w:rFonts w:ascii="Times New Roman" w:cs="Times New Roman" w:eastAsia="Times New Roman" w:hAnsi="Times New Roman"/>
          <w:sz w:val="20"/>
          <w:szCs w:val="20"/>
          <w:u w:val="single" w:color="auto"/>
          <w:color w:val="0101FF"/>
        </w:rPr>
        <w:t>and the SEV Value</w:t>
      </w:r>
      <w:r>
        <w:rPr>
          <w:rFonts w:ascii="Times New Roman" w:cs="Times New Roman" w:eastAsia="Times New Roman" w:hAnsi="Times New Roman"/>
          <w:sz w:val="20"/>
          <w:szCs w:val="20"/>
          <w:color w:val="auto"/>
        </w:rPr>
        <w:t xml:space="preserve"> as of such date</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plus (i</w:t>
      </w:r>
      <w:r>
        <w:rPr>
          <w:rFonts w:ascii="Times New Roman" w:cs="Times New Roman" w:eastAsia="Times New Roman" w:hAnsi="Times New Roman"/>
          <w:sz w:val="20"/>
          <w:szCs w:val="20"/>
          <w:u w:val="single" w:color="auto"/>
          <w:color w:val="0101FF"/>
        </w:rPr>
        <w:t>) mark-to-market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1535430</wp:posOffset>
            </wp:positionH>
            <wp:positionV relativeFrom="paragraph">
              <wp:posOffset>-127000</wp:posOffset>
            </wp:positionV>
            <wp:extent cx="6705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70560" cy="8255"/>
                    </a:xfrm>
                    <a:prstGeom prst="rect">
                      <a:avLst/>
                    </a:prstGeom>
                    <a:noFill/>
                  </pic:spPr>
                </pic:pic>
              </a:graphicData>
            </a:graphic>
          </wp:anchor>
        </w:drawing>
        <w:drawing>
          <wp:anchor simplePos="0" relativeHeight="251657728" behindDoc="1" locked="0" layoutInCell="0" allowOverlap="1">
            <wp:simplePos x="0" y="0"/>
            <wp:positionH relativeFrom="column">
              <wp:posOffset>3518535</wp:posOffset>
            </wp:positionH>
            <wp:positionV relativeFrom="paragraph">
              <wp:posOffset>-127000</wp:posOffset>
            </wp:positionV>
            <wp:extent cx="1714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-6985</wp:posOffset>
            </wp:positionV>
            <wp:extent cx="4165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416560"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u w:val="single" w:color="auto"/>
          <w:color w:val="0101FF"/>
        </w:rPr>
        <w:t>Marketable Securities (provided that such Marketable Securities must not be subject to any lock-up or other transfer restrictions) and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101FF"/>
        </w:rPr>
        <w:t>aggregate positive amount of net cash proceeds that would be due to such Person from all Qualified Forward Equity Contracts that have not yet settled as of such date, calculated as if such Qualified Forward Equity Contracts were settled by such Person’s delivery of its common</w:t>
      </w:r>
    </w:p>
    <w:p>
      <w:pPr>
        <w:spacing w:after="0" w:line="211" w:lineRule="auto"/>
        <w:rPr>
          <w:sz w:val="20"/>
          <w:szCs w:val="20"/>
          <w:color w:val="auto"/>
        </w:rPr>
      </w:pPr>
      <w:r>
        <w:rPr>
          <w:rFonts w:ascii="Times New Roman" w:cs="Times New Roman" w:eastAsia="Times New Roman" w:hAnsi="Times New Roman"/>
          <w:sz w:val="20"/>
          <w:szCs w:val="20"/>
          <w:u w:val="single" w:color="auto"/>
          <w:color w:val="0101FF"/>
        </w:rPr>
        <w:t>shares as of, and such net cash proceeds were actually received on, the last day of the applicable calculation period; plus (j</w:t>
      </w:r>
      <w:r>
        <w:rPr>
          <w:rFonts w:ascii="Times New Roman" w:cs="Times New Roman" w:eastAsia="Times New Roman" w:hAnsi="Times New Roman"/>
          <w:sz w:val="20"/>
          <w:szCs w:val="20"/>
          <w:color w:val="000000"/>
        </w:rPr>
        <w:t>) the GAAP book</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value of Investments in Unconsolidated Affiliates (for the avoidance of doubt, assets owned by Unconsolidated Affiliates which are described in clauses (a) – (</w:t>
      </w:r>
      <w:r>
        <w:rPr>
          <w:rFonts w:ascii="Times New Roman" w:cs="Times New Roman" w:eastAsia="Times New Roman" w:hAnsi="Times New Roman"/>
          <w:sz w:val="20"/>
          <w:szCs w:val="20"/>
          <w:color w:val="FF0000"/>
          <w:strike w:val="1"/>
        </w:rPr>
        <w:t>h</w:t>
      </w:r>
      <w:r>
        <w:rPr>
          <w:rFonts w:ascii="Times New Roman" w:cs="Times New Roman" w:eastAsia="Times New Roman" w:hAnsi="Times New Roman"/>
          <w:sz w:val="20"/>
          <w:szCs w:val="20"/>
          <w:u w:val="single" w:color="auto"/>
          <w:color w:val="0101FF"/>
        </w:rPr>
        <w:t>i</w:t>
      </w:r>
      <w:r>
        <w:rPr>
          <w:rFonts w:ascii="Times New Roman" w:cs="Times New Roman" w:eastAsia="Times New Roman" w:hAnsi="Times New Roman"/>
          <w:sz w:val="20"/>
          <w:szCs w:val="20"/>
          <w:color w:val="auto"/>
        </w:rPr>
        <w:t xml:space="preserve">) above shall not </w:t>
      </w:r>
      <w:r>
        <w:rPr>
          <w:rFonts w:ascii="Times New Roman" w:cs="Times New Roman" w:eastAsia="Times New Roman" w:hAnsi="Times New Roman"/>
          <w:sz w:val="20"/>
          <w:szCs w:val="20"/>
          <w:u w:val="single" w:color="auto"/>
          <w:color w:val="0101FF"/>
        </w:rPr>
        <w:t>separately</w:t>
      </w:r>
      <w:r>
        <w:rPr>
          <w:rFonts w:ascii="Times New Roman" w:cs="Times New Roman" w:eastAsia="Times New Roman" w:hAnsi="Times New Roman"/>
          <w:sz w:val="20"/>
          <w:szCs w:val="20"/>
          <w:color w:val="auto"/>
        </w:rPr>
        <w:t xml:space="preserve"> be included in the calculation of Total Asset Value). EBITDA attributable to (</w:t>
      </w:r>
      <w:r>
        <w:rPr>
          <w:rFonts w:ascii="Times New Roman" w:cs="Times New Roman" w:eastAsia="Times New Roman" w:hAnsi="Times New Roman"/>
          <w:sz w:val="20"/>
          <w:szCs w:val="20"/>
          <w:color w:val="FF0000"/>
          <w:strike w:val="1"/>
        </w:rPr>
        <w:t>w</w:t>
      </w:r>
      <w:r>
        <w:rPr>
          <w:rFonts w:ascii="Times New Roman" w:cs="Times New Roman" w:eastAsia="Times New Roman" w:hAnsi="Times New Roman"/>
          <w:sz w:val="20"/>
          <w:szCs w:val="20"/>
          <w:u w:val="single" w:color="auto"/>
          <w:color w:val="0101FF"/>
        </w:rPr>
        <w:t>s</w:t>
      </w:r>
      <w:r>
        <w:rPr>
          <w:rFonts w:ascii="Times New Roman" w:cs="Times New Roman" w:eastAsia="Times New Roman" w:hAnsi="Times New Roman"/>
          <w:sz w:val="20"/>
          <w:szCs w:val="20"/>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SUMMIT One Vanderbilt Operator, (</w:t>
      </w:r>
      <w:r>
        <w:rPr>
          <w:rFonts w:ascii="Times New Roman" w:cs="Times New Roman" w:eastAsia="Times New Roman" w:hAnsi="Times New Roman"/>
          <w:sz w:val="20"/>
          <w:szCs w:val="20"/>
          <w:color w:val="FF0000"/>
          <w:strike w:val="1"/>
        </w:rPr>
        <w:t>x</w:t>
      </w:r>
      <w:r>
        <w:rPr>
          <w:rFonts w:ascii="Times New Roman" w:cs="Times New Roman" w:eastAsia="Times New Roman" w:hAnsi="Times New Roman"/>
          <w:sz w:val="20"/>
          <w:szCs w:val="20"/>
          <w:u w:val="single" w:color="auto"/>
          <w:color w:val="0101FF"/>
        </w:rPr>
        <w:t>t) SEV Operator, (u</w:t>
      </w:r>
      <w:r>
        <w:rPr>
          <w:rFonts w:ascii="Times New Roman" w:cs="Times New Roman" w:eastAsia="Times New Roman" w:hAnsi="Times New Roman"/>
          <w:sz w:val="20"/>
          <w:szCs w:val="20"/>
          <w:color w:val="auto"/>
        </w:rPr>
        <w:t>) Properties acquired or disposed of during the six fiscal quarters ending</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immediately prior to any date of determination of Total Asset Value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y</w:t>
      </w:r>
      <w:r>
        <w:rPr>
          <w:rFonts w:ascii="Times New Roman" w:cs="Times New Roman" w:eastAsia="Times New Roman" w:hAnsi="Times New Roman"/>
          <w:sz w:val="20"/>
          <w:szCs w:val="20"/>
          <w:u w:val="single" w:color="auto"/>
          <w:color w:val="0101FF"/>
        </w:rPr>
        <w:t>v</w:t>
      </w:r>
      <w:r>
        <w:rPr>
          <w:rFonts w:ascii="Times New Roman" w:cs="Times New Roman" w:eastAsia="Times New Roman" w:hAnsi="Times New Roman"/>
          <w:sz w:val="20"/>
          <w:szCs w:val="20"/>
          <w:color w:val="auto"/>
        </w:rPr>
        <w:t xml:space="preserve">) Properties that were Development Properties at the end of such fiscal quarter </w:t>
      </w:r>
      <w:r>
        <w:rPr>
          <w:rFonts w:ascii="Times New Roman" w:cs="Times New Roman" w:eastAsia="Times New Roman" w:hAnsi="Times New Roman"/>
          <w:sz w:val="20"/>
          <w:szCs w:val="20"/>
          <w:color w:val="FF0000"/>
        </w:rPr>
        <w:t>or (z) Transition Assets</w:t>
      </w:r>
      <w:r>
        <w:rPr>
          <w:rFonts w:ascii="Times New Roman" w:cs="Times New Roman" w:eastAsia="Times New Roman" w:hAnsi="Times New Roman"/>
          <w:sz w:val="20"/>
          <w:szCs w:val="20"/>
          <w:u w:val="single" w:color="auto"/>
          <w:color w:val="0101FF"/>
        </w:rPr>
        <w:t>, (w) Mortgage Receivables or other promissory notes, (x) Structured Finance Investments or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-178435</wp:posOffset>
            </wp:positionV>
            <wp:extent cx="135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-58420</wp:posOffset>
            </wp:positionV>
            <wp:extent cx="12700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u w:val="single" w:color="auto"/>
          <w:color w:val="0101FF"/>
        </w:rPr>
        <w:t>Investments, (y) Transition Assets or (z) Marketable Securities or forward equity trades</w:t>
      </w:r>
      <w:r>
        <w:rPr>
          <w:rFonts w:ascii="Times New Roman" w:cs="Times New Roman" w:eastAsia="Times New Roman" w:hAnsi="Times New Roman"/>
          <w:sz w:val="20"/>
          <w:szCs w:val="20"/>
          <w:color w:val="000000"/>
        </w:rPr>
        <w:t>, shall not be included in the calculation of Total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Asset Value </w:t>
      </w:r>
      <w:r>
        <w:rPr>
          <w:rFonts w:ascii="Times New Roman" w:cs="Times New Roman" w:eastAsia="Times New Roman" w:hAnsi="Times New Roman"/>
          <w:sz w:val="20"/>
          <w:szCs w:val="20"/>
          <w:color w:val="0101FF"/>
        </w:rPr>
        <w:t>under clause (b) above</w:t>
      </w:r>
      <w:r>
        <w:rPr>
          <w:rFonts w:ascii="Times New Roman" w:cs="Times New Roman" w:eastAsia="Times New Roman" w:hAnsi="Times New Roman"/>
          <w:sz w:val="20"/>
          <w:szCs w:val="20"/>
          <w:color w:val="auto"/>
        </w:rPr>
        <w:t xml:space="preserve">. Notwithstanding the foregoing (I) if the contribution from clause (f) above should exceed </w:t>
      </w:r>
      <w:r>
        <w:rPr>
          <w:rFonts w:ascii="Times New Roman" w:cs="Times New Roman" w:eastAsia="Times New Roman" w:hAnsi="Times New Roman"/>
          <w:sz w:val="20"/>
          <w:szCs w:val="20"/>
          <w:color w:val="FF0000"/>
          <w:strike w:val="1"/>
        </w:rPr>
        <w:t>15</w:t>
      </w:r>
      <w:r>
        <w:rPr>
          <w:rFonts w:ascii="Times New Roman" w:cs="Times New Roman" w:eastAsia="Times New Roman" w:hAnsi="Times New Roman"/>
          <w:sz w:val="20"/>
          <w:szCs w:val="20"/>
          <w:u w:val="single" w:color="auto"/>
          <w:color w:val="0101FF"/>
        </w:rPr>
        <w:t>20</w:t>
      </w:r>
      <w:r>
        <w:rPr>
          <w:rFonts w:ascii="Times New Roman" w:cs="Times New Roman" w:eastAsia="Times New Roman" w:hAnsi="Times New Roman"/>
          <w:sz w:val="20"/>
          <w:szCs w:val="20"/>
          <w:color w:val="auto"/>
        </w:rPr>
        <w:t>% of Total Asset Value, such excess shall be excluded from the calculation of Total Asset Value, (II) if the contribution from clause (i</w:t>
      </w:r>
      <w:r>
        <w:rPr>
          <w:rFonts w:ascii="Times New Roman" w:cs="Times New Roman" w:eastAsia="Times New Roman" w:hAnsi="Times New Roman"/>
          <w:sz w:val="20"/>
          <w:szCs w:val="20"/>
          <w:u w:val="single" w:color="auto"/>
          <w:color w:val="0101FF"/>
        </w:rPr>
        <w:t>j</w:t>
      </w:r>
      <w:r>
        <w:rPr>
          <w:rFonts w:ascii="Times New Roman" w:cs="Times New Roman" w:eastAsia="Times New Roman" w:hAnsi="Times New Roman"/>
          <w:sz w:val="20"/>
          <w:szCs w:val="20"/>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-127000</wp:posOffset>
            </wp:positionV>
            <wp:extent cx="1223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9"/>
          <w:szCs w:val="19"/>
          <w:color w:val="auto"/>
        </w:rPr>
        <w:t xml:space="preserve">should exceed 35% of Total Asset Value, such excess shall be excluded from the calculation of Total Asset Value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u w:val="single" w:color="auto"/>
          <w:color w:val="0101FF"/>
        </w:rPr>
        <w:t>,</w:t>
      </w:r>
      <w:r>
        <w:rPr>
          <w:rFonts w:ascii="Times New Roman" w:cs="Times New Roman" w:eastAsia="Times New Roman" w:hAnsi="Times New Roman"/>
          <w:sz w:val="19"/>
          <w:szCs w:val="19"/>
          <w:color w:val="auto"/>
        </w:rPr>
        <w:t xml:space="preserve"> (III) if the contribution </w:t>
      </w:r>
      <w:r>
        <w:rPr>
          <w:rFonts w:ascii="Times New Roman" w:cs="Times New Roman" w:eastAsia="Times New Roman" w:hAnsi="Times New Roman"/>
          <w:sz w:val="19"/>
          <w:szCs w:val="19"/>
          <w:u w:val="single" w:color="auto"/>
          <w:color w:val="0101FF"/>
        </w:rPr>
        <w:t>from SEV Value should exceed 5% of Total Asset Value, such excess shall be excluded from the calculation of Total Asset Value and (IV)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5702300</wp:posOffset>
            </wp:positionH>
            <wp:positionV relativeFrom="paragraph">
              <wp:posOffset>-179070</wp:posOffset>
            </wp:positionV>
            <wp:extent cx="212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u w:val="single" w:color="auto"/>
          <w:color w:val="0101FF"/>
        </w:rPr>
        <w:t>the contribution</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from (A) Unimproved Land, (B) Equity Interests in Persons (other than consolidated Subsidiaries and Unconsolidated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Affiliates), (C) Mortgage Receivables in favor of such Person or any of its Subsidiaries (valued based on aggregate book value), (D) Structured Finance Value </w:t>
      </w:r>
      <w:r>
        <w:rPr>
          <w:rFonts w:ascii="Times New Roman" w:cs="Times New Roman" w:eastAsia="Times New Roman" w:hAnsi="Times New Roman"/>
          <w:sz w:val="20"/>
          <w:szCs w:val="20"/>
          <w:color w:val="0101FF"/>
        </w:rPr>
        <w:t>and Fund Investment Value</w:t>
      </w:r>
      <w:r>
        <w:rPr>
          <w:rFonts w:ascii="Times New Roman" w:cs="Times New Roman" w:eastAsia="Times New Roman" w:hAnsi="Times New Roman"/>
          <w:sz w:val="20"/>
          <w:szCs w:val="20"/>
          <w:color w:val="auto"/>
        </w:rPr>
        <w:t>, (E) Investments in Properties that are not (1) office Properties or (2) retail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-6985</wp:posOffset>
            </wp:positionV>
            <wp:extent cx="15125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512570" cy="889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 xml:space="preserve">multifamily Properties that are located in New York City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(F) </w:t>
      </w:r>
      <w:r>
        <w:rPr>
          <w:rFonts w:ascii="Times New Roman" w:cs="Times New Roman" w:eastAsia="Times New Roman" w:hAnsi="Times New Roman"/>
          <w:sz w:val="20"/>
          <w:szCs w:val="20"/>
          <w:u w:val="single" w:color="auto"/>
          <w:color w:val="0101FF"/>
        </w:rPr>
        <w:t>the SEV Value and (G)</w:t>
      </w:r>
      <w:r>
        <w:rPr>
          <w:rFonts w:ascii="Times New Roman" w:cs="Times New Roman" w:eastAsia="Times New Roman" w:hAnsi="Times New Roman"/>
          <w:sz w:val="20"/>
          <w:szCs w:val="20"/>
          <w:color w:val="auto"/>
        </w:rPr>
        <w:t xml:space="preserve"> the aggregate amount of the costs incurred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-58420</wp:posOffset>
            </wp:positionV>
            <wp:extent cx="220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0"/>
          <w:szCs w:val="20"/>
          <w:color w:val="auto"/>
        </w:rPr>
        <w:t>respect to (1) any Property of such Person or any of its Subsidiaries that is under construction (including any Development Property) and (2) any Transition Asset of such Person or any of its Subsidiaries, in each case determined on the basis of “construction-in-process”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accordance with GAAP, if applicable, and if not applicable, by the GAAP book value of such Property, in the aggregate for clauses (A) – (</w:t>
      </w:r>
      <w:r>
        <w:rPr>
          <w:rFonts w:ascii="Times New Roman" w:cs="Times New Roman" w:eastAsia="Times New Roman" w:hAnsi="Times New Roman"/>
          <w:sz w:val="20"/>
          <w:szCs w:val="20"/>
          <w:color w:val="FF0000"/>
          <w:strike w:val="1"/>
        </w:rPr>
        <w:t>F</w:t>
      </w:r>
      <w:r>
        <w:rPr>
          <w:rFonts w:ascii="Times New Roman" w:cs="Times New Roman" w:eastAsia="Times New Roman" w:hAnsi="Times New Roman"/>
          <w:sz w:val="20"/>
          <w:szCs w:val="20"/>
          <w:u w:val="single" w:color="auto"/>
          <w:color w:val="0101FF"/>
        </w:rPr>
        <w:t>G</w:t>
      </w:r>
      <w:r>
        <w:rPr>
          <w:rFonts w:ascii="Times New Roman" w:cs="Times New Roman" w:eastAsia="Times New Roman" w:hAnsi="Times New Roman"/>
          <w:sz w:val="20"/>
          <w:szCs w:val="20"/>
          <w:color w:val="auto"/>
        </w:rPr>
        <w:t>) should exceed 40% of Total Asset Value, such excess shall be excluded from the calculation of Total Asset Value.</w:t>
      </w:r>
    </w:p>
    <w:p>
      <w:pPr>
        <w:spacing w:after="0" w:line="13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Indebtedness</w:t>
      </w:r>
      <w:r>
        <w:rPr>
          <w:rFonts w:ascii="Times New Roman" w:cs="Times New Roman" w:eastAsia="Times New Roman" w:hAnsi="Times New Roman"/>
          <w:sz w:val="20"/>
          <w:szCs w:val="20"/>
          <w:color w:val="auto"/>
        </w:rPr>
        <w:t>” means, with respect to any Person at any time of determination, all Indebtedness of such Person and its Subsidiaries determined on a consolidated basis in accordance with GAAP applied on a consistent basis.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Transition Asset</w:t>
      </w:r>
      <w:r>
        <w:rPr>
          <w:rFonts w:ascii="Times New Roman" w:cs="Times New Roman" w:eastAsia="Times New Roman" w:hAnsi="Times New Roman"/>
          <w:sz w:val="20"/>
          <w:szCs w:val="20"/>
          <w:color w:val="auto"/>
        </w:rPr>
        <w:t>” means, at any time of determination, either (a) Property that was acquired by a Borrower, a Subsidiary or an</w:t>
      </w:r>
    </w:p>
    <w:p>
      <w:pPr>
        <w:spacing w:after="0" w:line="204" w:lineRule="auto"/>
        <w:rPr>
          <w:sz w:val="20"/>
          <w:szCs w:val="20"/>
          <w:color w:val="auto"/>
        </w:rPr>
      </w:pPr>
      <w:r>
        <w:rPr>
          <w:rFonts w:ascii="Times New Roman" w:cs="Times New Roman" w:eastAsia="Times New Roman" w:hAnsi="Times New Roman"/>
          <w:sz w:val="20"/>
          <w:szCs w:val="20"/>
          <w:color w:val="auto"/>
        </w:rPr>
        <w:t>Unconsolidated Affiliate within the period of six fiscal quarters most recently ended and when acquired had an Occupancy Rate of less than seventy percent (70.0%) or (b) a Property identified by the Borrower Representative in a written notice (which may be by telecopy or</w:t>
      </w:r>
    </w:p>
    <w:p>
      <w:pPr>
        <w:spacing w:after="0" w:line="223" w:lineRule="auto"/>
        <w:rPr>
          <w:sz w:val="20"/>
          <w:szCs w:val="20"/>
          <w:color w:val="auto"/>
        </w:rPr>
      </w:pPr>
      <w:r>
        <w:rPr>
          <w:rFonts w:ascii="Times New Roman" w:cs="Times New Roman" w:eastAsia="Times New Roman" w:hAnsi="Times New Roman"/>
          <w:sz w:val="19"/>
          <w:szCs w:val="19"/>
          <w:color w:val="auto"/>
        </w:rPr>
        <w:t>electronic mail) to the Administrative Agent on which the existing building is undergoing a renovation or redevelopment that will result in at</w:t>
      </w:r>
    </w:p>
    <w:p>
      <w:pPr>
        <w:spacing w:after="0" w:line="204" w:lineRule="auto"/>
        <w:rPr>
          <w:sz w:val="20"/>
          <w:szCs w:val="20"/>
          <w:color w:val="auto"/>
        </w:rPr>
      </w:pPr>
      <w:r>
        <w:rPr>
          <w:rFonts w:ascii="Times New Roman" w:cs="Times New Roman" w:eastAsia="Times New Roman" w:hAnsi="Times New Roman"/>
          <w:sz w:val="20"/>
          <w:szCs w:val="20"/>
          <w:color w:val="auto"/>
        </w:rPr>
        <w:t>least thirty percent (30%) of the total gross leasable area of such building being unavailable for occupancy. A Transition Asset of the type described in clause (a) of this definition will cease to be a Transition Asset immediately following the last day of the period of six fiscal</w:t>
      </w:r>
    </w:p>
    <w:p>
      <w:pPr>
        <w:spacing w:after="0" w:line="211" w:lineRule="auto"/>
        <w:rPr>
          <w:sz w:val="20"/>
          <w:szCs w:val="20"/>
          <w:color w:val="auto"/>
        </w:rPr>
      </w:pPr>
      <w:r>
        <w:rPr>
          <w:rFonts w:ascii="Times New Roman" w:cs="Times New Roman" w:eastAsia="Times New Roman" w:hAnsi="Times New Roman"/>
          <w:sz w:val="20"/>
          <w:szCs w:val="20"/>
          <w:color w:val="auto"/>
        </w:rPr>
        <w:t>quarters commencing with the fiscal quarter in which such Property was acquired, and a Transition Asset of the type described in clause (b)</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this definition will cease to be a Transition Asset immediately following the last day of the period of six fiscal quarters commencing with the fiscal quarter in which all improvements related to the renovation or redevelopment were completed. A Transition Asset of the type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described in clause (a) of this definition shall in no event be considered to be a Newly-Acquired Property.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w:t>
      </w:r>
      <w:r>
        <w:rPr>
          <w:rFonts w:ascii="Times New Roman" w:cs="Times New Roman" w:eastAsia="Times New Roman" w:hAnsi="Times New Roman"/>
          <w:sz w:val="20"/>
          <w:szCs w:val="20"/>
          <w:color w:val="auto"/>
        </w:rPr>
        <w:t>” means SL Green Capital Trust I, a Delaware statutory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- 28 -</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Type</w:t>
      </w:r>
      <w:r>
        <w:rPr>
          <w:rFonts w:ascii="Times New Roman" w:cs="Times New Roman" w:eastAsia="Times New Roman" w:hAnsi="Times New Roman"/>
          <w:sz w:val="20"/>
          <w:szCs w:val="20"/>
          <w:color w:val="auto"/>
        </w:rPr>
        <w:t>” with respect to any Loan, refers to whether such Loan or portion thereof is a SOFR Loan or a Base Rate Loan.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means the Uniform Commercial Code as in effect in any applicable jurisdiction.</w:t>
      </w:r>
    </w:p>
    <w:p>
      <w:pPr>
        <w:spacing w:after="0" w:line="162"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Handbook (as amended from time to time) promulgated by the United Kingdom Financial Conduct Authority, which includes certain credit institutions and investment firms, and certain affiliates of such credit institutions or investment firms.</w:t>
      </w:r>
    </w:p>
    <w:p>
      <w:pPr>
        <w:spacing w:after="0" w:line="14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4"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44"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Unconsolidated Affiliate</w:t>
      </w:r>
      <w:r>
        <w:rPr>
          <w:rFonts w:ascii="Times New Roman" w:cs="Times New Roman" w:eastAsia="Times New Roman" w:hAnsi="Times New Roman"/>
          <w:sz w:val="19"/>
          <w:szCs w:val="19"/>
          <w:color w:val="auto"/>
        </w:rPr>
        <w:t>” means, with respect to any Person, any other Person in whom such Person holds an Investment, which Investment is accounted for in the financial statements of such Person on an equity basis of accounting and whose financial results would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consolidated under GAAP with the financial results of such Person on the consolidated financial statements of such Person.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Unencumbered Adjusted NOI</w:t>
      </w:r>
      <w:r>
        <w:rPr>
          <w:rFonts w:ascii="Times New Roman" w:cs="Times New Roman" w:eastAsia="Times New Roman" w:hAnsi="Times New Roman"/>
          <w:sz w:val="20"/>
          <w:szCs w:val="20"/>
          <w:color w:val="auto"/>
        </w:rPr>
        <w:t xml:space="preserve">” means, for any period,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auto"/>
        </w:rPr>
        <w:t xml:space="preserve"> Net Operating Income from all Eligible Properties</w:t>
      </w:r>
      <w:r>
        <w:rPr>
          <w:rFonts w:ascii="Times New Roman" w:cs="Times New Roman" w:eastAsia="Times New Roman" w:hAnsi="Times New Roman"/>
          <w:sz w:val="20"/>
          <w:szCs w:val="20"/>
          <w:color w:val="FF0000"/>
          <w:strike w:val="1"/>
        </w:rPr>
        <w:t>, minus (b) Capital</w:t>
      </w:r>
    </w:p>
    <w:p>
      <w:pPr>
        <w:spacing w:after="0"/>
        <w:rPr>
          <w:sz w:val="20"/>
          <w:szCs w:val="20"/>
          <w:color w:val="auto"/>
        </w:rPr>
      </w:pPr>
      <w:r>
        <w:rPr>
          <w:rFonts w:ascii="Times New Roman" w:cs="Times New Roman" w:eastAsia="Times New Roman" w:hAnsi="Times New Roman"/>
          <w:sz w:val="20"/>
          <w:szCs w:val="20"/>
          <w:color w:val="FF0000"/>
          <w:strike w:val="1"/>
        </w:rPr>
        <w:t>Reserves for such period</w:t>
      </w:r>
      <w:r>
        <w:rPr>
          <w:rFonts w:ascii="Times New Roman" w:cs="Times New Roman" w:eastAsia="Times New Roman" w:hAnsi="Times New Roman"/>
          <w:sz w:val="20"/>
          <w:szCs w:val="20"/>
          <w:color w:val="000000"/>
        </w:rPr>
        <w: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Unencumbered Asset Value</w:t>
      </w:r>
      <w:r>
        <w:rPr>
          <w:rFonts w:ascii="Times New Roman" w:cs="Times New Roman" w:eastAsia="Times New Roman" w:hAnsi="Times New Roman"/>
          <w:sz w:val="20"/>
          <w:szCs w:val="20"/>
          <w:color w:val="auto"/>
        </w:rPr>
        <w:t>” means, without duplication (a) the Unencumbered Adjusted NOI (excluding Net Operating Income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attributable to (i) Development Properties, (ii) Transition Assets, (iii) Newly-Acquired Properties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(iv) SUMMIT One Vanderbilt </w:t>
      </w:r>
      <w:r>
        <w:rPr>
          <w:rFonts w:ascii="Times New Roman" w:cs="Times New Roman" w:eastAsia="Times New Roman" w:hAnsi="Times New Roman"/>
          <w:sz w:val="20"/>
          <w:szCs w:val="20"/>
          <w:color w:val="0101FF"/>
        </w:rPr>
        <w:t>and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any Investment owned by the SEV Operator</w:t>
      </w:r>
      <w:r>
        <w:rPr>
          <w:rFonts w:ascii="Times New Roman" w:cs="Times New Roman" w:eastAsia="Times New Roman" w:hAnsi="Times New Roman"/>
          <w:sz w:val="20"/>
          <w:szCs w:val="20"/>
          <w:color w:val="000000"/>
        </w:rPr>
        <w:t>) for the immediately preceding period of four consecutive fiscal quarters divided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-178435</wp:posOffset>
            </wp:positionV>
            <wp:extent cx="212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6730365</wp:posOffset>
            </wp:positionH>
            <wp:positionV relativeFrom="paragraph">
              <wp:posOffset>-127000</wp:posOffset>
            </wp:positionV>
            <wp:extent cx="3994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99415" cy="889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Capitalization Rate; provided that, for the Annualization Period for a Newly-Acquired Property or Transition Asset, the Unencumbered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Adjusted NOI for such Newly-Acquired Property or Transition Asset, as applicable, shall be determined on an Annualized basis, plus (b) the GAAP book value of all Eligible Properties acquired during the six fiscal quarters most recently ended, plus (c) the </w:t>
      </w:r>
      <w:r>
        <w:rPr>
          <w:rFonts w:ascii="Times New Roman" w:cs="Times New Roman" w:eastAsia="Times New Roman" w:hAnsi="Times New Roman"/>
          <w:sz w:val="19"/>
          <w:szCs w:val="19"/>
          <w:u w:val="single" w:color="auto"/>
          <w:color w:val="0101FF"/>
        </w:rPr>
        <w:t>sum of the</w:t>
      </w:r>
      <w:r>
        <w:rPr>
          <w:rFonts w:ascii="Times New Roman" w:cs="Times New Roman" w:eastAsia="Times New Roman" w:hAnsi="Times New Roman"/>
          <w:sz w:val="19"/>
          <w:szCs w:val="19"/>
          <w:color w:val="auto"/>
        </w:rPr>
        <w:t xml:space="preserve"> Structured</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Finance </w:t>
      </w:r>
      <w:r>
        <w:rPr>
          <w:rFonts w:ascii="Times New Roman" w:cs="Times New Roman" w:eastAsia="Times New Roman" w:hAnsi="Times New Roman"/>
          <w:sz w:val="19"/>
          <w:szCs w:val="19"/>
          <w:u w:val="single" w:color="auto"/>
          <w:color w:val="0101FF"/>
        </w:rPr>
        <w:t>Value and the Fund Investment</w:t>
      </w:r>
      <w:r>
        <w:rPr>
          <w:rFonts w:ascii="Times New Roman" w:cs="Times New Roman" w:eastAsia="Times New Roman" w:hAnsi="Times New Roman"/>
          <w:sz w:val="19"/>
          <w:szCs w:val="19"/>
          <w:color w:val="auto"/>
        </w:rPr>
        <w:t xml:space="preserve"> Value, plus (d) the GAAP book value of Development Properties or Transition Assets that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-6985</wp:posOffset>
            </wp:positionV>
            <wp:extent cx="311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0"/>
          <w:szCs w:val="20"/>
          <w:color w:val="auto"/>
        </w:rPr>
        <w:t>“Eligible Properties” if fully developed; plus (e) the GAAP book value of Mortgage Receivables held by a Borrower, a Subsidiary or an Unconsolidated Affiliate (i) that are not, and if held by a Subsidiary or Unconsolidated Affiliate, no Borrower’s direct or indirect ownership</w:t>
      </w:r>
    </w:p>
    <w:p>
      <w:pPr>
        <w:spacing w:after="0" w:line="211" w:lineRule="auto"/>
        <w:rPr>
          <w:sz w:val="20"/>
          <w:szCs w:val="20"/>
          <w:color w:val="auto"/>
        </w:rPr>
      </w:pPr>
      <w:r>
        <w:rPr>
          <w:rFonts w:ascii="Times New Roman" w:cs="Times New Roman" w:eastAsia="Times New Roman" w:hAnsi="Times New Roman"/>
          <w:sz w:val="20"/>
          <w:szCs w:val="20"/>
          <w:color w:val="auto"/>
        </w:rPr>
        <w:t>interest in such Subsidiary or Unconsolidated Affiliate is, subject to any Lien (other than Permitted Liens) or any Negative Pledge, and (ii)</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with respect to which a Borrower has a right, directly or indirectly through a Subsidiary or Unconsolidated Affiliate, to create Liens on such Mortgage Receivables as security for Indebtedness of such Borrower and to sell, transfer or otherwise dispose of such Mortgage Receivable,</w:t>
      </w:r>
    </w:p>
    <w:p>
      <w:pPr>
        <w:spacing w:after="0" w:line="211" w:lineRule="auto"/>
        <w:rPr>
          <w:sz w:val="20"/>
          <w:szCs w:val="20"/>
          <w:color w:val="auto"/>
        </w:rPr>
      </w:pPr>
      <w:r>
        <w:rPr>
          <w:rFonts w:ascii="Times New Roman" w:cs="Times New Roman" w:eastAsia="Times New Roman" w:hAnsi="Times New Roman"/>
          <w:sz w:val="20"/>
          <w:szCs w:val="20"/>
          <w:color w:val="auto"/>
        </w:rPr>
        <w:t>in each case, without the need to obtain the consent of any Person; plus (f) cash and Cash Equivalents (other than tenant deposits and other</w:t>
      </w:r>
    </w:p>
    <w:p>
      <w:pPr>
        <w:spacing w:after="0" w:line="204" w:lineRule="auto"/>
        <w:rPr>
          <w:sz w:val="20"/>
          <w:szCs w:val="20"/>
          <w:color w:val="auto"/>
        </w:rPr>
      </w:pPr>
      <w:r>
        <w:rPr>
          <w:rFonts w:ascii="Times New Roman" w:cs="Times New Roman" w:eastAsia="Times New Roman" w:hAnsi="Times New Roman"/>
          <w:sz w:val="20"/>
          <w:szCs w:val="20"/>
          <w:color w:val="auto"/>
        </w:rPr>
        <w:t>cash and Cash Equivalents that are subject to a Lien or a Negative Pledge or the disposition of which is restricted in any way) of the Borrower, any Subsidiary or any Unconsolidated Affiliate, excluding any Subsidiary or Unconsolidated Affiliate whose Equity Interests are</w:t>
      </w:r>
    </w:p>
    <w:p>
      <w:pPr>
        <w:spacing w:after="0" w:line="211" w:lineRule="auto"/>
        <w:rPr>
          <w:sz w:val="20"/>
          <w:szCs w:val="20"/>
          <w:color w:val="auto"/>
        </w:rPr>
      </w:pPr>
      <w:r>
        <w:rPr>
          <w:rFonts w:ascii="Times New Roman" w:cs="Times New Roman" w:eastAsia="Times New Roman" w:hAnsi="Times New Roman"/>
          <w:sz w:val="20"/>
          <w:szCs w:val="20"/>
          <w:color w:val="auto"/>
        </w:rPr>
        <w:t>subject to a Lien or a Negative Pledge</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plus (g) the SUMMIT One Vanderbilt Value to the extent that SUMMIT One Vanderbilt qualifies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 “Eligible Property”</w:t>
      </w:r>
      <w:r>
        <w:rPr>
          <w:rFonts w:ascii="Times New Roman" w:cs="Times New Roman" w:eastAsia="Times New Roman" w:hAnsi="Times New Roman"/>
          <w:sz w:val="20"/>
          <w:szCs w:val="20"/>
          <w:u w:val="single" w:color="auto"/>
          <w:color w:val="0101FF"/>
        </w:rPr>
        <w:t>; plus (h) the SEV Value; plus (i) marked-to-market value of Marketable Securities (provided that such Marketable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Securities (i) must not be subject to any lock-up or other transfer restrictions, (ii) are not, and if held by a Subsidiary or Unconsolidated</w:t>
      </w:r>
    </w:p>
    <w:p>
      <w:pPr>
        <w:spacing w:after="0" w:line="223" w:lineRule="auto"/>
        <w:rPr>
          <w:sz w:val="20"/>
          <w:szCs w:val="20"/>
          <w:color w:val="auto"/>
        </w:rPr>
      </w:pPr>
      <w:r>
        <w:rPr>
          <w:rFonts w:ascii="Times New Roman" w:cs="Times New Roman" w:eastAsia="Times New Roman" w:hAnsi="Times New Roman"/>
          <w:sz w:val="19"/>
          <w:szCs w:val="19"/>
          <w:u w:val="single" w:color="auto"/>
          <w:color w:val="0101FF"/>
        </w:rPr>
        <w:t>Affiliate, no Borrower’s direct or indirect ownership interest in such Subsidiary or Unconsolidated Affiliate is, subject to any Lien (other than</w:t>
      </w:r>
    </w:p>
    <w:p>
      <w:pPr>
        <w:spacing w:after="0" w:line="215" w:lineRule="auto"/>
        <w:rPr>
          <w:sz w:val="20"/>
          <w:szCs w:val="20"/>
          <w:color w:val="auto"/>
        </w:rPr>
      </w:pPr>
      <w:r>
        <w:rPr>
          <w:rFonts w:ascii="Times New Roman" w:cs="Times New Roman" w:eastAsia="Times New Roman" w:hAnsi="Times New Roman"/>
          <w:sz w:val="19"/>
          <w:szCs w:val="19"/>
          <w:u w:val="single" w:color="auto"/>
          <w:color w:val="0101FF"/>
        </w:rPr>
        <w:t>Permitted Liens) or any Negative Pledge, and (iii) with respect to which a Borrower has a right, directly or indirectly through a Subsidiary or Unconsolidated Affiliate, to create Liens on such Marketable Security as security for Indebtedness of such Borrower and to sell, transfer or</w:t>
      </w:r>
    </w:p>
    <w:p>
      <w:pPr>
        <w:spacing w:after="0" w:line="211" w:lineRule="auto"/>
        <w:rPr>
          <w:sz w:val="20"/>
          <w:szCs w:val="20"/>
          <w:color w:val="auto"/>
        </w:rPr>
      </w:pPr>
      <w:r>
        <w:rPr>
          <w:rFonts w:ascii="Times New Roman" w:cs="Times New Roman" w:eastAsia="Times New Roman" w:hAnsi="Times New Roman"/>
          <w:sz w:val="20"/>
          <w:szCs w:val="20"/>
          <w:u w:val="single" w:color="auto"/>
          <w:color w:val="0101FF"/>
        </w:rPr>
        <w:t>otherwise dispose of such Marketable Security, in each case, without the need to obtain the consent of any Person)</w:t>
      </w:r>
      <w:r>
        <w:rPr>
          <w:rFonts w:ascii="Times New Roman" w:cs="Times New Roman" w:eastAsia="Times New Roman" w:hAnsi="Times New Roman"/>
          <w:sz w:val="20"/>
          <w:szCs w:val="20"/>
          <w:color w:val="000000"/>
        </w:rPr>
        <w:t>. For purposes of this</w:t>
      </w:r>
    </w:p>
    <w:p>
      <w:pPr>
        <w:jc w:val="both"/>
        <w:spacing w:after="0" w:line="215" w:lineRule="auto"/>
        <w:rPr>
          <w:sz w:val="20"/>
          <w:szCs w:val="20"/>
          <w:color w:val="auto"/>
        </w:rPr>
      </w:pPr>
      <w:r>
        <w:rPr>
          <w:rFonts w:ascii="Times New Roman" w:cs="Times New Roman" w:eastAsia="Times New Roman" w:hAnsi="Times New Roman"/>
          <w:sz w:val="19"/>
          <w:szCs w:val="19"/>
          <w:color w:val="auto"/>
        </w:rPr>
        <w:t>definition, to the extent that the percentage of Unencumbered Asset Value attributable to (x</w:t>
      </w:r>
      <w:r>
        <w:rPr>
          <w:rFonts w:ascii="Times New Roman" w:cs="Times New Roman" w:eastAsia="Times New Roman" w:hAnsi="Times New Roman"/>
          <w:sz w:val="19"/>
          <w:szCs w:val="19"/>
          <w:u w:val="single" w:color="auto"/>
          <w:color w:val="0101FF"/>
        </w:rPr>
        <w:t>) SEV Value would exceed 5%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101FF"/>
        </w:rPr>
        <w:t>Unencumbered Asset Value, (y</w:t>
      </w:r>
      <w:r>
        <w:rPr>
          <w:rFonts w:ascii="Times New Roman" w:cs="Times New Roman" w:eastAsia="Times New Roman" w:hAnsi="Times New Roman"/>
          <w:sz w:val="19"/>
          <w:szCs w:val="19"/>
          <w:color w:val="000000"/>
        </w:rPr>
        <w:t>) (A) assets identified in clauses (c), (d) (not including 760 Madison Avenue, New York, New York), (e)</w:t>
      </w:r>
      <w:r>
        <w:rPr>
          <w:rFonts w:ascii="Times New Roman" w:cs="Times New Roman" w:eastAsia="Times New Roman" w:hAnsi="Times New Roman"/>
          <w:sz w:val="19"/>
          <w:szCs w:val="19"/>
          <w:color w:val="0101FF"/>
        </w:rPr>
        <w:t xml:space="preserve">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u w:val="single" w:color="auto"/>
          <w:color w:val="0101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6884035</wp:posOffset>
            </wp:positionH>
            <wp:positionV relativeFrom="paragraph">
              <wp:posOffset>-59055</wp:posOffset>
            </wp:positionV>
            <wp:extent cx="220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209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0101FF"/>
        </w:rPr>
        <w:t>) and (h</w:t>
      </w:r>
      <w:r>
        <w:rPr>
          <w:rFonts w:ascii="Times New Roman" w:cs="Times New Roman" w:eastAsia="Times New Roman" w:hAnsi="Times New Roman"/>
          <w:sz w:val="20"/>
          <w:szCs w:val="20"/>
          <w:color w:val="auto"/>
        </w:rPr>
        <w:t>) above, (B) Unencumbered Adjusted NOI attributable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- 29 -</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to Unconsolidated Affiliates and (C) the GAAP book value of Eligible Properties acquired during the six fiscal quarters most recently ended and cash and Cash Equivalents which, with respect to this clause (C), are owned by, Unconsolidated Affiliates, would, for clauses (A) – (C)</w:t>
      </w:r>
    </w:p>
    <w:p>
      <w:pPr>
        <w:spacing w:after="0" w:line="212" w:lineRule="auto"/>
        <w:rPr>
          <w:sz w:val="20"/>
          <w:szCs w:val="20"/>
          <w:color w:val="auto"/>
        </w:rPr>
      </w:pPr>
      <w:r>
        <w:rPr>
          <w:rFonts w:ascii="Times New Roman" w:cs="Times New Roman" w:eastAsia="Times New Roman" w:hAnsi="Times New Roman"/>
          <w:sz w:val="20"/>
          <w:szCs w:val="20"/>
          <w:color w:val="auto"/>
        </w:rPr>
        <w:t>in the aggregate exceed 35.0% of Unencumbered Asset Value and/or (</w:t>
      </w:r>
      <w:r>
        <w:rPr>
          <w:rFonts w:ascii="Times New Roman" w:cs="Times New Roman" w:eastAsia="Times New Roman" w:hAnsi="Times New Roman"/>
          <w:sz w:val="20"/>
          <w:szCs w:val="20"/>
          <w:color w:val="FF0000"/>
          <w:strike w:val="1"/>
        </w:rPr>
        <w:t>y</w:t>
      </w:r>
      <w:r>
        <w:rPr>
          <w:rFonts w:ascii="Times New Roman" w:cs="Times New Roman" w:eastAsia="Times New Roman" w:hAnsi="Times New Roman"/>
          <w:sz w:val="20"/>
          <w:szCs w:val="20"/>
          <w:u w:val="single" w:color="auto"/>
          <w:color w:val="0101FF"/>
        </w:rPr>
        <w:t>z</w:t>
      </w:r>
      <w:r>
        <w:rPr>
          <w:rFonts w:ascii="Times New Roman" w:cs="Times New Roman" w:eastAsia="Times New Roman" w:hAnsi="Times New Roman"/>
          <w:sz w:val="20"/>
          <w:szCs w:val="20"/>
          <w:color w:val="auto"/>
        </w:rPr>
        <w:t>) Properties subject to a Ground Lease (not including each of 1185</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Avenue of the Americas, New York, New York, </w:t>
      </w:r>
      <w:r>
        <w:rPr>
          <w:rFonts w:ascii="Times New Roman" w:cs="Times New Roman" w:eastAsia="Times New Roman" w:hAnsi="Times New Roman"/>
          <w:sz w:val="19"/>
          <w:szCs w:val="19"/>
          <w:color w:val="FF0000"/>
          <w:strike w:val="1"/>
        </w:rPr>
        <w:t>625 Madison Avenue, New York, New York</w:t>
      </w:r>
      <w:r>
        <w:rPr>
          <w:rFonts w:ascii="Times New Roman" w:cs="Times New Roman" w:eastAsia="Times New Roman" w:hAnsi="Times New Roman"/>
          <w:sz w:val="19"/>
          <w:szCs w:val="19"/>
          <w:color w:val="auto"/>
        </w:rPr>
        <w:t xml:space="preserve"> and 711 Third Avenue, New York, New York) would exceed 10% of the Unencumbered Asset Value, then, in the case of each of clauses (x)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u w:val="single" w:color="auto"/>
          <w:color w:val="0101FF"/>
        </w:rPr>
        <w:t>,</w:t>
      </w:r>
      <w:r>
        <w:rPr>
          <w:rFonts w:ascii="Times New Roman" w:cs="Times New Roman" w:eastAsia="Times New Roman" w:hAnsi="Times New Roman"/>
          <w:sz w:val="19"/>
          <w:szCs w:val="19"/>
          <w:color w:val="auto"/>
        </w:rPr>
        <w:t xml:space="preserve"> (y</w:t>
      </w:r>
      <w:r>
        <w:rPr>
          <w:rFonts w:ascii="Times New Roman" w:cs="Times New Roman" w:eastAsia="Times New Roman" w:hAnsi="Times New Roman"/>
          <w:sz w:val="19"/>
          <w:szCs w:val="19"/>
          <w:u w:val="single" w:color="auto"/>
          <w:color w:val="0101FF"/>
        </w:rPr>
        <w:t>) and (z</w:t>
      </w:r>
      <w:r>
        <w:rPr>
          <w:rFonts w:ascii="Times New Roman" w:cs="Times New Roman" w:eastAsia="Times New Roman" w:hAnsi="Times New Roman"/>
          <w:sz w:val="19"/>
          <w:szCs w:val="19"/>
          <w:color w:val="auto"/>
        </w:rPr>
        <w:t>), such excess shall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4738370</wp:posOffset>
            </wp:positionH>
            <wp:positionV relativeFrom="paragraph">
              <wp:posOffset>-59055</wp:posOffset>
            </wp:positionV>
            <wp:extent cx="212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9"/>
          <w:szCs w:val="19"/>
          <w:color w:val="auto"/>
        </w:rPr>
        <w:t>from the calculation of Unencumbered Asset Value. Further, no Property (or Net Operating Income attributable to such Property), Structured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Finance Investment, </w:t>
      </w:r>
      <w:r>
        <w:rPr>
          <w:rFonts w:ascii="Times New Roman" w:cs="Times New Roman" w:eastAsia="Times New Roman" w:hAnsi="Times New Roman"/>
          <w:sz w:val="20"/>
          <w:szCs w:val="20"/>
          <w:u w:val="single" w:color="auto"/>
          <w:color w:val="0101FF"/>
        </w:rPr>
        <w:t>Fund Investment,</w:t>
      </w:r>
      <w:r>
        <w:rPr>
          <w:rFonts w:ascii="Times New Roman" w:cs="Times New Roman" w:eastAsia="Times New Roman" w:hAnsi="Times New Roman"/>
          <w:sz w:val="20"/>
          <w:szCs w:val="20"/>
          <w:color w:val="auto"/>
        </w:rPr>
        <w:t xml:space="preserve"> Mortgage Receivable, cash or Cash Equivalent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SUMMIT One Vanderbilt Value</w:t>
      </w:r>
      <w:r>
        <w:rPr>
          <w:rFonts w:ascii="Times New Roman" w:cs="Times New Roman" w:eastAsia="Times New Roman" w:hAnsi="Times New Roman"/>
          <w:sz w:val="20"/>
          <w:szCs w:val="20"/>
          <w:u w:val="single" w:color="auto"/>
          <w:color w:val="0101FF"/>
        </w:rPr>
        <w:t>, SEV Value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Marketable Security</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owned or held by</w:t>
      </w:r>
      <w:r>
        <w:rPr>
          <w:rFonts w:ascii="Times New Roman" w:cs="Times New Roman" w:eastAsia="Times New Roman" w:hAnsi="Times New Roman"/>
          <w:sz w:val="20"/>
          <w:szCs w:val="20"/>
          <w:u w:val="single" w:color="auto"/>
          <w:color w:val="0101FF"/>
        </w:rPr>
        <w:t>, or allocated to the ownership share of,</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an entity other than a Borrower shall be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-178435</wp:posOffset>
            </wp:positionV>
            <wp:extent cx="1447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223" w:lineRule="auto"/>
        <w:rPr>
          <w:sz w:val="20"/>
          <w:szCs w:val="20"/>
          <w:color w:val="auto"/>
        </w:rPr>
      </w:pPr>
      <w:r>
        <w:rPr>
          <w:rFonts w:ascii="Times New Roman" w:cs="Times New Roman" w:eastAsia="Times New Roman" w:hAnsi="Times New Roman"/>
          <w:sz w:val="19"/>
          <w:szCs w:val="19"/>
          <w:color w:val="auto"/>
        </w:rPr>
        <w:t>calculation of Unencumbered Asset Value if such entity, or an entity (other than a Borrower) that has a direct or indirect ownership interest in</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such entity, is an obligor in respect of any Indebtedness (other than Nonrecourse Indebtedness of the type described in clause (a) of the definition thereof). For the avoidance of doubt, in no event shall </w:t>
      </w:r>
      <w:r>
        <w:rPr>
          <w:rFonts w:ascii="Times New Roman" w:cs="Times New Roman" w:eastAsia="Times New Roman" w:hAnsi="Times New Roman"/>
          <w:sz w:val="20"/>
          <w:szCs w:val="20"/>
          <w:u w:val="single" w:color="auto"/>
          <w:color w:val="0101FF"/>
        </w:rPr>
        <w:t>(I)</w:t>
      </w:r>
      <w:r>
        <w:rPr>
          <w:rFonts w:ascii="Times New Roman" w:cs="Times New Roman" w:eastAsia="Times New Roman" w:hAnsi="Times New Roman"/>
          <w:sz w:val="20"/>
          <w:szCs w:val="20"/>
          <w:color w:val="auto"/>
        </w:rPr>
        <w:t xml:space="preserve"> any Property (or Net Operating Income attributable to such Property),</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Structured Finance Investment, </w:t>
      </w:r>
      <w:r>
        <w:rPr>
          <w:rFonts w:ascii="Times New Roman" w:cs="Times New Roman" w:eastAsia="Times New Roman" w:hAnsi="Times New Roman"/>
          <w:sz w:val="19"/>
          <w:szCs w:val="19"/>
          <w:u w:val="single" w:color="auto"/>
          <w:color w:val="0101FF"/>
        </w:rPr>
        <w:t>Fund Investment,</w:t>
      </w:r>
      <w:r>
        <w:rPr>
          <w:rFonts w:ascii="Times New Roman" w:cs="Times New Roman" w:eastAsia="Times New Roman" w:hAnsi="Times New Roman"/>
          <w:sz w:val="19"/>
          <w:szCs w:val="19"/>
          <w:color w:val="auto"/>
        </w:rPr>
        <w:t xml:space="preserve"> Mortgage Receivable, cash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u w:val="single" w:color="auto"/>
          <w:color w:val="0101FF"/>
        </w:rPr>
        <w:t>,</w:t>
      </w:r>
      <w:r>
        <w:rPr>
          <w:rFonts w:ascii="Times New Roman" w:cs="Times New Roman" w:eastAsia="Times New Roman" w:hAnsi="Times New Roman"/>
          <w:sz w:val="19"/>
          <w:szCs w:val="19"/>
          <w:color w:val="auto"/>
        </w:rPr>
        <w:t xml:space="preserve"> Cash Equivalent </w:t>
      </w:r>
      <w:r>
        <w:rPr>
          <w:rFonts w:ascii="Times New Roman" w:cs="Times New Roman" w:eastAsia="Times New Roman" w:hAnsi="Times New Roman"/>
          <w:sz w:val="19"/>
          <w:szCs w:val="19"/>
          <w:u w:val="single" w:color="auto"/>
          <w:color w:val="0101FF"/>
        </w:rPr>
        <w:t>or Marketable Security</w:t>
      </w:r>
      <w:r>
        <w:rPr>
          <w:rFonts w:ascii="Times New Roman" w:cs="Times New Roman" w:eastAsia="Times New Roman" w:hAnsi="Times New Roman"/>
          <w:sz w:val="19"/>
          <w:szCs w:val="19"/>
          <w:color w:val="auto"/>
        </w:rPr>
        <w:t xml:space="preserve"> owned or held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-59055</wp:posOffset>
            </wp:positionV>
            <wp:extent cx="135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311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0"/>
          <w:szCs w:val="20"/>
          <w:color w:val="auto"/>
        </w:rPr>
        <w:t xml:space="preserve">Single Asset Entity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u w:val="single" w:color="auto"/>
          <w:color w:val="0101FF"/>
        </w:rPr>
        <w:t>, (II)</w:t>
      </w:r>
      <w:r>
        <w:rPr>
          <w:rFonts w:ascii="Times New Roman" w:cs="Times New Roman" w:eastAsia="Times New Roman" w:hAnsi="Times New Roman"/>
          <w:sz w:val="20"/>
          <w:szCs w:val="20"/>
          <w:color w:val="auto"/>
        </w:rPr>
        <w:t xml:space="preserve"> SUMMIT One Vanderbilt Value held by the SUMMIT One Vanderbilt Operator, </w:t>
      </w:r>
      <w:r>
        <w:rPr>
          <w:rFonts w:ascii="Times New Roman" w:cs="Times New Roman" w:eastAsia="Times New Roman" w:hAnsi="Times New Roman"/>
          <w:sz w:val="20"/>
          <w:szCs w:val="20"/>
          <w:u w:val="single" w:color="auto"/>
          <w:color w:val="0101FF"/>
        </w:rPr>
        <w:t>or (III) SEV Value held by a SEV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Operator,</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if, in any such case, such</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u w:val="single" w:color="auto"/>
          <w:color w:val="0101FF"/>
        </w:rPr>
        <w:t>applicable</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Person is an obligor in respect of any Indebtedness, be included in the calculation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-178435</wp:posOffset>
            </wp:positionV>
            <wp:extent cx="135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Unencumbered Asset Value.</w:t>
      </w:r>
    </w:p>
    <w:p>
      <w:pPr>
        <w:spacing w:after="0" w:line="13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Unimproved Land</w:t>
      </w:r>
      <w:r>
        <w:rPr>
          <w:rFonts w:ascii="Times New Roman" w:cs="Times New Roman" w:eastAsia="Times New Roman" w:hAnsi="Times New Roman"/>
          <w:sz w:val="20"/>
          <w:szCs w:val="20"/>
          <w:color w:val="auto"/>
        </w:rPr>
        <w:t>” means land on which no development (other than improvements that are not material and are temporary in nature) has occurred and for which no development is scheduled in the following 12 months.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Unsecured Indebtedness</w:t>
      </w:r>
      <w:r>
        <w:rPr>
          <w:rFonts w:ascii="Times New Roman" w:cs="Times New Roman" w:eastAsia="Times New Roman" w:hAnsi="Times New Roman"/>
          <w:sz w:val="19"/>
          <w:szCs w:val="19"/>
          <w:color w:val="auto"/>
        </w:rPr>
        <w:t>” means, with respect to a Person, Indebtedness of such Person that is not Secured Indebtedness; provided,</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however, that any Indebtedness that is not Nonrecourse Indebtedness and that is secured only by a pledge of Equity Interests shall be deemed to be Unsecured Indebtedness.</w:t>
      </w:r>
    </w:p>
    <w:p>
      <w:pPr>
        <w:spacing w:after="0" w:line="144"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Government Securities Business Day</w:t>
      </w:r>
      <w:r>
        <w:rPr>
          <w:rFonts w:ascii="Times New Roman" w:cs="Times New Roman" w:eastAsia="Times New Roman" w:hAnsi="Times New Roman"/>
          <w:sz w:val="19"/>
          <w:szCs w:val="19"/>
          <w:color w:val="auto"/>
        </w:rPr>
        <w:t>” means any day except for (a) a Saturday, (b) a Sunday or (c) a day on which the Securities Industry and Financial Markets Association recommends that the fixed income departments of its members be closed for the entire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day for purposes of trading in United States government securities; provided, that for purposes of notice requirements in Sections 2.2(b), 2.9, 2.10 and 2.11, in each case, such day is also a Business Day.</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any Person that is a “United States Person” as defined in Section 7701(a)(30) of the Internal Revenue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Tax Compliance Certificate</w:t>
      </w:r>
      <w:r>
        <w:rPr>
          <w:rFonts w:ascii="Times New Roman" w:cs="Times New Roman" w:eastAsia="Times New Roman" w:hAnsi="Times New Roman"/>
          <w:sz w:val="20"/>
          <w:szCs w:val="20"/>
          <w:color w:val="auto"/>
        </w:rPr>
        <w:t>” has the meaning given that term in Section 3.10.(g)(ii)(B)(III).</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Wells Fargo</w:t>
      </w:r>
      <w:r>
        <w:rPr>
          <w:rFonts w:ascii="Times New Roman" w:cs="Times New Roman" w:eastAsia="Times New Roman" w:hAnsi="Times New Roman"/>
          <w:sz w:val="20"/>
          <w:szCs w:val="20"/>
          <w:color w:val="auto"/>
        </w:rPr>
        <w:t>” means Wells Fargo Bank, National Association, and its successors and assigns.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Wholly Owned Subsidiary</w:t>
      </w:r>
      <w:r>
        <w:rPr>
          <w:rFonts w:ascii="Times New Roman" w:cs="Times New Roman" w:eastAsia="Times New Roman" w:hAnsi="Times New Roman"/>
          <w:sz w:val="20"/>
          <w:szCs w:val="20"/>
          <w:color w:val="auto"/>
        </w:rPr>
        <w:t>” means any Subsidiary of a Person in respect of which all of the Equity Interests (other than, in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case of a corporation, directors’ qualifying shares) are at the time directly or indirectly owned or controlled by such Person or one or more other Wholly Owned Subsidiaries of such Person or by such Person and one or more other Wholly Owned Subsidiaries of such Person.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Notwithstanding anything in this definition to the contrary, SLGOP shall be deemed to be a Wholly Owned Subsidiary of the Parent, and SL Green Management Corp. shall be deemed to be a Wholly Owned Subsidiary of SLGOP.</w:t>
      </w:r>
    </w:p>
    <w:p>
      <w:pPr>
        <w:spacing w:after="0" w:line="13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any liability as a result of a complete or partial withdrawal from a Multiemployer Plan as such terms are defined in Part I of Subtitle E of Title IV of ERISA.</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(a) the Borrower, (b) any other Loan Party or (c) the Administrative Agent, as applicable.</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- 30 -</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6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under the Bail-In Legislation for the applicable EEA Member Country, which write-down and conversion powers are described in the EU Bail-In Legislation Schedule, and (b) with respect to the United Kingdom, any powers of the applicable Resolution Authority under the Bail-</w:t>
      </w:r>
    </w:p>
    <w:p>
      <w:pPr>
        <w:spacing w:after="0" w:line="211" w:lineRule="auto"/>
        <w:rPr>
          <w:sz w:val="20"/>
          <w:szCs w:val="20"/>
          <w:color w:val="auto"/>
        </w:rPr>
      </w:pPr>
      <w:r>
        <w:rPr>
          <w:rFonts w:ascii="Times New Roman" w:cs="Times New Roman" w:eastAsia="Times New Roman" w:hAnsi="Times New Roman"/>
          <w:sz w:val="20"/>
          <w:szCs w:val="20"/>
          <w:color w:val="auto"/>
        </w:rPr>
        <w:t>In Legislation to cancel, reduce, modify or change the form of a liability of any UK Financial Institution or any contract or instrument under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that liability or any of the powers under that Bail-In Legislation that are related to or ancillary to any of those powers.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 General; References to Eastern Time.</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Borrowers or the Requisite Lenders shall so request, the Administrative Agent, the Lenders and the Borrowers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Except as expressly provided otherwise in any Loan Document, (i) any reference to any law shall include all statutory and regulatory provisions consolidating, amending, replacing, supplementing or interpreting such law and any reference to any law or regulation shall, unless otherwise specified, refer to such law or regulation as amended, modified, extended, restated, replaced or supplemented from time to time and (ii) any reference to any Person shall be construed to include such Person’s permitted successors and permitted assigns. Unless explicitly set forth to the contrary, a reference to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 Subsidiary of the Parent or a Subsidiary of such Subsidiary, a reference to an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 reference to an Affiliate of the Parent and a reference to an “</w:t>
      </w:r>
      <w:r>
        <w:rPr>
          <w:rFonts w:ascii="Times New Roman" w:cs="Times New Roman" w:eastAsia="Times New Roman" w:hAnsi="Times New Roman"/>
          <w:sz w:val="20"/>
          <w:szCs w:val="20"/>
          <w:b w:val="1"/>
          <w:bCs w:val="1"/>
          <w:color w:val="auto"/>
        </w:rPr>
        <w:t>Unconsolidated Affiliate</w:t>
      </w:r>
      <w:r>
        <w:rPr>
          <w:rFonts w:ascii="Times New Roman" w:cs="Times New Roman" w:eastAsia="Times New Roman" w:hAnsi="Times New Roman"/>
          <w:sz w:val="20"/>
          <w:szCs w:val="20"/>
          <w:color w:val="auto"/>
        </w:rPr>
        <w:t>” means a reference to an Unconsolidated Affiliate of the Parent. Titles and captions of Articles, Sections, subsections and clauses in this Agreement are for convenience only, and neither limit nor amplify the provisions of this Agreement. Unless otherwise indicated, all references to time are references to Eastern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1.3. Divisions.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- 31 -</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1.4. Rates.</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Administrative Agent does not warrant or accept any responsibility for, and shall not have any liability with respect to, (a) the continuation of, administration of, submission of, calculation of or any other matter related to the Term SOFR Reference Rate</w:t>
      </w:r>
      <w:r>
        <w:rPr>
          <w:rFonts w:ascii="Times New Roman" w:cs="Times New Roman" w:eastAsia="Times New Roman" w:hAnsi="Times New Roman"/>
          <w:sz w:val="20"/>
          <w:szCs w:val="20"/>
          <w:color w:val="FF0000"/>
          <w:strike w:val="1"/>
        </w:rPr>
        <w:t>, Adjusted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Term SOFR, or any component definition thereof or rates referred to in the definition thereof, or with respect to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4.2(b), will be similar to, or produce the same value or economic equivalence of, or have the same volume or liquidity as, the Term SOFR Reference Rate, </w:t>
      </w:r>
      <w:r>
        <w:rPr>
          <w:rFonts w:ascii="Times New Roman" w:cs="Times New Roman" w:eastAsia="Times New Roman" w:hAnsi="Times New Roman"/>
          <w:sz w:val="20"/>
          <w:szCs w:val="20"/>
          <w:color w:val="FF0000"/>
          <w:strike w:val="1"/>
        </w:rPr>
        <w:t>Adjusted Term SOFR,</w:t>
      </w:r>
      <w:r>
        <w:rPr>
          <w:rFonts w:ascii="Times New Roman" w:cs="Times New Roman" w:eastAsia="Times New Roman" w:hAnsi="Times New Roman"/>
          <w:sz w:val="20"/>
          <w:szCs w:val="20"/>
          <w:color w:val="000000"/>
        </w:rPr>
        <w:t xml:space="preserv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w:t>
      </w:r>
      <w:r>
        <w:rPr>
          <w:rFonts w:ascii="Times New Roman" w:cs="Times New Roman" w:eastAsia="Times New Roman" w:hAnsi="Times New Roman"/>
          <w:sz w:val="20"/>
          <w:szCs w:val="20"/>
          <w:color w:val="FF0000"/>
          <w:strike w:val="1"/>
        </w:rPr>
        <w:t>Adjusted Term SOFR,</w:t>
      </w:r>
      <w:r>
        <w:rPr>
          <w:rFonts w:ascii="Times New Roman" w:cs="Times New Roman" w:eastAsia="Times New Roman" w:hAnsi="Times New Roman"/>
          <w:sz w:val="20"/>
          <w:szCs w:val="20"/>
          <w:color w:val="000000"/>
        </w:rPr>
        <w:t xml:space="preserve"> Term SOFR, any alternative, successor or replacement rate (including any Benchmark Replacement) or any relevant adjustments thereto and such transactions may be adverse to the Borrower . The Administrative Agent may select information sources or services in its reasonable discretion to ascertain the Term SOFR Reference Rate</w:t>
      </w:r>
      <w:r>
        <w:rPr>
          <w:rFonts w:ascii="Times New Roman" w:cs="Times New Roman" w:eastAsia="Times New Roman" w:hAnsi="Times New Roman"/>
          <w:sz w:val="20"/>
          <w:szCs w:val="20"/>
          <w:color w:val="FF0000"/>
          <w:strike w:val="1"/>
        </w:rPr>
        <w:t>, Adjusted Term SOFR</w:t>
      </w:r>
      <w:r>
        <w:rPr>
          <w:rFonts w:ascii="Times New Roman" w:cs="Times New Roman" w:eastAsia="Times New Roman" w:hAnsi="Times New Roman"/>
          <w:sz w:val="20"/>
          <w:szCs w:val="20"/>
          <w:color w:val="000000"/>
        </w:rPr>
        <w:t xml:space="preserv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1.5. Financial Attributes of Unconsolidated Affiliates.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When determining the compliance by the Parent or the Borrowers with any financial covenant contained in any of the Loan Documents only the Ownership Share of the Parent or the Borrower, as applicable, of the financial attributes (including the value of any Property (or Net Operating Income attributable to such Property), EBITDA, Structured Finance Investment, </w:t>
      </w:r>
      <w:r>
        <w:rPr>
          <w:rFonts w:ascii="Times New Roman" w:cs="Times New Roman" w:eastAsia="Times New Roman" w:hAnsi="Times New Roman"/>
          <w:sz w:val="20"/>
          <w:szCs w:val="20"/>
          <w:u w:val="single" w:color="auto"/>
          <w:color w:val="0101FF"/>
        </w:rPr>
        <w:t>Fund Investment,</w:t>
      </w:r>
      <w:r>
        <w:rPr>
          <w:rFonts w:ascii="Times New Roman" w:cs="Times New Roman" w:eastAsia="Times New Roman" w:hAnsi="Times New Roman"/>
          <w:sz w:val="20"/>
          <w:szCs w:val="20"/>
          <w:color w:val="auto"/>
        </w:rPr>
        <w:t xml:space="preserve"> Mortgage Receivable, cash or Cash Equivalent</w:t>
      </w:r>
      <w:r>
        <w:rPr>
          <w:rFonts w:ascii="Times New Roman" w:cs="Times New Roman" w:eastAsia="Times New Roman" w:hAnsi="Times New Roman"/>
          <w:sz w:val="20"/>
          <w:szCs w:val="20"/>
          <w:u w:val="single" w:color="auto"/>
          <w:color w:val="0101FF"/>
        </w:rPr>
        <w:t>, SEV Value</w:t>
      </w:r>
      <w:r>
        <w:rPr>
          <w:rFonts w:ascii="Times New Roman" w:cs="Times New Roman" w:eastAsia="Times New Roman" w:hAnsi="Times New Roman"/>
          <w:sz w:val="20"/>
          <w:szCs w:val="20"/>
          <w:color w:val="auto"/>
        </w:rPr>
        <w:t xml:space="preserve"> or SUMMIT One Vanderbilt Value) of an Unconsolidated Affiliate shall be included. For the avoidance of doubt, no Indebtedness of an Unconsolidated Affiliate shall be included in determining the compliance by the Parent or the Borrowers with any financial covenant contained in any of the Loan Documents.</w:t>
      </w:r>
    </w:p>
    <w:p>
      <w:pPr>
        <w:spacing w:after="0" w:line="161" w:lineRule="exact"/>
        <w:rPr>
          <w:sz w:val="20"/>
          <w:szCs w:val="20"/>
          <w:color w:val="auto"/>
        </w:rPr>
      </w:pPr>
    </w:p>
    <w:p>
      <w:pPr>
        <w:jc w:val="center"/>
        <w:spacing w:after="0"/>
        <w:tabs>
          <w:tab w:leader="none" w:pos="300" w:val="left"/>
        </w:tabs>
        <w:rPr>
          <w:sz w:val="20"/>
          <w:szCs w:val="20"/>
          <w:color w:val="auto"/>
        </w:rPr>
      </w:pPr>
      <w:r>
        <w:rPr>
          <w:rFonts w:ascii="Times New Roman" w:cs="Times New Roman" w:eastAsia="Times New Roman" w:hAnsi="Times New Roman"/>
          <w:sz w:val="20"/>
          <w:szCs w:val="20"/>
          <w:b w:val="1"/>
          <w:bCs w:val="1"/>
          <w:color w:val="auto"/>
        </w:rPr>
        <w:t>ARTICLE II.</w:t>
      </w:r>
      <w:r>
        <w:rPr>
          <w:sz w:val="20"/>
          <w:szCs w:val="20"/>
          <w:color w:val="auto"/>
        </w:rPr>
        <w:tab/>
      </w:r>
      <w:r>
        <w:rPr>
          <w:rFonts w:ascii="Times New Roman" w:cs="Times New Roman" w:eastAsia="Times New Roman" w:hAnsi="Times New Roman"/>
          <w:sz w:val="19"/>
          <w:szCs w:val="19"/>
          <w:b w:val="1"/>
          <w:bCs w:val="1"/>
          <w:color w:val="auto"/>
        </w:rPr>
        <w:t>Credit Facility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 [Reserved]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w:t>
      </w:r>
      <w:r>
        <w:rPr>
          <w:rFonts w:ascii="Times New Roman" w:cs="Times New Roman" w:eastAsia="Times New Roman" w:hAnsi="Times New Roman"/>
          <w:sz w:val="20"/>
          <w:szCs w:val="20"/>
          <w:b w:val="1"/>
          <w:bCs w:val="1"/>
          <w:color w:val="auto"/>
        </w:rPr>
        <w:t>ction 2.2. Term Loans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30" w:lineRule="auto"/>
        <w:tabs>
          <w:tab w:leader="none" w:pos="128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Subject to the terms and conditions set forth in this Agreement, on the Effective Date, each Lender severally and not jointly agrees to make a Loan to the Borrowers in the principal amount set forth for such Lender on Schedule I as such Lender’s “Commitment Amount”. Upon the funding by each Lender of its Loan on the Effective Date, the Commitment of such Lender shall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1"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6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terminate whether or not the full amount of the Commitments are funded on such date. Any portion of a Loan that is repaid or prepaid may not be reborrowed.</w:t>
      </w:r>
    </w:p>
    <w:p>
      <w:pPr>
        <w:spacing w:after="0" w:line="147" w:lineRule="exact"/>
        <w:rPr>
          <w:sz w:val="20"/>
          <w:szCs w:val="20"/>
          <w:color w:val="auto"/>
        </w:rPr>
      </w:pPr>
    </w:p>
    <w:p>
      <w:pPr>
        <w:jc w:val="both"/>
        <w:ind w:firstLine="656"/>
        <w:spacing w:after="0" w:line="216"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Term Loans</w:t>
      </w:r>
      <w:r>
        <w:rPr>
          <w:rFonts w:ascii="Times New Roman" w:cs="Times New Roman" w:eastAsia="Times New Roman" w:hAnsi="Times New Roman"/>
          <w:sz w:val="20"/>
          <w:szCs w:val="20"/>
          <w:color w:val="auto"/>
        </w:rPr>
        <w:t>. The Borrowers shall deliver to the Administrative Agent a Notice of Borrowing requesting that the Lenders make their respective Loans on the Effective Date. Such Notice of Borrowing shall be delivered to the Administrative Agent not later than 12:00 noon Eastern time at least one (1) Business Day prior to a borrowing of Loans that are to be Base Rate Loans and not later than 12:00 noon Eastern time at least three (3) Business Days prior to a borrowing of Loans that are to be SOFR Loans. Such Notice of Borrowing shall specify the aggregate principal amount of the Loans to be borrowed, the Type of the requested Loans and if such Loans are to be SOFR Loans, the initial Interest Period for such Loans.</w:t>
      </w:r>
    </w:p>
    <w:p>
      <w:pPr>
        <w:spacing w:after="0" w:line="135"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of Term Loans</w:t>
      </w:r>
      <w:r>
        <w:rPr>
          <w:rFonts w:ascii="Times New Roman" w:cs="Times New Roman" w:eastAsia="Times New Roman" w:hAnsi="Times New Roman"/>
          <w:sz w:val="20"/>
          <w:szCs w:val="20"/>
          <w:color w:val="auto"/>
        </w:rPr>
        <w:t>. Promptly after receipt of the Notice of Borrowing under the immediately preceding subsection (b), the Administrative Agent shall notify each Lender of the proposed borrowing. Each Lender shall deposit an amount equal to the Loan to be made by such Lender to the applicable Borrower with the Administrative Agent at the Principal Office, in immediately available funds not later than 12:00 noon Eastern time on the Effective Date. Subject to fulfillment of all applicable conditions set forth herein, the Administrative Agent shall make available to the applicable Borrower in the account specified in the Disbursement Instruction Agreement, not later than 3:00 p.m. Eastern time on the date of the requested borrowing of Loans, the proceeds of such amounts received by the Administrative Agent.</w:t>
      </w:r>
    </w:p>
    <w:p>
      <w:pPr>
        <w:spacing w:after="0" w:line="13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Assumptions Regarding Funding by Lenders</w:t>
      </w:r>
      <w:r>
        <w:rPr>
          <w:rFonts w:ascii="Times New Roman" w:cs="Times New Roman" w:eastAsia="Times New Roman" w:hAnsi="Times New Roman"/>
          <w:sz w:val="19"/>
          <w:szCs w:val="19"/>
          <w:color w:val="auto"/>
        </w:rPr>
        <w:t>. With respect to Loans to be made on the Effective Date, unless the Administrative Agent shall have been notified by any Lender that such Lender will not make available to the Administrative Agent a Loan to be made by such Lender in connection with any borrowing, the Administrative Agent may assume that such Lender will make the proceeds of such Loan available to the Administrative Agent in accordance with this Section, and the Administrative Agent may (but shall not be obligated to), in reliance upon such assumption, make available to the applicable Borrower the amount of such Loan to be provided by such Lender. In such event, if such Lender does not make available to the Administrative Agent the proceeds of such Loan, then such Lender and the Borrowers severally agree to pay to the Administrative Agent on demand the amount of such Loan with interest thereon, for each day from and including the date such Loan is made available to the applicable Borrower but excluding the date of payment to the Administrative Agent, at (i) in the case of a payment to be made by such Lender, the Overnight Rate and (ii) in the case of a payment to be made by a Borrower, the interest rate applicable to Base Rate Loans. If a Borrower and such Lender shall pay the amount of such interest to the Administrative Agent for the same or overlapping period, the Administrative Agent shall promptly remit to such Borrower the amount of such interest paid by the Borrowers for such period. If such Lender pays to the Administrative Agent the amount of such Loan, the amount so paid shall constitute such Lender’s Loan included in the borrowing. Any payment by any Borrower shall be without prejudice to any claim the Borrowers may have against a Lender that shall have failed to make available the proceeds of a Loan to be made by such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2.3. [Reserved]</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2.4. [Reserved]</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2.5. [Reserved]</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2.6. Rates and Payment of Interest on Loans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656"/>
        <w:spacing w:after="0" w:line="230" w:lineRule="auto"/>
        <w:tabs>
          <w:tab w:leader="none" w:pos="128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Each Borrower jointly and severally promises to pay to the Administrative Agent for the account of each Lender interest on the unpaid principal amount of each Loan made by such Lender to any Borrower for the period from and including the date of the making of such Loan to but excluding the date such Loan shall be paid in full, at the following per annum rates:</w:t>
      </w:r>
    </w:p>
    <w:p>
      <w:pPr>
        <w:spacing w:after="0" w:line="135" w:lineRule="exact"/>
        <w:rPr>
          <w:rFonts w:ascii="Times New Roman" w:cs="Times New Roman" w:eastAsia="Times New Roman" w:hAnsi="Times New Roman"/>
          <w:sz w:val="20"/>
          <w:szCs w:val="20"/>
          <w:color w:val="auto"/>
        </w:rPr>
      </w:pPr>
    </w:p>
    <w:p>
      <w:pPr>
        <w:ind w:left="660" w:right="20" w:firstLine="644"/>
        <w:spacing w:after="0"/>
        <w:tabs>
          <w:tab w:leader="none" w:pos="1954" w:val="left"/>
        </w:tabs>
        <w:numPr>
          <w:ilvl w:val="2"/>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such periods as such Loan is a Base Rate Loan, at the Base Rate (as in effect from time to time), plus the Applicable Margin for Base Rate Loans; and</w:t>
      </w:r>
    </w:p>
    <w:p>
      <w:pPr>
        <w:spacing w:after="0" w:line="134" w:lineRule="exact"/>
        <w:rPr>
          <w:rFonts w:ascii="Times New Roman" w:cs="Times New Roman" w:eastAsia="Times New Roman" w:hAnsi="Times New Roman"/>
          <w:sz w:val="20"/>
          <w:szCs w:val="20"/>
          <w:color w:val="auto"/>
        </w:rPr>
      </w:pPr>
    </w:p>
    <w:p>
      <w:pPr>
        <w:ind w:left="660" w:firstLine="644"/>
        <w:spacing w:after="0"/>
        <w:tabs>
          <w:tab w:leader="none" w:pos="1955" w:val="left"/>
        </w:tabs>
        <w:numPr>
          <w:ilvl w:val="2"/>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such periods as such Loan is a SOFR Loan, at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for such Loan for the Interest Period therefor, plus the relevant Applicable Margin for SOFR Loans.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33 -</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the foregoing, while an Event of Default exists, each Borrower jointly and severally agrees to pay to the Administrative Agent for the account of each Lender, interest at the Post-Default Rate on the outstanding principal amount of any Loan made by such Lender and on any other amount payable by any Borrower hereunder or under the Notes held by such Lender to or for the account of such Lender (including without limitation, accrued but unpaid interest to the extent permitted under Applicable Law).</w:t>
      </w:r>
    </w:p>
    <w:p>
      <w:pPr>
        <w:spacing w:after="0" w:line="160" w:lineRule="exact"/>
        <w:rPr>
          <w:sz w:val="20"/>
          <w:szCs w:val="20"/>
          <w:color w:val="auto"/>
        </w:rPr>
      </w:pPr>
    </w:p>
    <w:p>
      <w:pPr>
        <w:jc w:val="both"/>
        <w:ind w:firstLine="656"/>
        <w:spacing w:after="0" w:line="217" w:lineRule="auto"/>
        <w:tabs>
          <w:tab w:leader="none" w:pos="128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Interest</w:t>
      </w:r>
      <w:r>
        <w:rPr>
          <w:rFonts w:ascii="Times New Roman" w:cs="Times New Roman" w:eastAsia="Times New Roman" w:hAnsi="Times New Roman"/>
          <w:sz w:val="20"/>
          <w:szCs w:val="20"/>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All determinations by the Administrative Agent of an interest rate hereunder shall be conclusive and binding on the Lenders and the Borrowers for all purposes, absent manifest error.</w:t>
      </w:r>
    </w:p>
    <w:p>
      <w:pPr>
        <w:spacing w:after="0" w:line="148" w:lineRule="exact"/>
        <w:rPr>
          <w:rFonts w:ascii="Times New Roman" w:cs="Times New Roman" w:eastAsia="Times New Roman" w:hAnsi="Times New Roman"/>
          <w:sz w:val="20"/>
          <w:szCs w:val="20"/>
          <w:color w:val="auto"/>
        </w:rPr>
      </w:pPr>
    </w:p>
    <w:p>
      <w:pPr>
        <w:jc w:val="both"/>
        <w:ind w:firstLine="656"/>
        <w:spacing w:after="0" w:line="228" w:lineRule="auto"/>
        <w:tabs>
          <w:tab w:leader="none" w:pos="1286"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SOFR Conforming Changes</w:t>
      </w:r>
      <w:r>
        <w:rPr>
          <w:rFonts w:ascii="Times New Roman" w:cs="Times New Roman" w:eastAsia="Times New Roman" w:hAnsi="Times New Roman"/>
          <w:sz w:val="19"/>
          <w:szCs w:val="19"/>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Representative and the Lenders of the effectiveness of any Conforming Changes in connection with the use or administration of Term SOFR.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2.7. Number of Interest Periods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may be no more than 2 different Interest Periods for SOFR Loans outstanding at the same time.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2.8. Repayment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Each Borrower jointly and severally agrees to repay the entire outstanding principal amount of, and all accrued but unpaid interest on, the Loans on the Maturity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2.9. Optional Prepayments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Subject to Section 4.4., any Borrower may prepay the Loans at any time without premium or penalty. The Borrower Representative shall give the Administrative Agent at least two (2) Business Days (or, in the case of SOFR Loans, U.S. Government Securities Business Days) prior notice (which may be by telephone (promptly followed by a written notice), telecopy or electronic mail) of the prepayment of any Loan. Each voluntary prepayment of the Loans shall be in an aggregate minimum amount of $1,000,000 and integral multiples of $500,000 in excess thereof (or, if less, the aggregate principal amount of the Loans then outstanding).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2.10. Continuation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So long as no Default or Event of Default exists, any Borrower may on any Business Day, with respect to any SOFR Loan, elect to maintain such SOFR Loan or any portion thereof as a SOFR Loan by selecting a new Interest Period for such SOFR Loan. Each Continuation of SOFR Loans of the same Class shall be in an aggregate minimum amount of $1,000,000 and integral multiples of $1,000,000 in excess of that amount, and each new Interest Period selected under this Section shall commence on the last day of the immediately preceding Interest Period. Each selection of a new Interest Period shall be made by the Borrower Representative giving to the Administrative Agent a Notice of Continuation not later than 12:00 noon Eastern time on the third U.S. Government Securities Business Day prior to the date of any such Continuation. Such notice of a Continuation shall be by telecopy, electronic mail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- 34 -</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similar form of communication in the form of a Notice of Continuation, specifying (a) the proposed date of such Continuation, (b) the SOFR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Borrowers once given. Promptly after receipt of a Notice of Continuation, the Administrative Agent shall notify each applicable Lender of the proposed Continuation. If the Borrower Representative shall fail to select in a timely manner a new Interest Period for any SOFR Loan in accordance with this Section, such Loan will automatically, on the last day of the current Interest Period therefor, continue as a SOFR Loan with an Interest Period of one month; provided, however that if a Default or Event of Default exists, such Loan will automatically, on the last day of the current Interest Period therefor, Convert into a Base Rate Loan notwithstanding the first sentence of Section 2.11. or such Borrower’s failure to comply with any of the terms of such Section.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2.11. Conversion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Any Borrower may on any Business Day, upon the Borrower Representative giving of a Notice of Conversion to the Administrative Agent by telecopy, electronic mail or other similar form of communication, Convert all or a portion of a Loan of one Type into a Loan of another Type; provided, however, a Base Rate Loan may not be Converted into a SOFR Loan if a Default or Event of Default exists. Each Conversion of Base Rate Loans of the same Class into SOFR Loans shall be in an aggregate minimum amount of $1,000,000 and integral multiples of $1,000,000 in excess of that amount. Each such Notice of Conversion shall be given not later than 12:00 noon Eastern time three</w:t>
      </w:r>
    </w:p>
    <w:p>
      <w:pPr>
        <w:spacing w:after="0" w:line="2" w:lineRule="exact"/>
        <w:rPr>
          <w:sz w:val="20"/>
          <w:szCs w:val="20"/>
          <w:color w:val="auto"/>
        </w:rPr>
      </w:pPr>
    </w:p>
    <w:p>
      <w:pPr>
        <w:jc w:val="both"/>
        <w:ind w:firstLine="8"/>
        <w:spacing w:after="0" w:line="250" w:lineRule="auto"/>
        <w:tabs>
          <w:tab w:leader="none" w:pos="32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Government Securities Business Days prior to the date of any proposed Conversion. Promptly after receipt of a Notice of Conversion, the Administrative Agent shall notify each Lender of the proposed Conversion. Subject to the restrictions specified above, each Notice of Conversion shall be by telecopy, electronic mail or other similar form of communication in the form of a Notice of Conversion specifying (a) the requested date of such Conversion, (b) the Type of Loan to be Converted, (c) the portion of such Type and Class of Loan to be Converted, (d) the Type of Loan such Loan is to be Converted into and (e) if such Conversion is into a SOFR Loan, the requested duration of the Interest Period of such Loan. Each Notice of Conversion shall be irrevocable and binding on the Borrowers once given.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2.12. Notes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right="20" w:firstLine="656"/>
        <w:spacing w:after="0" w:line="230" w:lineRule="auto"/>
        <w:tabs>
          <w:tab w:leader="none" w:pos="128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Except in the case of a Lender that has requested that it not receive a Note, the Loans made by each Lender shall, in addition to this Agreement, also be evidenced by a Note, payable to such Lender, or its registered assignees, in a principal amount equal to the amount of its Commitment and otherwise duly completed.</w:t>
      </w:r>
    </w:p>
    <w:p>
      <w:pPr>
        <w:spacing w:after="0" w:line="135"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The date, amount, interest rate, Class, Type and duration of Interest Periods (if applicable) of each Loan made by each Lender to any Borrower, and each payment made on account of the principal thereof, shall be recorded by such Lender on its books and such entries shall be binding on such Borrower absent manifest error; provided, however, that (i) the failure of a Lender to make any such record shall not affect the obligations of such Borrower under any of the Loan Documents and (ii) if there is a discrepancy between such records of a Lender and the records maintained by the Administrative Agent pursuant to Sections 3.8. and 12.5.(c), in the absence of manifest error, the records maintained by the Administrative Agent pursuant to Sections 3.8. and 12.5.(c) shall be controlling.</w:t>
      </w:r>
    </w:p>
    <w:p>
      <w:pPr>
        <w:spacing w:after="0" w:line="148"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Lost, Stolen, Destroyed or Mutilated Notes</w:t>
      </w:r>
      <w:r>
        <w:rPr>
          <w:rFonts w:ascii="Times New Roman" w:cs="Times New Roman" w:eastAsia="Times New Roman" w:hAnsi="Times New Roman"/>
          <w:sz w:val="20"/>
          <w:szCs w:val="20"/>
          <w:color w:val="auto"/>
        </w:rPr>
        <w:t>. Upon receipt by the Borrower Representative of (i) written notice from a Lender that a Note of such Lender has been lost, stolen, destroyed or mutilated, and (ii)(A) in the case of loss, theft or destruction, an unsecured agreement of indemnity from such Lender in form reasonably satisfactory to the Borrowers, or (B) in the case of mutilation, upon surrender and cancellation of such Note, the Borrowers shall at their own expense execute and deliver to such Lender a new Note dated the date of such lost, stolen, destroyed or mutilated Note.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35 -</w:t>
      </w:r>
    </w:p>
    <w:p>
      <w:pPr>
        <w:sectPr>
          <w:pgSz w:w="11900" w:h="16838" w:orient="portrait"/>
          <w:cols w:equalWidth="0" w:num="1">
            <w:col w:w="11240"/>
          </w:cols>
          <w:pgMar w:left="320" w:top="1440"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0"/>
          <w:szCs w:val="20"/>
          <w:b w:val="1"/>
          <w:bCs w:val="1"/>
          <w:color w:val="auto"/>
        </w:rPr>
        <w:t>Section 2.13. [Reserved]</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2.14. Extension of Maturity Date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Borrowers shall have the right, exercisable two times, to extend the Maturity Date by six months for each extension. The Borrowers may exercise such right only by the Borrower Representative executing and delivering to the Administrative Agent at least 30 days but not more than 180 days prior to the current Maturity Date, a written request for such extension (an “Extension Request”). The Administrative Agent shall forward to each Lender a copy of an Extension Request delivered to the Administrative Agent promptly upon receipt thereof. Subject to satisfaction of the following conditions, the Maturity Date shall be extended for six months effective upon receipt of an Extension Request and payment of the fee referred to in the following clause (b): (a) immediately prior to such extension and immediately after giving effect thereto, (i) no Event of Default shall exist and no Default under any of subsections (a), (e) or (f) of Section 10.1. shall exist and (ii) the representations and warranties made or deemed made by each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Loan Documents, (b) the Borrowers shall have paid the Fees payable under Section 3.5.(f) and (c) solely with respect to the exercise of a second extension of the Maturity Date, the “Revolving Termination Date” (as defined in the Existing Credit Agreement) shall have been extended (including, for the avoidance of doubt, via an amendment, restatement or other modification to the Existing Credit Agreement) to a date that is no earlier than the new Maturity Date after giving effect to such second extension.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2.15. [Reserved]</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2.16. Joint and Several Liability of the Borrowers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56"/>
        <w:spacing w:after="0" w:line="226" w:lineRule="auto"/>
        <w:tabs>
          <w:tab w:leader="none" w:pos="1286"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Borrower hereunder and under the other Loan Documents to which any Borrower is a party shall be joint and several, and, accordingly, each Borrower confirms that it is liable for the full amount of the Obligations, regardless of whether incurred by such Borrower or any other Borrower.</w:t>
      </w:r>
    </w:p>
    <w:p>
      <w:pPr>
        <w:spacing w:after="0" w:line="146"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to the Administrative Agent and the Lenders that the Borrowers,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33"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Administrative Agent or any Lender shall be obligated or required before enforcing any Loan Document against a Borrower: (a) to pursue any right or remedy it may have against any other Borrower or any other Person or commence any suit or other proceeding against any other Borrower or any other Person in any court or other tribunal; (b) to make any claim in a liquidation or bankruptcy of any other Borrower or any other Person; or (c) to make demand of any other Borrower or any other Person or to enforce or seek to enforce or realize upon any collateral security held by the Administrative Agent or any Lender which may secure any of the Obligations.</w:t>
      </w:r>
    </w:p>
    <w:p>
      <w:pPr>
        <w:spacing w:after="0" w:line="13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intent of each Borrower, the Administrative Agent and the Lenders that in any proceeding of the types described in Sections 10.1.(e) or 10.1.(f), a Borrower’s maximum obligation hereunder shall equal, but not exceed, the maximum amount which would not otherwise cause the obligations of such Borrower hereunder to be avoidable or unenforceable against such Borrower in such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36 -</w:t>
      </w:r>
    </w:p>
    <w:p>
      <w:pPr>
        <w:sectPr>
          <w:pgSz w:w="11900" w:h="16838" w:orient="portrait"/>
          <w:cols w:equalWidth="0" w:num="1">
            <w:col w:w="11240"/>
          </w:cols>
          <w:pgMar w:left="320" w:top="1409" w:right="339" w:bottom="1440" w:gutter="0" w:footer="0" w:header="0"/>
        </w:sectPr>
      </w:pPr>
    </w:p>
    <w:bookmarkStart w:id="243" w:name="page244"/>
    <w:bookmarkEnd w:id="243"/>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proceeding as a result of Applicable Law, including without limitation, (i) Section 548 of the Bankruptcy Code and (ii) any state fraudulent transfer or fraudulent conveyance act or statute applied in such proceeding, whether by virtue of Section 544 of the Bankruptcy Code or</w:t>
      </w:r>
    </w:p>
    <w:p>
      <w:pPr>
        <w:spacing w:after="0" w:line="224" w:lineRule="auto"/>
        <w:rPr>
          <w:sz w:val="20"/>
          <w:szCs w:val="20"/>
          <w:color w:val="auto"/>
        </w:rPr>
      </w:pPr>
      <w:r>
        <w:rPr>
          <w:rFonts w:ascii="Times New Roman" w:cs="Times New Roman" w:eastAsia="Times New Roman" w:hAnsi="Times New Roman"/>
          <w:sz w:val="19"/>
          <w:szCs w:val="19"/>
          <w:color w:val="auto"/>
        </w:rPr>
        <w:t>otherwise. The Applicable Laws under which the possible avoidance or unenforceability of the obligations of such Borrower hereunder shall</w:t>
      </w:r>
    </w:p>
    <w:p>
      <w:pPr>
        <w:spacing w:after="0" w:line="204" w:lineRule="auto"/>
        <w:rPr>
          <w:sz w:val="20"/>
          <w:szCs w:val="20"/>
          <w:color w:val="auto"/>
        </w:rPr>
      </w:pPr>
      <w:r>
        <w:rPr>
          <w:rFonts w:ascii="Times New Roman" w:cs="Times New Roman" w:eastAsia="Times New Roman" w:hAnsi="Times New Roman"/>
          <w:sz w:val="20"/>
          <w:szCs w:val="20"/>
          <w:color w:val="auto"/>
        </w:rPr>
        <w:t>be determined in any such proceeding are referred to as the “Avoidance Provisions”. Accordingly, to the extent that the obligations of a Borrower hereunder would otherwise be subject to avoidance under the Avoidance Provisions, the maximum Obligations for which such</w:t>
      </w:r>
    </w:p>
    <w:p>
      <w:pPr>
        <w:spacing w:after="0" w:line="211" w:lineRule="auto"/>
        <w:rPr>
          <w:sz w:val="20"/>
          <w:szCs w:val="20"/>
          <w:color w:val="auto"/>
        </w:rPr>
      </w:pPr>
      <w:r>
        <w:rPr>
          <w:rFonts w:ascii="Times New Roman" w:cs="Times New Roman" w:eastAsia="Times New Roman" w:hAnsi="Times New Roman"/>
          <w:sz w:val="20"/>
          <w:szCs w:val="20"/>
          <w:color w:val="auto"/>
        </w:rPr>
        <w:t>Borrower shall be liable hereunder shall be reduced to that amount which, as of the time any of the Obligations are deemed to have been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incurred under the Avoidance Provisions, would not cause the obligations of such Borrower hereunder, to be subject to avoidance under the Avoidance Provisions. This subsection is intended solely to preserve the rights of the Administrative Agent and the Lenders hereunder to the</w:t>
      </w:r>
    </w:p>
    <w:p>
      <w:pPr>
        <w:spacing w:after="0" w:line="222" w:lineRule="auto"/>
        <w:rPr>
          <w:sz w:val="20"/>
          <w:szCs w:val="20"/>
          <w:color w:val="auto"/>
        </w:rPr>
      </w:pPr>
      <w:r>
        <w:rPr>
          <w:rFonts w:ascii="Times New Roman" w:cs="Times New Roman" w:eastAsia="Times New Roman" w:hAnsi="Times New Roman"/>
          <w:sz w:val="19"/>
          <w:szCs w:val="19"/>
          <w:color w:val="auto"/>
        </w:rPr>
        <w:t>maximum extent that would not cause the obligations of any Borrower hereunder to be subject to avoidance under the Avoidance Provisions,</w:t>
      </w:r>
    </w:p>
    <w:p>
      <w:pPr>
        <w:spacing w:after="0" w:line="221" w:lineRule="auto"/>
        <w:rPr>
          <w:sz w:val="20"/>
          <w:szCs w:val="20"/>
          <w:color w:val="auto"/>
        </w:rPr>
      </w:pPr>
      <w:r>
        <w:rPr>
          <w:rFonts w:ascii="Times New Roman" w:cs="Times New Roman" w:eastAsia="Times New Roman" w:hAnsi="Times New Roman"/>
          <w:sz w:val="20"/>
          <w:szCs w:val="20"/>
          <w:color w:val="auto"/>
        </w:rPr>
        <w:t>and no Borrower or any other Person shall have any right or claim under this Section that would not otherwise be available to such Person under the Avoidance Provisions.</w:t>
      </w:r>
    </w:p>
    <w:p>
      <w:pPr>
        <w:spacing w:after="0" w:line="148" w:lineRule="exact"/>
        <w:rPr>
          <w:sz w:val="20"/>
          <w:szCs w:val="20"/>
          <w:color w:val="auto"/>
        </w:rPr>
      </w:pPr>
    </w:p>
    <w:p>
      <w:pPr>
        <w:jc w:val="both"/>
        <w:ind w:firstLine="656"/>
        <w:spacing w:after="0" w:line="216" w:lineRule="auto"/>
        <w:tabs>
          <w:tab w:leader="none" w:pos="1286"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Borrower shall be required hereunder to pay any portion of the Obligations exceeding the greater of (a) the amount of the value actually received by such Borrower and its Subsidiaries from the Loans and other Obligations and (b) the amount such Borrower would otherwise have paid if such Borrower had paid the aggregate amount of Obligations (excluding the amount paid by any other Person) in the same proportion as such Borrower’s net worth on the date enforcement is sought hereunder bears to the aggregate net worth of all of the Borrowers on such date, then such Borrower shall be reimbursed by each other Borrower for the amount of such excess pro rata, based on the respective net worth of such other Borrower on such date.</w:t>
      </w:r>
    </w:p>
    <w:p>
      <w:pPr>
        <w:spacing w:after="0" w:line="13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assumes all responsibility for being and keeping itself informed of the financial condition of the other Borrowers, and of all other circumstances bearing upon the risk of nonpayment of any of the Obligations and the nature, scope and extent of the risks that such Borrower assumes and incurs hereunder, and agrees that none of the Administrative Agent or any Lender shall have any duty whatsoever to advise any Borrower of information regarding such circumstances or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2.17. Borrower Representative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Borrower hereby appoints the Parent to act as its agent for all purposes under the Loan Documents (including, without limitation, with respect to all matters related to the borrowing and repayment of Loans and the giving and receiving of notices under or in respect of the Loan Documents) (in such capacity, the “Borrower Representative”). Each Borrower acknowledges and agrees that (i) the Borrower Representative may execute such documents as the Borrower Representative deems appropriate in its sole discretion, and with respect to any such document executed by only the Borrower Representative, each Borrower shall be bound by and obligated by all of the terms of any such document, (ii) any notice or other communication delivered by the Administrative Agent or any Lender hereunder to the Borrower Representative shall be deemed to have been delivered to each Borrower and (iii) the Administrative Agent and the Lenders shall accept (and shall be permitted to rely on) any document or agreement executed by the Borrowers or the Borrower Representative. Each Borrower agrees that any action taken by the Borrower Representative without the consent of, or notice to, such Borrower shall not release or discharge such Borrower from its obligations hereunder.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2.18. [Reserved]</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2.19. Additional Loans</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The Borrowers shall have the right at any time prior to the Maturity Date, to request the making of additional Loans (the “</w:t>
      </w:r>
      <w:r>
        <w:rPr>
          <w:rFonts w:ascii="Times New Roman" w:cs="Times New Roman" w:eastAsia="Times New Roman" w:hAnsi="Times New Roman"/>
          <w:sz w:val="20"/>
          <w:szCs w:val="20"/>
          <w:b w:val="1"/>
          <w:bCs w:val="1"/>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 by the Borrower Representative providing written notice (which may be by telecopy or electronic mail)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which notice shall be irrevocable once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after giving effect to the making of any Additional Loans, the aggregate outstanding principal amount of Loans shall not exceed $200,000,000 less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- 37 -</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any optional prepayments of the Loans pursuant to Section 2.9. Additional Loans shall be subject to the same terms and conditions of this Agreement that are applicable to all other Loans of the same Class. Each such request to make Additional Loans must be in an aggregate minimum amount of $25,000,000 and integral multiples of $5,000,000 in excess thereof (or such other amounts as may be acceptable to the Administrative Agent and the Borrowers). The Administrative Agent, in consultation with the Borrower Representative, shall manage all aspects of the syndication of the making of Additional Loans, including decisions as to the selection of the existing Lenders and/or other banks, financial institutions and other institutional lenders to be approached with respect to the making of Additional Loans, and the allocations of the making of Additional Loans among such existing Lenders and/or other banks, financial institutions and other institutional lenders. No Lender shall be obligated in any way whatsoever to make an Additional Loan, and any new Lender becoming a party to this Agreement in connection with the making of Additional Loans must be an Eligible Assignee. Effecting the making of Additional Loans under this Section is subject to the following conditions precedent: (x) no Default or Event of Default shall be in existence on the effective date of the making of such Additional Loans, (y) the representations and warranties made or deemed made by any Borrower or any other Loan Party in any Loan Document to which such Borrower or such other Loan Party is a party shall be true and correct in all material respects (except in the case of a representation or warranty qualified by materiality, in which case such representation or warranty shall be true and correct in all respects) on the effective date of such increase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 (z) the Administrative Agent shall have received each of the following, in form and substance satisfactory to the Administrative Agent: (i) if not previously delivered to the Administrative Agent, copies certified by the Secretary or Assistant Secretary of all corporate, partnership or other necessary action taken by the Borrowers to authorize the borrowing of Additional Loans; (ii) an opinion of counsel to the Borrowers and addressed to the Administrative Agent and the Lenders covering such matters as reasonably requested by the Administrative Agent; and (iii) new Notes executed by the Borrowers, payable to any new Lenders and replacement Notes executed by the Borrowers, payable to any existing Lenders increasing their Loans, in the amount of such Lender’s Loan (in each case unless any such Lender requests not to receive such a Note). In connection with the making of any Additional Loans pursuant to this Section, any Lender becoming a party hereto shall (1) execute such documents and agreements as the Administrative Agent may reasonably request and (2) in the case of any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2.20. Funds Transfer Disbursements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5" w:lineRule="auto"/>
        <w:tabs>
          <w:tab w:leader="none" w:pos="1286"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Each Borrower hereby authorizes the Administrative Agent to disburse the proceeds of any Loan made by the Lenders or any of their Affiliates pursuant to the Loan Documents as requested by an authorized representative of such Borrower to any of the accounts designated in the Disbursement Instruction Agreement. Each Borrower agrees to be bound by any transfer request: (i) authorized or transmitted by the Borrower Representative or such Borrower; or (ii) made in such Borrower’s name and accepted by the Administrative Agent in good faith and in compliance with these transfer instructions, even if not properly authorized by such Borrower. Each Borrower further agrees and acknowledges that the Administrative Agent may rely solely on any bank routing number or identifying bank account number or name provided by the Borrower Representative or such Borrower to effect a wire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38 -</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or funds transfer even if the information provided by the Borrower Representative or such Borrower identifies a different bank or account holder than named by the Borrower Representative or such Borrower. The Administrative Agent is not obligated or required in any way to</w:t>
      </w:r>
    </w:p>
    <w:p>
      <w:pPr>
        <w:spacing w:after="0" w:line="224" w:lineRule="auto"/>
        <w:rPr>
          <w:sz w:val="20"/>
          <w:szCs w:val="20"/>
          <w:color w:val="auto"/>
        </w:rPr>
      </w:pPr>
      <w:r>
        <w:rPr>
          <w:rFonts w:ascii="Times New Roman" w:cs="Times New Roman" w:eastAsia="Times New Roman" w:hAnsi="Times New Roman"/>
          <w:sz w:val="19"/>
          <w:szCs w:val="19"/>
          <w:color w:val="auto"/>
        </w:rPr>
        <w:t>take any actions to detect errors in information provided by the Borrower Representative or any Borrower. If the Administrative Agent takes</w:t>
      </w:r>
    </w:p>
    <w:p>
      <w:pPr>
        <w:spacing w:after="0" w:line="204" w:lineRule="auto"/>
        <w:rPr>
          <w:sz w:val="20"/>
          <w:szCs w:val="20"/>
          <w:color w:val="auto"/>
        </w:rPr>
      </w:pPr>
      <w:r>
        <w:rPr>
          <w:rFonts w:ascii="Times New Roman" w:cs="Times New Roman" w:eastAsia="Times New Roman" w:hAnsi="Times New Roman"/>
          <w:sz w:val="20"/>
          <w:szCs w:val="20"/>
          <w:color w:val="auto"/>
        </w:rPr>
        <w:t>any actions in an attempt to detect errors in the transmission or content of transfer requests or takes any actions in an attempt to detect unauthorized funds transfer requests, each Borrower agrees that no matter how many times the Administrative Agent takes these actions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will not in any situation be liable for failing to take or correctly perform these actions in the future and such actions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shall not become any part of the transfer disbursement procedures authorized under this provision, the Loan Documents, or any agreement between the Administrative Agent and any Borrower. Each Borrower agrees to notify the Administrative Agent of any errors in the transfer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of any funds or of any unauthorized or improperly authorized transfer requests within fourteen (14) days after the Administrative Agent’s confirmation to the Borrower Representative or such Borrower of such transfer.</w:t>
      </w:r>
    </w:p>
    <w:p>
      <w:pPr>
        <w:spacing w:after="0" w:line="135" w:lineRule="exact"/>
        <w:rPr>
          <w:sz w:val="20"/>
          <w:szCs w:val="20"/>
          <w:color w:val="auto"/>
        </w:rPr>
      </w:pPr>
    </w:p>
    <w:p>
      <w:pPr>
        <w:jc w:val="both"/>
        <w:ind w:firstLine="656"/>
        <w:spacing w:after="0" w:line="220" w:lineRule="auto"/>
        <w:tabs>
          <w:tab w:leader="none" w:pos="12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Funds Transfer</w:t>
      </w:r>
      <w:r>
        <w:rPr>
          <w:rFonts w:ascii="Times New Roman" w:cs="Times New Roman" w:eastAsia="Times New Roman" w:hAnsi="Times New Roman"/>
          <w:sz w:val="20"/>
          <w:szCs w:val="20"/>
          <w:color w:val="auto"/>
        </w:rPr>
        <w:t>. The Administrative Agent will, in its sole discretion, determine the funds transfer system and the means by which each transfer will be made. The Administrative Agent may delay or refuse to accept a funds transfer request if the transfer would: (i) violate the terms of this authorization, (ii) require use of a bank unacceptable to the Administrative Agent or any Lender or prohibited by any Governmental Authority, (iii) cause the Administrative Agent or any Lender to violate any Federal Reserve or other regulatory risk control program or guideline or (iv) otherwise cause the Administrative Agent or any Lender to violate any Applicable Law or regulation.</w:t>
      </w:r>
    </w:p>
    <w:p>
      <w:pPr>
        <w:spacing w:after="0" w:line="133"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None of the Administrative Agent or any Lender shall be liable to any Borrower or any other parties for (i) errors, acts or failures to act of others, including other entities, banks, communications carriers or clearinghouses, through which any Borrower’s transfers may be made or information received or transmitted, and no such entity shall be deemed an agent of the Administrative Agent or any Lender, (ii) any loss, liability or delay caused by fires, earthquakes, wars, civil disturbances, power surges or failures, acts of government, labor disputes, failures in communications networks, legal constraints or other events beyond Administrative Agent’s or any Lender’s control, or (iii) any special, consequential, indirect or punitive damages, whether or not (x) any claim for these damages is based on tort or contract or (y) the Administrative Agent, any Lender or any Borrower knew or should have known the likelihood of these damages in any situation. None of the Administrative Agent or any Lender makes any representations or warranties other than those expressly made in this Agreement.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Payments, Fees and Other General Provisions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 Payments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0" w:lineRule="auto"/>
        <w:tabs>
          <w:tab w:leader="none" w:pos="1286"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w:t>
      </w:r>
      <w:r>
        <w:rPr>
          <w:rFonts w:ascii="Times New Roman" w:cs="Times New Roman" w:eastAsia="Times New Roman" w:hAnsi="Times New Roman"/>
          <w:sz w:val="20"/>
          <w:szCs w:val="20"/>
          <w:color w:val="auto"/>
        </w:rPr>
        <w:t>. Except to the extent otherwise provided herein, all payments of principal, interest, Fees and other amounts to be made by any Loan Party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12:00 noon Eastern time on the date on which such payment shall become due (each such payment made after such time on such due date to be deemed to have been made on the next succeeding Business Day). Subject to Section 10.5., each Borrower shall, at the time of such Borrower’s making a payment under this Agreement or any other Loan Document, specify to the Administrative Agent the amounts payable by such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39 -</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62" w:lineRule="exact"/>
        <w:rPr>
          <w:sz w:val="20"/>
          <w:szCs w:val="20"/>
          <w:color w:val="auto"/>
        </w:rPr>
      </w:pPr>
    </w:p>
    <w:p>
      <w:pPr>
        <w:jc w:val="both"/>
        <w:ind w:firstLine="656"/>
        <w:spacing w:after="0" w:line="215" w:lineRule="auto"/>
        <w:tabs>
          <w:tab w:leader="none" w:pos="12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Presumptions Regarding Payments by Borrowers</w:t>
      </w:r>
      <w:r>
        <w:rPr>
          <w:rFonts w:ascii="Times New Roman" w:cs="Times New Roman" w:eastAsia="Times New Roman" w:hAnsi="Times New Roman"/>
          <w:sz w:val="20"/>
          <w:szCs w:val="20"/>
          <w:color w:val="auto"/>
        </w:rPr>
        <w:t>. Unless the Administrative Agent shall have received notice from the Borrower Representative prior to the date on which any payment is due from a Borrower to the Administrative Agent for the account of the Lenders hereunder that such Borrower will not make such payment, the Administrative Agent may assume that such Borrower has made such payment on such date in accordance herewith and may (but shall not be obligated to), in reliance upon such assumption, distribute to the Lenders the amount due. In such event, if such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Overnight Rate.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3.2. Pro Rata Treatment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Except to the extent otherwise provided herein: (a) each payment of fees under Section 3.5(f) shall be made for the account of the Lenders, pro rata in accordance with the respective unpaid principal amounts of the Loans held by them, (b) each payment or prepayment of principal of Loans shall be made for the account of the Lenders, pro rata in accordance with the respective unpaid principal amounts of the Loans held by them; (c) each payment of interest on Loans shall be made for the account of the Lenders, pro rata in accordance with the amounts of interest on such Loans then due and payable to the respective Lenders; and (d) the Conversion and Continuation of Loans of a particular Type (other than Conversions provided for by Sections 4.1.(c) and 4.5.) shall be made pro rata among the Lenders, as applicable, according to the amounts of their respective Loans, and the then current Interest Period for each Lender’s portion of such Loan of such Type shall be coterminous.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3.3. Sharing of Payments, Etc.</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If a Lender shall obtain payment of any principal of, or interest on, any Loan made by it to a Borrower under this Agreement or shall obtain payment on any other Obligation owing by a Borrower through the exercise of any right of set-off, banker’s lien, counterclaim or similar right or otherwise or through voluntary prepayments directly to a Lender or other payments made by or on behalf of a Borrower to a Lender (other than any payment in respect of Specified Derivatives Obligations) not in accordance with the terms of this Agreement and such payment should be distributed to other Lenders in accordance with Section 3.2. or Section 10.5., as applicable, such Lender shall promptly purchase from such other Lenders participations in (or, if and to the extent specified by such Lender, direct interests in) the applicable Loans made by such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Each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any Borrower.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3.4. Several Obligations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Lender shall be responsible for the failure of any other Lender to make a Loan or to perform any other obligation to be made or performed by such other Lender hereunder, and the failure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- 40 -</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3.5. Fees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firstLine="656"/>
        <w:spacing w:after="0" w:line="233" w:lineRule="auto"/>
        <w:tabs>
          <w:tab w:leader="none" w:pos="128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Fee</w:t>
      </w:r>
      <w:r>
        <w:rPr>
          <w:rFonts w:ascii="Times New Roman" w:cs="Times New Roman" w:eastAsia="Times New Roman" w:hAnsi="Times New Roman"/>
          <w:sz w:val="20"/>
          <w:szCs w:val="20"/>
          <w:color w:val="auto"/>
        </w:rPr>
        <w:t>. On the Effective Date, the Borrowers jointly and severally agree to pay to the Administrative Agent and each Lender all loan fees as have been agreed to in writing by any Borrower and the Administrative Agent.</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Fee</w:t>
      </w:r>
      <w:r>
        <w:rPr>
          <w:rFonts w:ascii="Times New Roman" w:cs="Times New Roman" w:eastAsia="Times New Roman" w:hAnsi="Times New Roman"/>
          <w:sz w:val="20"/>
          <w:szCs w:val="20"/>
          <w:color w:val="auto"/>
        </w:rPr>
        <w:t>. If the Maturity Date is being extended in accordance with Section 2.14., the Borrowers shall, for each such extension, pay to the Administrative Agent for the account of each Lender a fee equal to 0.075% of the aggregate outstanding principal amount of such Lender’s portion of the Loans. Each such fee shall be due and payable in full on the effective date of each respective extension.</w:t>
      </w:r>
    </w:p>
    <w:p>
      <w:pPr>
        <w:spacing w:after="0" w:line="134"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and Other Fees</w:t>
      </w:r>
      <w:r>
        <w:rPr>
          <w:rFonts w:ascii="Times New Roman" w:cs="Times New Roman" w:eastAsia="Times New Roman" w:hAnsi="Times New Roman"/>
          <w:sz w:val="20"/>
          <w:szCs w:val="20"/>
          <w:color w:val="auto"/>
        </w:rPr>
        <w:t>. Each Borrower jointly and severally agrees to pay the administrative and other fees of the Administrative Agent as provided in the Fee Letter with the Lender acting as Administrative Agent and as may be otherwise agreed to in writing from time to time by any Borrower and the Administrative Agent.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3.6. Computations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expressly set forth herein, any accrued interest on any Loan, any Fees or any other Obligations due hereunder shall be computed on the basis of a year of 360 days and the actual number of days elapsed.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3.7. Usury</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no event shall the amount of interest due or payable on the Loans or other Obligations exceed the maximum rate of interest allowed by Applicable Law and, if any such payment is paid by any Borrower or any other Loan Party or received by any Lender, then such excess sum shall be credited as a payment of principal, unless the Borrower Representative shall notify the respective Lender in writing that such Borrower elects to have such excess sum returned to it forthwith. It is the express intent of the parties hereto that no Borrower pay and the Lenders not receive, directly or indirectly, in any manner whatsoever, interest in excess of that which may be lawfully paid by such Borrower under Applicable Law. The parties hereto hereby agree and stipulate that the only charge imposed upon any Borrower for the use of money in connection with this Agreement is and shall be the interest specifically described in Section 2.6.(a)(i) and (ii).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- 41 -</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Lenders in connection with this Agreement and shall under no circumstances be deemed to be charges for the use of money. All charges other than charges for the use of money shall be fully earned and nonrefundable when due.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3.8. Statements of Account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Administrative Agent will account to the Borrowers monthly with a statement of Loans, accrued interest and Fees, charges and payments made pursuant to this Agreement and the other Loan Documents, and such account rendered by the Administrative Agent shall be deemed conclusive upon the Borrowers absent manifest error. The failure of the Administrative Agent to deliver such a statement of accounts shall not relieve or discharge any Borrower from any of its obligations 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3.9. Defaulting Lenders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19" w:lineRule="exact"/>
        <w:rPr>
          <w:sz w:val="20"/>
          <w:szCs w:val="20"/>
          <w:color w:val="auto"/>
        </w:rPr>
      </w:pPr>
    </w:p>
    <w:p>
      <w:pPr>
        <w:ind w:right="20" w:firstLine="656"/>
        <w:spacing w:after="0"/>
        <w:tabs>
          <w:tab w:leader="none" w:pos="1286"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Such Defaulting Lender’s right to approve or disapprove any amendment, waiver or consent with respect to this Agreement shall be restricted as set forth in Section 12.6. and in the definition of Requisite Lenders, as applicable.</w:t>
      </w:r>
    </w:p>
    <w:p>
      <w:pPr>
        <w:spacing w:after="0" w:line="134"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4"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if so determined by the Administrative Agent and the Borrower Representative,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to such Defaulting Lender or as otherwise directed by a court of competent jurisdiction.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1"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If the Borrower Representative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applicable Lenders or take such other actions as the Administrative Agent may determine to be necessary to cause the Loans to be held pro rata by the Lenders in accordance with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42 -</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 xml:space="preserve">their pro rata share thereof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Borrowers while that Lender was a Defaulting Lender;</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and subject to Section 12.22., no change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hereunder from Defaulting Lender to Lender will constitute a waiver or release of any claim of any party hereunder arising from that Lender’s having been a Defaulting Lender.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3.10. Taxes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1300" w:hanging="644"/>
        <w:spacing w:after="0"/>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the term “Applicable Law” includes FATCA.</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4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w:t>
      </w:r>
      <w:r>
        <w:rPr>
          <w:rFonts w:ascii="Times New Roman" w:cs="Times New Roman" w:eastAsia="Times New Roman" w:hAnsi="Times New Roman"/>
          <w:sz w:val="20"/>
          <w:szCs w:val="20"/>
          <w:color w:val="auto"/>
        </w:rPr>
        <w:t>. The Borrowers and the other Loan Parties shall timely pay to the relevant Governmental Authority in accordance with Applicable Law, or at the option of the Administrative Agent timely reimburse it for the payment of, any Other Taxes.</w:t>
      </w:r>
    </w:p>
    <w:p>
      <w:pPr>
        <w:spacing w:after="0" w:line="133"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Borrowers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Representative by a Lender (with a copy to the Administrative Agent), or by the Administrative Agent on its own behalf or on behalf of a Lender, shall be conclusive absent manifest error.</w:t>
      </w:r>
    </w:p>
    <w:p>
      <w:pPr>
        <w:spacing w:after="0" w:line="150"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10 days after demand therefor, for (i) any Indemnified Taxes attributable to such Lender (but only to the extent that a Borrower or another Loan Party has not already indemnified the Administrative Agent for such Indemnified Taxes and without limiting the obligation of the Borrowers and the other Loan Parties to do so), (ii) any Taxes attributable to such Lender’s failure to comply with the provisions of Section 12.5.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subsection.</w:t>
      </w:r>
    </w:p>
    <w:p>
      <w:pPr>
        <w:spacing w:after="0" w:line="13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1"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Taxes by a Borrower or any other Loan Party to a Governmental Authority pursuant to this Section, the Borrower Representative or such other Loan Party shall deliver to the Administrative Agent the original or a certified copy of a receipt issued by such Governmental Authority evidencing such payment, a copy 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43 -</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return reporting such payment or other evidence of such payment reasonably satisfactory to the Administrative Agent.</w:t>
      </w:r>
    </w:p>
    <w:p>
      <w:pPr>
        <w:spacing w:after="0" w:line="162"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4"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40"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87"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electronic copy (or an original if requested by the Borrower Representative or the Administrative Agent) of an executed IRS Form W-9 (or any successor form) certifying that such Lender is exempt from U.S. federal backup withholding tax;</w:t>
      </w:r>
    </w:p>
    <w:p>
      <w:pPr>
        <w:spacing w:after="0" w:line="133"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34" w:lineRule="exact"/>
        <w:rPr>
          <w:rFonts w:ascii="Times New Roman" w:cs="Times New Roman" w:eastAsia="Times New Roman" w:hAnsi="Times New Roman"/>
          <w:sz w:val="20"/>
          <w:szCs w:val="20"/>
          <w:color w:val="auto"/>
        </w:rPr>
      </w:pPr>
    </w:p>
    <w:p>
      <w:pPr>
        <w:jc w:val="both"/>
        <w:ind w:left="1960" w:firstLine="640"/>
        <w:spacing w:after="0" w:line="215" w:lineRule="auto"/>
        <w:tabs>
          <w:tab w:leader="none" w:pos="3251" w:val="left"/>
        </w:tabs>
        <w:numPr>
          <w:ilvl w:val="3"/>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an electronic copy (or an original if requested by the Borrower Representative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51" w:lineRule="exact"/>
        <w:rPr>
          <w:sz w:val="20"/>
          <w:szCs w:val="20"/>
          <w:color w:val="auto"/>
        </w:rPr>
      </w:pPr>
    </w:p>
    <w:p>
      <w:pPr>
        <w:ind w:left="1960" w:firstLine="640"/>
        <w:spacing w:after="0" w:line="233" w:lineRule="auto"/>
        <w:tabs>
          <w:tab w:leader="none" w:pos="324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electronic copy (or an original if requested by the Borrower Representative or the Administrative Agent) of an executed IRS Form W-8ECI;</w:t>
      </w:r>
    </w:p>
    <w:p>
      <w:pPr>
        <w:spacing w:after="0" w:line="147" w:lineRule="exact"/>
        <w:rPr>
          <w:sz w:val="20"/>
          <w:szCs w:val="20"/>
          <w:color w:val="auto"/>
        </w:rPr>
      </w:pPr>
    </w:p>
    <w:p>
      <w:pPr>
        <w:jc w:val="both"/>
        <w:ind w:left="1960" w:firstLine="640"/>
        <w:spacing w:after="0" w:line="222" w:lineRule="auto"/>
        <w:tabs>
          <w:tab w:leader="none" w:pos="324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Internal Revenue Code, (x) a certificate substantially in the form of Exhibit T-1 to the effect that such Foreign Lender is not a “bank” within the meaning of Section 881(c)(3)(A) of the Internal Revenue Code, a “10 percent shareholder” of any Borrower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- 44 -</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62" w:lineRule="exact"/>
        <w:rPr>
          <w:sz w:val="20"/>
          <w:szCs w:val="20"/>
          <w:color w:val="auto"/>
        </w:rPr>
      </w:pPr>
    </w:p>
    <w:p>
      <w:pPr>
        <w:ind w:left="1960"/>
        <w:spacing w:after="0" w:line="215" w:lineRule="auto"/>
        <w:rPr>
          <w:sz w:val="20"/>
          <w:szCs w:val="20"/>
          <w:color w:val="auto"/>
        </w:rPr>
      </w:pPr>
      <w:r>
        <w:rPr>
          <w:rFonts w:ascii="Times New Roman" w:cs="Times New Roman" w:eastAsia="Times New Roman" w:hAnsi="Times New Roman"/>
          <w:sz w:val="20"/>
          <w:szCs w:val="20"/>
          <w:color w:val="auto"/>
        </w:rPr>
        <w:t>the meaning of Section 881(c)(3)(B) of the Internal Revenue Code, or a “controlled foreign corporation” described in Section 881(c)(3)(C) of the Internal Revenue Code (a “U.S. Tax Compliance Certificate”) and (y) an electronic</w:t>
      </w:r>
    </w:p>
    <w:p>
      <w:pPr>
        <w:spacing w:after="0" w:line="1" w:lineRule="exact"/>
        <w:rPr>
          <w:sz w:val="20"/>
          <w:szCs w:val="20"/>
          <w:color w:val="auto"/>
        </w:rPr>
      </w:pPr>
    </w:p>
    <w:p>
      <w:pPr>
        <w:ind w:left="1960"/>
        <w:spacing w:after="0" w:line="228" w:lineRule="auto"/>
        <w:rPr>
          <w:sz w:val="20"/>
          <w:szCs w:val="20"/>
          <w:color w:val="auto"/>
        </w:rPr>
      </w:pPr>
      <w:r>
        <w:rPr>
          <w:rFonts w:ascii="Times New Roman" w:cs="Times New Roman" w:eastAsia="Times New Roman" w:hAnsi="Times New Roman"/>
          <w:sz w:val="20"/>
          <w:szCs w:val="20"/>
          <w:color w:val="auto"/>
        </w:rPr>
        <w:t>copy (or an original if requested by the Borrower Representative or the Administrative Agent) of IRS Form W-8BEN or W-8BEN-E, as applicable; or</w:t>
      </w:r>
    </w:p>
    <w:p>
      <w:pPr>
        <w:spacing w:after="0" w:line="130"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0"/>
          <w:szCs w:val="20"/>
          <w:color w:val="auto"/>
        </w:rPr>
        <w:t>(IV)</w:t>
        <w:tab/>
        <w:t>to the extent a Foreign Lender is not the beneficial owner, an electronic copy (or an original if</w:t>
      </w:r>
    </w:p>
    <w:p>
      <w:pPr>
        <w:ind w:left="1960"/>
        <w:spacing w:after="0" w:line="204" w:lineRule="auto"/>
        <w:rPr>
          <w:sz w:val="20"/>
          <w:szCs w:val="20"/>
          <w:color w:val="auto"/>
        </w:rPr>
      </w:pPr>
      <w:r>
        <w:rPr>
          <w:rFonts w:ascii="Times New Roman" w:cs="Times New Roman" w:eastAsia="Times New Roman" w:hAnsi="Times New Roman"/>
          <w:sz w:val="20"/>
          <w:szCs w:val="20"/>
          <w:color w:val="auto"/>
        </w:rPr>
        <w:t>requested by the Borrower Representative or the Administrative Agent) of an executed IRS Form W-8IMY, accompanied by IRS Form W-8ECI, IRS Form W-8BEN or W-8BEN-E, as applicable, a U.S. Tax Compliance</w:t>
      </w:r>
    </w:p>
    <w:p>
      <w:pPr>
        <w:ind w:left="1960"/>
        <w:spacing w:after="0" w:line="211" w:lineRule="auto"/>
        <w:rPr>
          <w:sz w:val="20"/>
          <w:szCs w:val="20"/>
          <w:color w:val="auto"/>
        </w:rPr>
      </w:pPr>
      <w:r>
        <w:rPr>
          <w:rFonts w:ascii="Times New Roman" w:cs="Times New Roman" w:eastAsia="Times New Roman" w:hAnsi="Times New Roman"/>
          <w:sz w:val="20"/>
          <w:szCs w:val="20"/>
          <w:color w:val="auto"/>
        </w:rPr>
        <w:t>Certificate substantially in the form of Exhibit T-2 or Exhibit T-3, IRS Form W-9, and/or other certification</w:t>
      </w:r>
    </w:p>
    <w:p>
      <w:pPr>
        <w:spacing w:after="0" w:line="1" w:lineRule="exact"/>
        <w:rPr>
          <w:sz w:val="20"/>
          <w:szCs w:val="20"/>
          <w:color w:val="auto"/>
        </w:rPr>
      </w:pPr>
    </w:p>
    <w:p>
      <w:pPr>
        <w:ind w:left="1960"/>
        <w:spacing w:after="0" w:line="215" w:lineRule="auto"/>
        <w:rPr>
          <w:sz w:val="20"/>
          <w:szCs w:val="20"/>
          <w:color w:val="auto"/>
        </w:rPr>
      </w:pPr>
      <w:r>
        <w:rPr>
          <w:rFonts w:ascii="Times New Roman" w:cs="Times New Roman" w:eastAsia="Times New Roman" w:hAnsi="Times New Roman"/>
          <w:sz w:val="19"/>
          <w:szCs w:val="19"/>
          <w:color w:val="auto"/>
        </w:rPr>
        <w:t>documents from each beneficial owner, as applicable; provided that if the Foreign Lender is a partnership and one or more direct or indirect partners of such Foreign Lender are claiming the portfolio interest exemption, such Foreign</w:t>
      </w:r>
    </w:p>
    <w:p>
      <w:pPr>
        <w:ind w:left="1960"/>
        <w:spacing w:after="0" w:line="228" w:lineRule="auto"/>
        <w:rPr>
          <w:sz w:val="20"/>
          <w:szCs w:val="20"/>
          <w:color w:val="auto"/>
        </w:rPr>
      </w:pPr>
      <w:r>
        <w:rPr>
          <w:rFonts w:ascii="Times New Roman" w:cs="Times New Roman" w:eastAsia="Times New Roman" w:hAnsi="Times New Roman"/>
          <w:sz w:val="20"/>
          <w:szCs w:val="20"/>
          <w:color w:val="auto"/>
        </w:rPr>
        <w:t>Lender may provide a U.S. Tax Compliance Certificate substantially in the form of Exhibit T-4 on behalf of each such direct and indirect partner;</w:t>
      </w:r>
    </w:p>
    <w:p>
      <w:pPr>
        <w:spacing w:after="0" w:line="135" w:lineRule="exact"/>
        <w:rPr>
          <w:sz w:val="20"/>
          <w:szCs w:val="20"/>
          <w:color w:val="auto"/>
        </w:rPr>
      </w:pPr>
    </w:p>
    <w:p>
      <w:pPr>
        <w:jc w:val="both"/>
        <w:ind w:left="1300" w:firstLine="652"/>
        <w:spacing w:after="0" w:line="213" w:lineRule="auto"/>
        <w:tabs>
          <w:tab w:leader="none" w:pos="259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an electronic copy (or an original if requested by the Borrower Representative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49"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8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Representative and the Administrative Agent at the time or times prescribed by Applicable Law and at such time or times reasonably requested by the Borrower Representative or the Administrative Agent such documentation prescribed by Applicable Law (including as prescribed by Section 1471(b)(3)(C)(i) of the Internal Revenue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41" w:lineRule="exact"/>
        <w:rPr>
          <w:sz w:val="20"/>
          <w:szCs w:val="20"/>
          <w:color w:val="auto"/>
        </w:rPr>
      </w:pPr>
    </w:p>
    <w:p>
      <w:pPr>
        <w:jc w:val="both"/>
        <w:ind w:firstLine="656"/>
        <w:spacing w:after="0" w:line="227" w:lineRule="auto"/>
        <w:tabs>
          <w:tab w:leader="none" w:pos="1284"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17" w:lineRule="exact"/>
        <w:rPr>
          <w:rFonts w:ascii="Times New Roman" w:cs="Times New Roman" w:eastAsia="Times New Roman" w:hAnsi="Times New Roman"/>
          <w:sz w:val="19"/>
          <w:szCs w:val="19"/>
          <w:color w:val="auto"/>
        </w:rPr>
      </w:pPr>
    </w:p>
    <w:p>
      <w:pPr>
        <w:ind w:left="320" w:hanging="114"/>
        <w:spacing w:after="0"/>
        <w:tabs>
          <w:tab w:leader="none" w:pos="32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45 -</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6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subsection (plus any penalties, interest or other charges imposed by the relevant Governmental Authority) in the event that such indemnified party is required to repay such refund to such Governmental Authority. Notwithstanding anything to the contrary in this subsection, in no</w:t>
      </w:r>
    </w:p>
    <w:p>
      <w:pPr>
        <w:spacing w:after="0" w:line="211" w:lineRule="auto"/>
        <w:rPr>
          <w:sz w:val="20"/>
          <w:szCs w:val="20"/>
          <w:color w:val="auto"/>
        </w:rPr>
      </w:pPr>
      <w:r>
        <w:rPr>
          <w:rFonts w:ascii="Times New Roman" w:cs="Times New Roman" w:eastAsia="Times New Roman" w:hAnsi="Times New Roman"/>
          <w:sz w:val="20"/>
          <w:szCs w:val="20"/>
          <w:color w:val="auto"/>
        </w:rPr>
        <w:t>event will any indemnified party be required to pay any amount to an indemnifying party pursuant to this subsection the payment of which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would place such indemnified party in a less favorable net after-Tax position than such indemnified party would have been in if the Tax subject to indemnification and giving rise to such refund had not been deducted, withheld or otherwise imposed and the indemnification</w:t>
      </w:r>
    </w:p>
    <w:p>
      <w:pPr>
        <w:spacing w:after="0" w:line="211" w:lineRule="auto"/>
        <w:rPr>
          <w:sz w:val="20"/>
          <w:szCs w:val="20"/>
          <w:color w:val="auto"/>
        </w:rPr>
      </w:pPr>
      <w:r>
        <w:rPr>
          <w:rFonts w:ascii="Times New Roman" w:cs="Times New Roman" w:eastAsia="Times New Roman" w:hAnsi="Times New Roman"/>
          <w:sz w:val="20"/>
          <w:szCs w:val="20"/>
          <w:color w:val="auto"/>
        </w:rPr>
        <w:t>payments or additional amounts with respect to such Tax had never been paid. This subsection shall not be construed to require any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indemnified party to make available its Tax returns (or any other information relating to its Taxes that it deems confidential) to the indemnifying party or any other Person or to apply for, seek or pursue any refund on behalf of the indemnifying party.</w:t>
      </w:r>
    </w:p>
    <w:p>
      <w:pPr>
        <w:spacing w:after="0" w:line="148" w:lineRule="exact"/>
        <w:rPr>
          <w:sz w:val="20"/>
          <w:szCs w:val="20"/>
          <w:color w:val="auto"/>
        </w:rPr>
      </w:pPr>
    </w:p>
    <w:p>
      <w:pPr>
        <w:jc w:val="both"/>
        <w:ind w:firstLine="656"/>
        <w:spacing w:after="0" w:line="226" w:lineRule="auto"/>
        <w:tabs>
          <w:tab w:leader="none" w:pos="129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ARTICLE IV. Yield Protection, Etc.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4.1. Additional Costs; Capital Adequacy</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2" w:lineRule="auto"/>
        <w:tabs>
          <w:tab w:leader="none" w:pos="1286"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Adequacy</w:t>
      </w:r>
      <w:r>
        <w:rPr>
          <w:rFonts w:ascii="Times New Roman" w:cs="Times New Roman" w:eastAsia="Times New Roman" w:hAnsi="Times New Roman"/>
          <w:sz w:val="20"/>
          <w:szCs w:val="20"/>
          <w:color w:val="auto"/>
        </w:rPr>
        <w:t>. If any Lender or any Participant determines that, as the result of a Regulatory Change, compliance with any law or regulation or with any guideline or request from any central bank or other Governmental Authority (whether or not having the force of law) affects or would affect the amount of capital or liquidity required or expected to be maintained by such Lender or such Participant, or any corporation controlling such Lender or such Participant, as a consequence of, or with reference to, such Lender’s Commitments or its making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from time to time, within thirty (30) days after written demand by such Lender or such Participant, the Borrowers jointly and severally agree to pay to such Lender or such Participant additional amounts sufficient to compensate such Lender or such Participant or such corporation controlling such Lender or such Participant to the extent that such Lender or such Participant determines such increase in capital is allocable to such Lender’s or such Participant’s obligations hereunder.</w:t>
      </w:r>
    </w:p>
    <w:p>
      <w:pPr>
        <w:spacing w:after="0" w:line="142"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Costs</w:t>
      </w:r>
      <w:r>
        <w:rPr>
          <w:rFonts w:ascii="Times New Roman" w:cs="Times New Roman" w:eastAsia="Times New Roman" w:hAnsi="Times New Roman"/>
          <w:sz w:val="20"/>
          <w:szCs w:val="20"/>
          <w:color w:val="auto"/>
        </w:rPr>
        <w:t>. In addition to and not in limitation of the immediately preceding subsection, the Borrowers jointly and severally agree to pay promptly to the Administrative Agent for the account of a Lender from time to time such amounts as such Lender may determine to be necessary to compensate such Lender for any costs incurred by such Lender that it determines are attributable to its making or maintaining of any Loans or its obligation to make any Loans hereunder, any reduction in any amount receivable by such Lender under this Agreement or any of the other Loan Documents in respect of any of such Loans or such obligation or the maintenance by such Lender of capital in respect of its Loans or its Commitments (such increases in costs and reductions in amounts receivable being herein called “</w:t>
      </w:r>
      <w:r>
        <w:rPr>
          <w:rFonts w:ascii="Times New Roman" w:cs="Times New Roman" w:eastAsia="Times New Roman" w:hAnsi="Times New Roman"/>
          <w:sz w:val="20"/>
          <w:szCs w:val="20"/>
          <w:b w:val="1"/>
          <w:bCs w:val="1"/>
          <w:color w:val="auto"/>
        </w:rPr>
        <w:t>Additional Costs</w:t>
      </w:r>
      <w:r>
        <w:rPr>
          <w:rFonts w:ascii="Times New Roman" w:cs="Times New Roman" w:eastAsia="Times New Roman" w:hAnsi="Times New Roman"/>
          <w:sz w:val="20"/>
          <w:szCs w:val="20"/>
          <w:color w:val="auto"/>
        </w:rPr>
        <w:t>”), resulting from any Regulatory Change that: (i) changes the basis of taxation of any amounts payable to such Lender under this Agreement or any of the other Loan Documents in respect of any of such Loans or its Commitments (other than Indemnified Taxes, Taxes described in clauses (b) through (d) of the definition of Excluded Taxes, and Connection Income Taxes), or (ii) imposes or modifies any reserve, special deposit, liquidity or similar requirements (including pursuant to regulations issued from time to time by the FRB for determining the maximum reserve requirement) relating to any extensions of credit or other assets of, or any deposits with or other liabilities of, or other credit extended by, or any other acquisition of funds by, such Lender (or its parent corporation), or any commitment of such Lender (including, without limitation, the Commitments of such Lender hereunder), or (iii) has or would have the effect of reducing the rate of return on capital of such Lender (other than on account of Taxes) as a consequence of such Lender’s obligations hereunder to a level below that which such Lender could have achieved but for such Regulatory Change (taking into consideration such Lender’s policies with respect to capital adequacy).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1"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46 -</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55" w:lineRule="exact"/>
        <w:rPr>
          <w:sz w:val="20"/>
          <w:szCs w:val="20"/>
          <w:color w:val="auto"/>
        </w:rPr>
      </w:pPr>
    </w:p>
    <w:p>
      <w:pPr>
        <w:ind w:left="1300" w:hanging="644"/>
        <w:spacing w:after="0"/>
        <w:tabs>
          <w:tab w:leader="none" w:pos="130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Lender’s Suspension of SOFR Loans</w:t>
      </w:r>
      <w:r>
        <w:rPr>
          <w:rFonts w:ascii="Times New Roman" w:cs="Times New Roman" w:eastAsia="Times New Roman" w:hAnsi="Times New Roman"/>
          <w:sz w:val="19"/>
          <w:szCs w:val="19"/>
          <w:color w:val="auto"/>
        </w:rPr>
        <w:t>. Without limiting the effect of the provisions of the immediately preceding subsections</w:t>
      </w:r>
    </w:p>
    <w:p>
      <w:pPr>
        <w:ind w:left="280" w:hanging="272"/>
        <w:spacing w:after="0" w:line="222" w:lineRule="auto"/>
        <w:tabs>
          <w:tab w:leader="none" w:pos="28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(b), if by reason of any Regulatory Change, any Lender either (i) incurs Additional Costs based on or measured by the excess above a</w:t>
      </w:r>
    </w:p>
    <w:p>
      <w:pPr>
        <w:spacing w:after="0" w:line="211" w:lineRule="auto"/>
        <w:rPr>
          <w:sz w:val="20"/>
          <w:szCs w:val="20"/>
          <w:color w:val="auto"/>
        </w:rPr>
      </w:pPr>
      <w:r>
        <w:rPr>
          <w:rFonts w:ascii="Times New Roman" w:cs="Times New Roman" w:eastAsia="Times New Roman" w:hAnsi="Times New Roman"/>
          <w:sz w:val="20"/>
          <w:szCs w:val="20"/>
          <w:color w:val="auto"/>
        </w:rPr>
        <w:t>specified level of the amount of a category of deposits or other liabilities of such Lender that includes deposits by reference to which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interest rate on SOFR Loans is determined as provided in this Agreement or a category of extensions of credit or other assets of such Lender that includes SOFR Loans or (ii) becomes subject to restrictions on the amount of such a category of liabilities or assets that it may hold,</w:t>
      </w:r>
    </w:p>
    <w:p>
      <w:pPr>
        <w:spacing w:after="0" w:line="211" w:lineRule="auto"/>
        <w:rPr>
          <w:sz w:val="20"/>
          <w:szCs w:val="20"/>
          <w:color w:val="auto"/>
        </w:rPr>
      </w:pPr>
      <w:r>
        <w:rPr>
          <w:rFonts w:ascii="Times New Roman" w:cs="Times New Roman" w:eastAsia="Times New Roman" w:hAnsi="Times New Roman"/>
          <w:sz w:val="20"/>
          <w:szCs w:val="20"/>
          <w:color w:val="auto"/>
        </w:rPr>
        <w:t>then, if such Lender so elects by notice to the Borrower Representative (with a copy to the Administrative Agent), the obligation of such</w:t>
      </w:r>
    </w:p>
    <w:p>
      <w:pPr>
        <w:spacing w:after="0" w:line="221" w:lineRule="auto"/>
        <w:rPr>
          <w:sz w:val="20"/>
          <w:szCs w:val="20"/>
          <w:color w:val="auto"/>
        </w:rPr>
      </w:pPr>
      <w:r>
        <w:rPr>
          <w:rFonts w:ascii="Times New Roman" w:cs="Times New Roman" w:eastAsia="Times New Roman" w:hAnsi="Times New Roman"/>
          <w:sz w:val="20"/>
          <w:szCs w:val="20"/>
          <w:color w:val="auto"/>
        </w:rPr>
        <w:t>Lender to make or Continue, or to Convert Base Rate Loans into, SOFR Loans hereunder shall be suspended until such Regulatory Change ceases to be in effect (in which case the provisions of Section 4.5. shall apply).</w:t>
      </w:r>
    </w:p>
    <w:p>
      <w:pPr>
        <w:spacing w:after="0" w:line="148"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1" w:lineRule="auto"/>
        <w:tabs>
          <w:tab w:leader="none" w:pos="128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Notification and Determination of Additional Costs</w:t>
      </w:r>
      <w:r>
        <w:rPr>
          <w:rFonts w:ascii="Times New Roman" w:cs="Times New Roman" w:eastAsia="Times New Roman" w:hAnsi="Times New Roman"/>
          <w:sz w:val="19"/>
          <w:szCs w:val="19"/>
          <w:color w:val="auto"/>
        </w:rPr>
        <w:t>. Each of the Administrative Agent, each Lender, and each Participant, as the case may be, agrees to notify the Borrower Representative (and in the case of a Lender or a Participant, the Administrative Agent as well)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any Borrower from any of its obligations hereunder. Notwithstanding the foregoing sentence, the Borrowers shall not be required to compensate a Lender or a Participant pursuant to this Section for any increased costs incurred or reductions suffered more than nine months prior to the date that such Lender or such Participant, as the case may be, notifies the Borrower Representative of the Regulatory Change giving rise to such increased costs or reductions, and of such Lender’s or such Participant’s intention to claim compensation therefor (except that, if the Regulatory Change giving rise to such increased costs or reductions is retroactive, then the nine-month period referred to above shall be extended to include the period of retroactive effect thereof). The Administrative Agent, each Lender and each Participant, as the case may be, agrees to furnish to the Borrower Representative (and in the case of a Lender or a Participant to the Administrative Agent as well)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4.2. Suspension of SOFR Loans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right="20" w:firstLine="656"/>
        <w:spacing w:after="0"/>
        <w:tabs>
          <w:tab w:leader="none" w:pos="128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 Affecting Benchmark Availability</w:t>
      </w:r>
      <w:r>
        <w:rPr>
          <w:rFonts w:ascii="Times New Roman" w:cs="Times New Roman" w:eastAsia="Times New Roman" w:hAnsi="Times New Roman"/>
          <w:sz w:val="20"/>
          <w:szCs w:val="20"/>
          <w:color w:val="auto"/>
        </w:rPr>
        <w:t xml:space="preserve">. Anything herein to the contrary notwithstanding, if, on or prior to the determination of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for any Interest Period:</w:t>
      </w:r>
    </w:p>
    <w:p>
      <w:pPr>
        <w:spacing w:after="0" w:line="134"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reasonably determines (which determination shall be conclusive) that adequate and reasonable means do not exist for ascertaining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(including, without limitation, because SOFR is not available or published on a current basis), for such Interest Period; or</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the Administrative Agent reasonably determines (which determination shall be conclusive) that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does not adequately and fairly represent the cost to any Lender of making or maintaining SOFR Loans for such Interest Period or (B) the Administrative Agent is advised by the Requisite Lenders that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does not adequately and fairly represent the cost to the Lenders of making or maintaining SOFR Loans for such Interest Period;</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then the Administrative Agent shall give the Borrower Representative and each Lender prompt notice thereof and, (w) any obligation of the Lenders to make additional SOFR Loans and the right of the Borrowers to Continue SOFR Loans or Convert Loans into SOFR Loans shall be suspended (to the extent of the affected SOFR Loans or the affected Interest Periods), (x) the Borrowers may revoke any pending request for a borrowing of, Continuation of, or Conversion of SOFR Loans (to the extent of the affected SOFR Loans or the affected Interest Periods) or, failing that, the Borrowers will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- 47 -</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Converted any such request into a request for a borrowing of or Conversion to, Base Rate Loans in the amount specified there, and (y) any outstanding affected SOFR Loans will be deemed to have been converted into Base Rate Loans at the end of the applicable Interest Period.</w:t>
      </w:r>
    </w:p>
    <w:p>
      <w:pPr>
        <w:spacing w:after="0" w:line="146"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87"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Borrower Representative so long as the Administrative Agent has not received, by such time, written notice of objection to such amendment from Lenders comprising the Requisite Lenders. No replacement of a Benchmark with a Benchmark Replacement pursuant to this Section 4.2(b)(i)(A) will occur prior to the applicable Benchmark Transition Start Date.</w:t>
      </w:r>
    </w:p>
    <w:p>
      <w:pPr>
        <w:spacing w:after="0" w:line="133"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Derivatives Contract shall be deemed to be a “Loan Document” for purposes of this Section 4.2(b).</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5"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6"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The Administrative Agent will promptly notify the Borrower Representative and the Lenders of (A) the implementation of any Benchmark Replacement and (B) the effectiveness of any Conforming Changes in connection with the use, administration, adoption or implementation of a Benchmark Replacement. The Administrative Agent will promptly notify the Borrower Representative of the removal or reinstatement of any tenor of a Benchmark pursuant to Section 4.2(b)(iv). Any determination, decision or election that may be made by the Administrative Agent or, if applicable, any Lender (or group of Lenders) pursuant to this Section 4.2(b),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4.2(b).</w:t>
      </w:r>
    </w:p>
    <w:p>
      <w:pPr>
        <w:spacing w:after="0" w:line="155"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5"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- 48 -</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62"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0"/>
          <w:szCs w:val="20"/>
          <w:color w:val="auto"/>
        </w:rPr>
        <w:t>Benchmark (including a Benchmark Replacement) or (2) is not, or is no longer, subject to an announcement that it is not or will not be representative or in compliance with or aligned with the International Organization of Securities Commissions (IOSCO)</w:t>
      </w:r>
    </w:p>
    <w:p>
      <w:pPr>
        <w:ind w:left="660"/>
        <w:spacing w:after="0" w:line="212" w:lineRule="auto"/>
        <w:rPr>
          <w:sz w:val="20"/>
          <w:szCs w:val="20"/>
          <w:color w:val="auto"/>
        </w:rPr>
      </w:pPr>
      <w:r>
        <w:rPr>
          <w:rFonts w:ascii="Times New Roman" w:cs="Times New Roman" w:eastAsia="Times New Roman" w:hAnsi="Times New Roman"/>
          <w:sz w:val="20"/>
          <w:szCs w:val="20"/>
          <w:color w:val="auto"/>
        </w:rPr>
        <w:t>Principles for Financial Benchmarks for a Benchmark (including a Benchmark Replacement), then the Administrative Agent may</w:t>
      </w:r>
    </w:p>
    <w:p>
      <w:pPr>
        <w:spacing w:after="0" w:line="1"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modify the definition of “Interest Period” (or any similar or analogous definition) for all Benchmark settings at or after such time to reinstate such previously removed tenor.</w:t>
      </w:r>
    </w:p>
    <w:p>
      <w:pPr>
        <w:spacing w:after="0" w:line="148" w:lineRule="exact"/>
        <w:rPr>
          <w:sz w:val="20"/>
          <w:szCs w:val="20"/>
          <w:color w:val="auto"/>
        </w:rPr>
      </w:pPr>
    </w:p>
    <w:p>
      <w:pPr>
        <w:jc w:val="both"/>
        <w:ind w:left="660" w:firstLine="644"/>
        <w:spacing w:after="0" w:line="213" w:lineRule="auto"/>
        <w:tabs>
          <w:tab w:leader="none" w:pos="19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 Representative’s receipt of notice of the commencement of a Benchmark Unavailability Period, (A) the Borrowers may revoke any pending request for a borrowing of, conversion to or continuation of SOFR Loans to be made, converted or continued during any Benchmark Unavailability Period and, failing that, the Borrowers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4.3. Illegality</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Daily /Simple SOFR, the Term SOFR Reference Rate</w:t>
      </w:r>
      <w:r>
        <w:rPr>
          <w:rFonts w:ascii="Times New Roman" w:cs="Times New Roman" w:eastAsia="Times New Roman" w:hAnsi="Times New Roman"/>
          <w:sz w:val="19"/>
          <w:szCs w:val="19"/>
          <w:color w:val="FF0000"/>
          <w:strike w:val="1"/>
        </w:rPr>
        <w:t>, Adjusted Term SOFR</w:t>
      </w:r>
      <w:r>
        <w:rPr>
          <w:rFonts w:ascii="Times New Roman" w:cs="Times New Roman" w:eastAsia="Times New Roman" w:hAnsi="Times New Roman"/>
          <w:sz w:val="19"/>
          <w:szCs w:val="19"/>
          <w:color w:val="auto"/>
        </w:rPr>
        <w:t xml:space="preserve"> or Term SOFR, such Lender shall promptly give notice thereof to the Administrative Agent and the Administrative Agent shall promptly give notice to the Borrower Representative and the other Lenders. Thereafter, until the Administrative Agent notifies the Borrower Representative that such circumstances no longer exist, (i) any obligation of the Lenders to make SOFR Loans, and any right of the Borrower to convert any Loan to a SOFR Loan or continue any Loan as a SOFR Loan, shall be suspended and (ii) if necessary to avoid such illegality, the Administrative Agent shall compute the Base Rate without reference to clause (c) of the definition of “Base Rate”, in each case until each such affected Lender notifies the Administrative Agent and the Borrower Representative that the circumstances giving rise to such determination no longer exist. Upon receipt of such notice, the Borrowers shall, if necessary to avoid such illegality, upon demand from any Lender (with a copy to the Administrative Agent), prepay or, if applicable, convert all SOFR Loans to Base Rate Loans (in each case, if necessary to avoid such illegality, the Administrative Agent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Borrowers shall also pay accrued interest on the amount so prepaid or converted, together with any additional amounts required pursuant to Section 4.4.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4.4. Compensation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Borrowers jointly and severally agree to pay to the Administrative Agent for the account of each Lender, upon the request of the Administrative Agent, such amount or amounts as the Administrative Agent shall determine in its sole discretion shall be sufficient to compensate such Lender for any loss, cost or expense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- 49 -</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62" w:lineRule="exact"/>
        <w:rPr>
          <w:sz w:val="20"/>
          <w:szCs w:val="20"/>
          <w:color w:val="auto"/>
        </w:rPr>
      </w:pPr>
    </w:p>
    <w:p>
      <w:pPr>
        <w:jc w:val="both"/>
        <w:ind w:firstLine="656"/>
        <w:spacing w:after="0" w:line="226" w:lineRule="auto"/>
        <w:tabs>
          <w:tab w:leader="none" w:pos="128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or prepayment (whether mandatory or optional) of a SOFR Loan by a Borrower, or Conversion of a SOFR Loan made by such Lender for any reason (including, without limitation, acceleration) on a date other than the last day of the Interest Period for such Loan;</w:t>
      </w:r>
    </w:p>
    <w:p>
      <w:pPr>
        <w:spacing w:after="0" w:line="133"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Borrower for any reason (including, without limitation, the failure of any of the applicable conditions precedent specified in Section 5.2. to be satisfied) to borrow a SOFR Loan from such Lender on the date for such borrowing, or to Convert a Base Rate Loan into a SOFR Loan or Continue a SOFR Loan on the requested date of such Conversion or Continuation,</w:t>
      </w:r>
    </w:p>
    <w:p>
      <w:pPr>
        <w:spacing w:after="0" w:line="13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of a Borrower to prepay any SOFR Loan on a date specified therefor in a notice of prepayment, or</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of any SOFR Loan other than on the last day of the Interest Period applicable thereto as a result of a request by a Borrower pursuant to Section 4.6.</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Not in limitation of the foregoing, such compensation shall include, without limitation, in the case of a SOFR Loan, an amount equal to the then present value of (A) the amount of interest that would have accrued on such SOFR Loan for the remainder of the Interest Period at the rate applicable to such SOFR Loan, less (B) the amount of interest that would accrue on the same SOFR Loan for the same period if SOFR were set on the date on which such SOFR Loan was repaid, prepaid, Converted or assigned or the date on which a Borrower failed to borrow, Convert into, Continue or prepay such SOFR Loan, as applicable, calculating present value by using as a discount rate SOFR quoted on such date. Upon the Borrower Representative’s request, the Administrative Agent shall provide the Borrower Representative with a statement setting forth the basis for requesting such compensation and the method for determining the amount thereof. Any such statement shall be conclusive absent manifest error.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4.5. Treatment of Affected Loans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If the obligation of any Lender to make SOFR Loans or to Continue, or to Convert Base Rate Loans into, SOFR Loans shall be suspended pursuant to Section 4.1.(c), Section 4.2. or Section 4.3. then such Lender’s SOFR Loans shall be automatically Converted into Base Rate Loans on the last day(s) of the then current Interest Period(s) for SOFR Loans (or, in the case of a Conversion required by Section 4.1.(c), Section 4.2., or Section 4.3. on such earlier date as such Lender or the Administrative Agent, as applicable, may specify to the Borrower Representative with a copy to the Administrative Agent, if applicable) and, unless and until such Lender gives notice as provided below that the circumstances specified in Section 4.1., Section 4.2. or Section 4.3. that gave rise to such Conversion no longer exist:</w:t>
      </w:r>
    </w:p>
    <w:p>
      <w:pPr>
        <w:spacing w:after="0" w:line="137" w:lineRule="exact"/>
        <w:rPr>
          <w:sz w:val="20"/>
          <w:szCs w:val="20"/>
          <w:color w:val="auto"/>
        </w:rPr>
      </w:pPr>
    </w:p>
    <w:p>
      <w:pPr>
        <w:ind w:left="660" w:firstLine="644"/>
        <w:spacing w:after="0"/>
        <w:tabs>
          <w:tab w:leader="none" w:pos="195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Lender’s SOFR Loans have been so Converted, all payments and prepayments of principal that would otherwise be applied to such Lender’s SOFR Loans shall be applied instead to its Base Rate Loans; and</w:t>
      </w:r>
    </w:p>
    <w:p>
      <w:pPr>
        <w:spacing w:after="0" w:line="134"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Loans that would otherwise be made or Continued by such Lender as SOFR Loans shall be made or Continued instead as Base Rate Loans, and all Base Rate Loans of such Lender that would otherwise be Converted into SOFR Loans shall remain as Base Rate Loans.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such Lender or the Administrative Agent, as applicable, gives notice to the Borrower Representative (with a copy to the Administrative Agent, if applicable) that the circumstances specified in Section 4.1.(c) or 4.3. that gave rise to the Conversion of such Lender’s SOFR Loans pursuant to this Section no longer exist (which such Lender or the Administrative Agent, as applicable, agrees to do promptly upon such circumstances ceasing to exist) at a time when SOFR Loans made by other Lenders are outstanding, then such Lender’s Base Rate Loans shall be automatically Converted, on the first day(s) of the next succeeding Interest Period(s) for such outstanding SOFR Loans, to the extent necessary so that, after giving effect thereto, all Loans held by the Lenders holding SOFR Loans and by such Lender are held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- 50 -</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rata (as to principal amounts, Types and Interest Periods) in accordance with their respective Commitments.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4.6. Affected Lenders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If (a) a Lender requests compensation pursuant to Section 3.10. or 4.1., and the Requisite Lenders are not also doing the same, (b) the obligation of any Lender to make SOFR Loans or to Continue, or to Convert Base Rate Loans into, SOFR Loans shall be suspended pursuant to Section 4.1.(c) or 4.3. but the obligation of the Requisite Lenders shall not have been suspended under such Sections or (c) a Lender is a Non-Consenting Lender, then, so long as there does not then exist any Default or Event of Default, the Borrower Representative may demand that such Lender (the “Affected Lender”), and upon such demand the Affected Lender shall promptly, assign its Loans to an Eligible Assignee subject to and in accordance with the provisions of Section 12.5.(b) for a purchase price equal to (x) the aggregate principal balance of all Loans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any other Lender, or any Titled Agent be obligated in any way whatsoever to initiate any such replacement or to assist in finding an Eligible Assignee; provided that the failure or unwillingness of such Affected Lender to execute the Assignment and Assumption and other necessary documents shall not prevent or delay such assignment and the Assignment and Assumption and other necessary documents shall be automatically deemed to be fully authorized and executed by the Affected Lender if such Affected Lender does not promptly execute all documents reasonably requested to effect such assignment (and, if such Lender fails to deliver any Notes held by it, such Notes shall automatically be deemed canceled and such Lender shall be required to indemnify the Borrowers for any liabilities incurred by the Borrowers by reason of the failure of such Lender to deliver such Notes). The exercise by the Borrowers of their rights under this Section shall be at the Borrowers’ sole cost and expense and at no cost or expense to the Administrative Agent, the Affected Lender or any of the other Lenders. The terms of this Section shall not in any way limit any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4.7. Change of Lending Office</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Borrowers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61"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ARTICLE V.</w:t>
      </w:r>
      <w:r>
        <w:rPr>
          <w:sz w:val="20"/>
          <w:szCs w:val="20"/>
          <w:color w:val="auto"/>
        </w:rPr>
        <w:tab/>
      </w:r>
      <w:r>
        <w:rPr>
          <w:rFonts w:ascii="Times New Roman" w:cs="Times New Roman" w:eastAsia="Times New Roman" w:hAnsi="Times New Roman"/>
          <w:sz w:val="19"/>
          <w:szCs w:val="19"/>
          <w:b w:val="1"/>
          <w:bCs w:val="1"/>
          <w:color w:val="auto"/>
        </w:rPr>
        <w:t>Conditions Precedent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5.1. Initial Conditions Precedent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obligation of the Lenders to effect or permit the occurrence of the first Credit Event hereunder is subject to the satisfaction or waiver of the following conditions precedent:</w:t>
      </w:r>
    </w:p>
    <w:p>
      <w:pPr>
        <w:spacing w:after="0" w:line="119"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each of the following, in form and substance satisfactory to the Administrative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- 51 -</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62" w:lineRule="exact"/>
        <w:rPr>
          <w:sz w:val="20"/>
          <w:szCs w:val="20"/>
          <w:color w:val="auto"/>
        </w:rPr>
      </w:pPr>
    </w:p>
    <w:p>
      <w:pPr>
        <w:ind w:left="1740" w:hanging="636"/>
        <w:spacing w:after="0"/>
        <w:tabs>
          <w:tab w:leader="none" w:pos="174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Agreement executed by each of the parties hereto;</w:t>
      </w:r>
    </w:p>
    <w:p>
      <w:pPr>
        <w:spacing w:after="0" w:line="161" w:lineRule="exact"/>
        <w:rPr>
          <w:rFonts w:ascii="Times New Roman" w:cs="Times New Roman" w:eastAsia="Times New Roman" w:hAnsi="Times New Roman"/>
          <w:sz w:val="20"/>
          <w:szCs w:val="20"/>
          <w:color w:val="auto"/>
        </w:rPr>
      </w:pPr>
    </w:p>
    <w:p>
      <w:pPr>
        <w:ind w:left="460" w:firstLine="644"/>
        <w:spacing w:after="0"/>
        <w:tabs>
          <w:tab w:leader="none" w:pos="1755"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executed by the Borrowers, payable to each applicable Lender, other than any Lender that has requested that it not receive Notes and complying with the terms of Section 2.12.(a);</w:t>
      </w:r>
    </w:p>
    <w:p>
      <w:pPr>
        <w:spacing w:after="0" w:line="134" w:lineRule="exact"/>
        <w:rPr>
          <w:rFonts w:ascii="Times New Roman" w:cs="Times New Roman" w:eastAsia="Times New Roman" w:hAnsi="Times New Roman"/>
          <w:sz w:val="20"/>
          <w:szCs w:val="20"/>
          <w:color w:val="auto"/>
        </w:rPr>
      </w:pPr>
    </w:p>
    <w:p>
      <w:pPr>
        <w:jc w:val="both"/>
        <w:ind w:left="460" w:firstLine="644"/>
        <w:spacing w:after="0" w:line="226" w:lineRule="auto"/>
        <w:tabs>
          <w:tab w:leader="none" w:pos="1756"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in form satisfactory to the Administrative Agent, that the entire outstanding principal amount of, and all accrued but unpaid interest on, the “Term B Loan” (as defined in the Existing Credit Agreement) shall have been repaid and satisfied in full on the Agreement Date substantially concurrently with the effectiveness of this Agreement;</w:t>
      </w:r>
    </w:p>
    <w:p>
      <w:pPr>
        <w:spacing w:after="0" w:line="146" w:lineRule="exact"/>
        <w:rPr>
          <w:rFonts w:ascii="Times New Roman" w:cs="Times New Roman" w:eastAsia="Times New Roman" w:hAnsi="Times New Roman"/>
          <w:sz w:val="20"/>
          <w:szCs w:val="20"/>
          <w:color w:val="auto"/>
        </w:rPr>
      </w:pPr>
    </w:p>
    <w:p>
      <w:pPr>
        <w:ind w:left="460" w:firstLine="644"/>
        <w:spacing w:after="0" w:line="233" w:lineRule="auto"/>
        <w:tabs>
          <w:tab w:leader="none" w:pos="1745"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or opinions of counsel to the Borrowers and the other Loan Parties, addressed to the Administrative Agent and the Lenders and covering the matters set forth in Exhibit N;</w:t>
      </w:r>
    </w:p>
    <w:p>
      <w:pPr>
        <w:spacing w:after="0" w:line="147" w:lineRule="exact"/>
        <w:rPr>
          <w:rFonts w:ascii="Times New Roman" w:cs="Times New Roman" w:eastAsia="Times New Roman" w:hAnsi="Times New Roman"/>
          <w:sz w:val="20"/>
          <w:szCs w:val="20"/>
          <w:color w:val="auto"/>
        </w:rPr>
      </w:pPr>
    </w:p>
    <w:p>
      <w:pPr>
        <w:jc w:val="both"/>
        <w:ind w:left="460" w:firstLine="644"/>
        <w:spacing w:after="0" w:line="226" w:lineRule="auto"/>
        <w:tabs>
          <w:tab w:leader="none" w:pos="1744"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133" w:lineRule="exact"/>
        <w:rPr>
          <w:rFonts w:ascii="Times New Roman" w:cs="Times New Roman" w:eastAsia="Times New Roman" w:hAnsi="Times New Roman"/>
          <w:sz w:val="20"/>
          <w:szCs w:val="20"/>
          <w:color w:val="auto"/>
        </w:rPr>
      </w:pPr>
    </w:p>
    <w:p>
      <w:pPr>
        <w:jc w:val="both"/>
        <w:ind w:left="460" w:firstLine="644"/>
        <w:spacing w:after="0" w:line="220" w:lineRule="auto"/>
        <w:tabs>
          <w:tab w:leader="none" w:pos="1745"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spacing w:after="0" w:line="133" w:lineRule="exact"/>
        <w:rPr>
          <w:rFonts w:ascii="Times New Roman" w:cs="Times New Roman" w:eastAsia="Times New Roman" w:hAnsi="Times New Roman"/>
          <w:sz w:val="20"/>
          <w:szCs w:val="20"/>
          <w:color w:val="auto"/>
        </w:rPr>
      </w:pPr>
    </w:p>
    <w:p>
      <w:pPr>
        <w:jc w:val="both"/>
        <w:ind w:left="460" w:firstLine="644"/>
        <w:spacing w:after="0" w:line="222" w:lineRule="auto"/>
        <w:tabs>
          <w:tab w:leader="none" w:pos="1745"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Representative, authorized to execute and deliver on behalf of each Borrower Notices of Borrowing, Notices of Conversion and Notices of Continuation;</w:t>
      </w:r>
    </w:p>
    <w:p>
      <w:pPr>
        <w:spacing w:after="0" w:line="134" w:lineRule="exact"/>
        <w:rPr>
          <w:rFonts w:ascii="Times New Roman" w:cs="Times New Roman" w:eastAsia="Times New Roman" w:hAnsi="Times New Roman"/>
          <w:sz w:val="20"/>
          <w:szCs w:val="20"/>
          <w:color w:val="auto"/>
        </w:rPr>
      </w:pPr>
    </w:p>
    <w:p>
      <w:pPr>
        <w:jc w:val="both"/>
        <w:ind w:left="460" w:firstLine="644"/>
        <w:spacing w:after="0" w:line="220" w:lineRule="auto"/>
        <w:tabs>
          <w:tab w:leader="none" w:pos="1747"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certified by the Secretary or Assistant Secretary (or other individual performing similar functions) of each Loan Party of (A) such Loan Party’s by-laws, if a corporation, operating agreement, if a limited liability company,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133" w:lineRule="exact"/>
        <w:rPr>
          <w:rFonts w:ascii="Times New Roman" w:cs="Times New Roman" w:eastAsia="Times New Roman" w:hAnsi="Times New Roman"/>
          <w:sz w:val="20"/>
          <w:szCs w:val="20"/>
          <w:color w:val="auto"/>
        </w:rPr>
      </w:pPr>
    </w:p>
    <w:p>
      <w:pPr>
        <w:ind w:left="460" w:firstLine="644"/>
        <w:spacing w:after="0"/>
        <w:tabs>
          <w:tab w:leader="none" w:pos="1745"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Compliance Certificate for the Parent calculated on a pro forma basis for the Parent’s fiscal quarter ended September 30, 2024;</w:t>
      </w:r>
    </w:p>
    <w:p>
      <w:pPr>
        <w:spacing w:after="0" w:line="134" w:lineRule="exact"/>
        <w:rPr>
          <w:rFonts w:ascii="Times New Roman" w:cs="Times New Roman" w:eastAsia="Times New Roman" w:hAnsi="Times New Roman"/>
          <w:sz w:val="20"/>
          <w:szCs w:val="20"/>
          <w:color w:val="auto"/>
        </w:rPr>
      </w:pPr>
    </w:p>
    <w:p>
      <w:pPr>
        <w:ind w:left="1740" w:hanging="636"/>
        <w:spacing w:after="0"/>
        <w:tabs>
          <w:tab w:leader="none" w:pos="174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Disbursement Instruction Agreement effective as of the Agreement Date;</w:t>
      </w:r>
    </w:p>
    <w:p>
      <w:pPr>
        <w:spacing w:after="0" w:line="175" w:lineRule="exact"/>
        <w:rPr>
          <w:rFonts w:ascii="Times New Roman" w:cs="Times New Roman" w:eastAsia="Times New Roman" w:hAnsi="Times New Roman"/>
          <w:sz w:val="20"/>
          <w:szCs w:val="20"/>
          <w:color w:val="auto"/>
        </w:rPr>
      </w:pPr>
    </w:p>
    <w:p>
      <w:pPr>
        <w:jc w:val="both"/>
        <w:ind w:left="460" w:firstLine="644"/>
        <w:spacing w:after="0" w:line="226" w:lineRule="auto"/>
        <w:tabs>
          <w:tab w:leader="none" w:pos="1745"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Fees, if any, then due and payable under Section 3.5., together with all other fees, expenses and reimbursement amounts due and payable to the Administrative Agent and any of the Lenders, including without limitation, the fees and expenses of counsel to the Administrative Agent, have been paid; and</w:t>
      </w:r>
    </w:p>
    <w:p>
      <w:pPr>
        <w:spacing w:after="0" w:line="133" w:lineRule="exact"/>
        <w:rPr>
          <w:rFonts w:ascii="Times New Roman" w:cs="Times New Roman" w:eastAsia="Times New Roman" w:hAnsi="Times New Roman"/>
          <w:sz w:val="20"/>
          <w:szCs w:val="20"/>
          <w:color w:val="auto"/>
        </w:rPr>
      </w:pPr>
    </w:p>
    <w:p>
      <w:pPr>
        <w:ind w:left="460" w:firstLine="644"/>
        <w:spacing w:after="0"/>
        <w:tabs>
          <w:tab w:leader="none" w:pos="1745"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agreements and instruments as the Administrative Agent, or any Lender (through the Administrative Agent), may reasonably request; and</w:t>
      </w:r>
    </w:p>
    <w:p>
      <w:pPr>
        <w:spacing w:after="0" w:line="134" w:lineRule="exact"/>
        <w:rPr>
          <w:rFonts w:ascii="Times New Roman" w:cs="Times New Roman" w:eastAsia="Times New Roman" w:hAnsi="Times New Roman"/>
          <w:sz w:val="20"/>
          <w:szCs w:val="20"/>
          <w:color w:val="auto"/>
        </w:rPr>
      </w:pPr>
    </w:p>
    <w:p>
      <w:pPr>
        <w:ind w:left="1100" w:hanging="644"/>
        <w:spacing w:after="0"/>
        <w:tabs>
          <w:tab w:leader="none" w:pos="11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good faith judgment of the Administrative Agent:</w:t>
      </w:r>
    </w:p>
    <w:p>
      <w:pPr>
        <w:spacing w:after="0" w:line="175" w:lineRule="exact"/>
        <w:rPr>
          <w:rFonts w:ascii="Times New Roman" w:cs="Times New Roman" w:eastAsia="Times New Roman" w:hAnsi="Times New Roman"/>
          <w:sz w:val="20"/>
          <w:szCs w:val="20"/>
          <w:color w:val="auto"/>
        </w:rPr>
      </w:pPr>
    </w:p>
    <w:p>
      <w:pPr>
        <w:ind w:left="460" w:firstLine="644"/>
        <w:spacing w:after="0" w:line="233" w:lineRule="auto"/>
        <w:tabs>
          <w:tab w:leader="none" w:pos="175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or become known to the Administrative Agent or any of the Lenders any event, condition, situation or status since the date of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- 52 -</w:t>
      </w:r>
    </w:p>
    <w:p>
      <w:pPr>
        <w:sectPr>
          <w:pgSz w:w="11900" w:h="16838" w:orient="portrait"/>
          <w:cols w:equalWidth="0" w:num="1">
            <w:col w:w="11040"/>
          </w:cols>
          <w:pgMar w:left="520" w:top="1440" w:right="339" w:bottom="1440" w:gutter="0" w:footer="0" w:header="0"/>
        </w:sectPr>
      </w:pPr>
    </w:p>
    <w:bookmarkStart w:id="259" w:name="page260"/>
    <w:bookmarkEnd w:id="259"/>
    <w:p>
      <w:pPr>
        <w:spacing w:after="0" w:line="162"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20"/>
          <w:szCs w:val="20"/>
          <w:color w:val="auto"/>
        </w:rPr>
        <w:t>contained in the financial and business projections, budgets, pro forma data and forecasts concerning the Parent and its Subsidiaries delivered to the Administrative Agent and the Lenders prior to the Agreement Date that has had or could reasonably be expected 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result in a Material Adverse Effect;</w:t>
      </w:r>
    </w:p>
    <w:p>
      <w:pPr>
        <w:spacing w:after="0" w:line="140" w:lineRule="exact"/>
        <w:rPr>
          <w:sz w:val="20"/>
          <w:szCs w:val="20"/>
          <w:color w:val="auto"/>
        </w:rPr>
      </w:pPr>
    </w:p>
    <w:p>
      <w:pPr>
        <w:jc w:val="both"/>
        <w:ind w:left="660" w:firstLine="644"/>
        <w:spacing w:after="0" w:line="222" w:lineRule="auto"/>
        <w:tabs>
          <w:tab w:leader="none" w:pos="1955"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any Loan Party to fulfill its obligations under the Loan Documents to which it is a party;</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1" w:lineRule="auto"/>
        <w:tabs>
          <w:tab w:leader="none" w:pos="1956"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Parent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w:t>
      </w:r>
    </w:p>
    <w:p>
      <w:pPr>
        <w:spacing w:after="0" w:line="1" w:lineRule="exact"/>
        <w:rPr>
          <w:rFonts w:ascii="Times New Roman" w:cs="Times New Roman" w:eastAsia="Times New Roman" w:hAnsi="Times New Roman"/>
          <w:sz w:val="19"/>
          <w:szCs w:val="19"/>
          <w:color w:val="auto"/>
        </w:rPr>
      </w:pPr>
    </w:p>
    <w:p>
      <w:pPr>
        <w:ind w:left="660" w:hanging="4"/>
        <w:spacing w:after="0" w:line="228" w:lineRule="auto"/>
        <w:tabs>
          <w:tab w:leader="none" w:pos="99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restrain or enjoin impose materially burdensome conditions on, or otherwise materially and adversely affect the ability of any Loan Party to fulfill its obligations under the Loan Documents to which it is a party; and</w:t>
      </w:r>
    </w:p>
    <w:p>
      <w:pPr>
        <w:spacing w:after="0" w:line="135"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Loan Party (i) shall have provided all information requested by the Administrative Agent and each Lender in order to comply with applicable “know your customer” and Anti-Money Laundering Laws, including without limitation, the Patriot Act and (ii) shall have delivered to the Administrative Agent, and directly to any Lender requesting the same, a Beneficial Ownership Certification in relation to it (unless such Borrower qualifies for an express exclusion from the “legal entity customer” definition under the Beneficial Ownership Regulations), in each case at least five (5) Business Days prior to the Agreement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5.2. Conditions Precedent to All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obligations of Lenders to make any Loans are subject to the further conditions precedent that: (a) no Default or Event of Default shall exist as of the date of the making of such Loan or would exist immediately after giving effect thereto; (b) the representations and warranties made or deemed made by each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w:t>
      </w:r>
    </w:p>
    <w:p>
      <w:pPr>
        <w:spacing w:after="0" w:line="1" w:lineRule="exact"/>
        <w:rPr>
          <w:sz w:val="20"/>
          <w:szCs w:val="20"/>
          <w:color w:val="auto"/>
        </w:rPr>
      </w:pPr>
    </w:p>
    <w:p>
      <w:pPr>
        <w:jc w:val="both"/>
        <w:ind w:firstLine="8"/>
        <w:spacing w:after="0" w:line="251" w:lineRule="auto"/>
        <w:tabs>
          <w:tab w:leader="none" w:pos="28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timely Notice of Borrowing. Each Credit Event shall constitute a certification by each Borrower to the effect set forth in the preceding sentence (both as of the date of the giving of notice relating to such Credit Event and, unless any Borrower otherwise notifies the Administrative Agent prior to the date of such Credit Event, as of the date of the occurrence of such Credit Event). In addition, each Borrower shall be deemed to have represented to the Administrative Agent and the Lenders at the time any Loan is made that all conditions to the making of such Loan contained in this Section 5.2. have been satisfied. Unless set forth in writing to the contrary, the making of its initial Loan by a Lender shall constitute a certification by such Lender to the Administrative Agent and the other Lenders that the conditions precedent for initial Loans set forth in Sections 5.1. and 5.2. that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7"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53 -</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not previously been waived by the Lenders in accordance with the terms of this Agreement have been satisfied.</w:t>
      </w:r>
    </w:p>
    <w:p>
      <w:pPr>
        <w:spacing w:after="0" w:line="18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ARTICLE VI. Representations and Warranties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6.1. Representations and Warranties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order to induce the Administrative Agent and each Lender to enter into this Agreement and to make Loans, each Borrower represents and warrants to the Administrative Agent and each Lender as follows:</w:t>
      </w:r>
    </w:p>
    <w:p>
      <w:pPr>
        <w:spacing w:after="0" w:line="119" w:lineRule="exact"/>
        <w:rPr>
          <w:sz w:val="20"/>
          <w:szCs w:val="20"/>
          <w:color w:val="auto"/>
        </w:rPr>
      </w:pPr>
    </w:p>
    <w:p>
      <w:pPr>
        <w:jc w:val="both"/>
        <w:ind w:firstLine="656"/>
        <w:spacing w:after="0" w:line="215" w:lineRule="auto"/>
        <w:tabs>
          <w:tab w:leader="none" w:pos="128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Power; Qualification</w:t>
      </w:r>
      <w:r>
        <w:rPr>
          <w:rFonts w:ascii="Times New Roman" w:cs="Times New Roman" w:eastAsia="Times New Roman" w:hAnsi="Times New Roman"/>
          <w:sz w:val="20"/>
          <w:szCs w:val="20"/>
          <w:color w:val="auto"/>
        </w:rPr>
        <w:t>. Each of the Borrowers, the other Loan Parties and their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None of the Borrowers, any other Loan Party or any other Subsidiary is an EEA Financial Institution.</w:t>
      </w:r>
    </w:p>
    <w:p>
      <w:pPr>
        <w:spacing w:after="0" w:line="150"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4"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Structure</w:t>
      </w:r>
      <w:r>
        <w:rPr>
          <w:rFonts w:ascii="Times New Roman" w:cs="Times New Roman" w:eastAsia="Times New Roman" w:hAnsi="Times New Roman"/>
          <w:sz w:val="20"/>
          <w:szCs w:val="20"/>
          <w:color w:val="auto"/>
        </w:rPr>
        <w:t>. Part I of Schedule 6.1.(b) is, as of the Agreement Date, a complete and correct list of all Subsidiaries of each of the Borrowers setting forth (i) for each such Subsidiary (A) the jurisdiction of organization of such Subsidiary and (B) whether such Subsidiary is a Material Subsidiary, and (ii) for each such Subsidiary that owns or leases a Property, and/or owns or holds a Structured Finance Investment</w:t>
      </w:r>
      <w:r>
        <w:rPr>
          <w:rFonts w:ascii="Times New Roman" w:cs="Times New Roman" w:eastAsia="Times New Roman" w:hAnsi="Times New Roman"/>
          <w:sz w:val="20"/>
          <w:szCs w:val="20"/>
          <w:u w:val="single" w:color="auto"/>
          <w:color w:val="0101FF"/>
        </w:rPr>
        <w:t>, Fund Investment</w:t>
      </w:r>
      <w:r>
        <w:rPr>
          <w:rFonts w:ascii="Times New Roman" w:cs="Times New Roman" w:eastAsia="Times New Roman" w:hAnsi="Times New Roman"/>
          <w:sz w:val="20"/>
          <w:szCs w:val="20"/>
          <w:color w:val="auto"/>
        </w:rPr>
        <w:t xml:space="preserve"> or Mortgage Receivable, that as of the Agreement Date is eligible for inclusion in a calculation of Unencumbered Asset Value (A) each Borrower or Subsidiary holding any direct or indirect Equity Interest in such Subsidiary, (B) the nature of the Equity Interests held by each such Person, and (C) the percentage of ownership represented by such Equity Interests. As of the Agreement Date, except as disclosed in such Schedule, (A) except with respect to (I) any Subsidiary which is not a Wholly Owned Subsidiary, (II) any Subsidiary which is a Single Asset Entity and (III) customary provisions in partnership agreements, lease agreements, mortgages and similar agreements in each case entered into in the ordinary course of business, each of the Borrowers and their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except with respect to (I) any Subsidiary which is not a Wholly Owned Subsidiary, (II) any Subsidiary which is a Single Asset Entity and (III) customary provisions in partnership agreements, lease agreements, mortgages and similar agreements, in each case entered into in the ordinary course of business,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each Borrower, including the correct legal name of such Person, the type of legal entity which each such Person is, and all Equity Interests in such Person held directly or indirectly by the applicable Borrower.</w:t>
      </w:r>
    </w:p>
    <w:p>
      <w:pPr>
        <w:spacing w:after="0" w:line="15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Loan Documents and Borrowings</w:t>
      </w:r>
      <w:r>
        <w:rPr>
          <w:rFonts w:ascii="Times New Roman" w:cs="Times New Roman" w:eastAsia="Times New Roman" w:hAnsi="Times New Roman"/>
          <w:sz w:val="20"/>
          <w:szCs w:val="20"/>
          <w:color w:val="auto"/>
        </w:rPr>
        <w:t>. Each Borrower has the right and power, and has taken all necessary action to authorize it, to borrow and obtain other extensions of credit hereunder. Each Borrower and each other Loan Party has the right and power, and has taken all necessary action to authorize it, to execute, deliver and perform each of the Loan Documents and the Fee Letters to which it is a party in accordance with their respective terms and to consummate the transactions contemplated hereby and thereby. The Loan Documents and the Fee Letters to which any Borrower or any other Loan Party is a party have been duly executed and delivered by the duly authorized officers of such Person and each is a legal, valid and binding obligation of such Person enforceable against such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54 -</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6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w:t>
      </w:r>
    </w:p>
    <w:p>
      <w:pPr>
        <w:spacing w:after="0"/>
        <w:rPr>
          <w:sz w:val="20"/>
          <w:szCs w:val="20"/>
          <w:color w:val="auto"/>
        </w:rPr>
      </w:pPr>
      <w:r>
        <w:rPr>
          <w:rFonts w:ascii="Times New Roman" w:cs="Times New Roman" w:eastAsia="Times New Roman" w:hAnsi="Times New Roman"/>
          <w:sz w:val="20"/>
          <w:szCs w:val="20"/>
          <w:color w:val="auto"/>
        </w:rPr>
        <w:t>of principal) contained herein or therein and as may be limited by equitable principles generally.</w:t>
      </w:r>
    </w:p>
    <w:p>
      <w:pPr>
        <w:spacing w:after="0" w:line="140" w:lineRule="exact"/>
        <w:rPr>
          <w:sz w:val="20"/>
          <w:szCs w:val="20"/>
          <w:color w:val="auto"/>
        </w:rPr>
      </w:pPr>
    </w:p>
    <w:p>
      <w:pPr>
        <w:jc w:val="both"/>
        <w:ind w:firstLine="656"/>
        <w:spacing w:after="0" w:line="214" w:lineRule="auto"/>
        <w:tabs>
          <w:tab w:leader="none" w:pos="128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of Loan Documents with Laws</w:t>
      </w:r>
      <w:r>
        <w:rPr>
          <w:rFonts w:ascii="Times New Roman" w:cs="Times New Roman" w:eastAsia="Times New Roman" w:hAnsi="Times New Roman"/>
          <w:sz w:val="20"/>
          <w:szCs w:val="20"/>
          <w:color w:val="auto"/>
        </w:rPr>
        <w:t>. The execution, delivery and performance of this Agreement, the other Loan Documents to which any Loan Party is a party and the Fee Letters in accordance with their respective terms and the borrowings and other extensions of credit hereunder do not and will not, by the passage of time, the giving of notice, or both: (i) require any Governmental Approval or violate any Applicable Law (including any Environmental Laws) relating to any Borrower or any other Loan Party or any Subsidiary; (ii) conflict with, result in a breach of or constitute a default under the organizational documents of any Loan Party, or any indenture, agreement or other instrument to which any Borrower or any other Loan Party or any Subsidiary is a party or by which it or any of its respective properties may be bound; or (iii) result in or require the creation or imposition of any Lien upon or with respect to any property now owned or hereafter acquired by any Borrower or any other Loan Party other than in favor of the Administrative Agent for its benefit and the benefit of the other Lender Parties.</w:t>
      </w:r>
    </w:p>
    <w:p>
      <w:pPr>
        <w:spacing w:after="0" w:line="13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 Governmental Approvals</w:t>
      </w:r>
      <w:r>
        <w:rPr>
          <w:rFonts w:ascii="Times New Roman" w:cs="Times New Roman" w:eastAsia="Times New Roman" w:hAnsi="Times New Roman"/>
          <w:sz w:val="20"/>
          <w:szCs w:val="20"/>
          <w:color w:val="auto"/>
        </w:rPr>
        <w:t>. Each of the Borrowers, the other Loan Parties and the Subsidiaries is in compliance with each Governmental Approval and all other Applicable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134"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1"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to Properties; Liens</w:t>
      </w:r>
      <w:r>
        <w:rPr>
          <w:rFonts w:ascii="Times New Roman" w:cs="Times New Roman" w:eastAsia="Times New Roman" w:hAnsi="Times New Roman"/>
          <w:sz w:val="20"/>
          <w:szCs w:val="20"/>
          <w:color w:val="auto"/>
        </w:rPr>
        <w:t>. Part I of Schedule 6.1.(f) is, as of the Agreement Date, a complete and correct listing of all Properties of each Borrower, each other Loan Party and each of their respective Subsidiaries, which also identifies any Property that is a Development Property or Transition Asset as such a Property. Each of the Loan Parties and each their respective Subsidiaries has good, marketable and legal title to, or a valid leasehold interest in, its respective assets. As of the Agreement Date, there are no Liens against any assets of any Borrower, any Loan Party or any Subsidiary other than Permitted Liens and Liens set forth on Part II of Schedule 6.1.(f).</w:t>
      </w:r>
    </w:p>
    <w:p>
      <w:pPr>
        <w:spacing w:after="0" w:line="133"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Indebtedness</w:t>
      </w:r>
      <w:r>
        <w:rPr>
          <w:rFonts w:ascii="Times New Roman" w:cs="Times New Roman" w:eastAsia="Times New Roman" w:hAnsi="Times New Roman"/>
          <w:sz w:val="20"/>
          <w:szCs w:val="20"/>
          <w:color w:val="auto"/>
        </w:rPr>
        <w:t>. Schedule 6.1.(g) is, as of the Agreement Date, a complete and correct listing of all Material Indebtedness (including all Guarantees) of each of the Borrowers, the other Loan Parties and their respective Subsidiaries, and if such Material Indebtedness is secured by any Lien, identifying the Properties or other assets encumbered by such Lien. As of the Agreement Date, each Borrower, each other Loan Party and each of their respective Subsidiaries have performed and are in compliance with all of the terms of such Material Indebtedness and all instruments and agreements relating thereto, and no default or event of default, or event or condition which with the giving of notice, the lapse of time, or both, would constitute a default or event of default, exists with respect to any such Material Indebtedness.</w:t>
      </w:r>
    </w:p>
    <w:p>
      <w:pPr>
        <w:spacing w:after="0" w:line="13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Except as set forth on Schedule 6.1.(i), there are no actions, suits or proceedings pending (nor, to the knowledge of any Loan Party, are there any actions, suits or proceedings threatened, nor is there any basis therefor) against or in any other way relating to or affecting any Borrower, any other Loan Party any Subsidiary or any of their respective property in any court or before any arbitrator of any kind or before or by any other Governmental Authority which could reasonably be expected to have a Material Adverse Effect. There are no strikes, slowdowns, work stoppages or walkouts or other labor disputes in progress or threatened relating to, any Borrower, other Loan Party or any Subsidiary which could reasonably be expected to have a Material Adverse Effect.</w:t>
      </w:r>
    </w:p>
    <w:p>
      <w:pPr>
        <w:spacing w:after="0" w:line="135" w:lineRule="exact"/>
        <w:rPr>
          <w:rFonts w:ascii="Times New Roman" w:cs="Times New Roman" w:eastAsia="Times New Roman" w:hAnsi="Times New Roman"/>
          <w:sz w:val="20"/>
          <w:szCs w:val="20"/>
          <w:color w:val="auto"/>
        </w:rPr>
      </w:pPr>
    </w:p>
    <w:p>
      <w:pPr>
        <w:jc w:val="both"/>
        <w:ind w:firstLine="656"/>
        <w:spacing w:after="0" w:line="218" w:lineRule="auto"/>
        <w:tabs>
          <w:tab w:leader="none" w:pos="129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All federal, state and other material tax returns of each Borrower, each other Loan Party and each Subsidiary required by Applicable Law to be filed have been duly filed, and all federal, state and other material taxes, assessments and other governmental charges or levies upon, each Borrower, each other Loan Party, each Subsidiary and their respective properties, income, profits and assets which are due and payable have been paid, except any such nonpayment or non-filing which is at the time permitted under Section 7.6. As of the Agreement Date, none of the United States income tax returns of any Borrower, any other Loan Party or any Subsidiary is under audit. All charges, accruals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55 -</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6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reserves on the books of any Borrower, any other Loan Party and their Subsidiaries in respect of any taxes or other governmental charges are in accordance with GAAP.</w:t>
      </w:r>
    </w:p>
    <w:p>
      <w:pPr>
        <w:spacing w:after="0" w:line="147" w:lineRule="exact"/>
        <w:rPr>
          <w:sz w:val="20"/>
          <w:szCs w:val="20"/>
          <w:color w:val="auto"/>
        </w:rPr>
      </w:pPr>
    </w:p>
    <w:p>
      <w:pPr>
        <w:jc w:val="both"/>
        <w:ind w:firstLine="656"/>
        <w:spacing w:after="0" w:line="211" w:lineRule="auto"/>
        <w:tabs>
          <w:tab w:leader="none" w:pos="128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Parent has furnished to each Lender copies of (i) the audited consolidated balance sheets of each Borrower and its respective consolidated Subsidiaries for the fiscal years ended December 31, 2021, December 31, 2022 and December 31, 2023, and the related audited consolidated statements of operations, shareholders’ equity and cash flow for the fiscal years ended on such dates, with the opinion thereon of Ernst &amp; Young LLP, and (ii) the respective unaudited consolidated balance sheets of each Borrower and its respective consolidated Subsidiaries for the three fiscal quarter period ended September 30, 2024, and the related unaudited consolidated statements of operations, shareholders’ equity and cash flow for the three fiscal quarter period ended on such date. Such financial statements (including in each case related schedules and notes) are complete and correct in all material respects and present fairly, in accordance with GAAP consistently applied throughout the periods involved, the consolidated financial position of each Borrower and its respective consolidated Subsidiaries as at their respective dates and the results of operations and the cash flow for such periods (subject, as to interim statements, to changes resulting from normal year-end audit adjustments). No Loan Party or any of its Subsidiaries has on the Agreement Date any material contingent liabilities, liabilities, unusual or long-term commitments or unrealized or forward anticipated losses from any unfavorable commitments that would be required to be set forth in its financial statements or notes thereto, except as referred to or reflected or provided for in the financial statements referenced in clauses (i) and (ii) above.</w:t>
      </w:r>
    </w:p>
    <w:p>
      <w:pPr>
        <w:spacing w:after="0" w:line="139"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Since December 31, 2023, there has been no event, change, circumstance or occurrence that could reasonably be expected to have a Material Adverse Effect. Each of the Borrowers is, and the Parent and its Subsidiaries, on a consolidated basis, are, Solvent.</w:t>
      </w:r>
    </w:p>
    <w:p>
      <w:pPr>
        <w:spacing w:after="0" w:line="1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4"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have a Material Adverse Effect, each Benefit Arrangement is in compliance with the applicable provisions of ERISA, the Internal Revenue Code and other Applicable Laws. Except with respect to Multiemployer Plans, (i) each Qualified Plan (A) has obtained a current favorable determination letter issued by the Internal Revenue Service, (B) is entitled to rely on a current, favorable opinion letter issued by the Internal Revenue Service, or (C) has a remedial amendment period that has not yet expired during which the Qualified Plan may be filed for a favorable determination letter with respect to all provisions of such Qualified Plan, and (ii) to the best knowledge of each Borrower, nothing has occurred which could reasonably cause the loss of its reliance on each Qualified Plan’s favorable determination letter or opinion letter, except in the case of a compliance failure with respect to the Qualified Plan that is reasonably likely to result in a material liability to any of the Borrowers.</w:t>
      </w:r>
    </w:p>
    <w:p>
      <w:pPr>
        <w:spacing w:after="0" w:line="134"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Benefit Arrangement that is a retiree welfare benefit arrangement, all amounts have been accrued on the applicable ERISA Group’s financial statements in accordance with FASB ASC 715. The “benefit obligation” of all Plans does not exceed the “fair market value of plan assets” for such Plans by more than $25,000,000 all as determined by and with such terms defined in accordance with FASB ASC 715.</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6"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have a Material Adverse Effect: (A) no ERISA Event has occurred or is reasonably expected to occur; (B) there are no pending, or to the best knowledge of each Borrower, threatened, claims, actions or lawsuits or other action by any Governmental Authority, plan participant or beneficiary with respect to a Benefit Arrangement; (C) there are no violations of the fiduciary responsibility rules with respect to any Benefit Arrangement; (D)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 and (E) no assessment or tax has arisen under Section 4980H of the Internal Revenue Code.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56 -</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62" w:lineRule="exact"/>
        <w:rPr>
          <w:sz w:val="20"/>
          <w:szCs w:val="20"/>
          <w:color w:val="auto"/>
        </w:rPr>
      </w:pPr>
    </w:p>
    <w:p>
      <w:pPr>
        <w:jc w:val="both"/>
        <w:ind w:left="-206" w:firstLine="656"/>
        <w:spacing w:after="0" w:line="215" w:lineRule="auto"/>
        <w:tabs>
          <w:tab w:leader="none" w:pos="107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Default</w:t>
      </w:r>
      <w:r>
        <w:rPr>
          <w:rFonts w:ascii="Times New Roman" w:cs="Times New Roman" w:eastAsia="Times New Roman" w:hAnsi="Times New Roman"/>
          <w:sz w:val="20"/>
          <w:szCs w:val="20"/>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137" w:lineRule="exact"/>
        <w:rPr>
          <w:rFonts w:ascii="Times New Roman" w:cs="Times New Roman" w:eastAsia="Times New Roman" w:hAnsi="Times New Roman"/>
          <w:sz w:val="20"/>
          <w:szCs w:val="20"/>
          <w:color w:val="auto"/>
        </w:rPr>
      </w:pPr>
    </w:p>
    <w:p>
      <w:pPr>
        <w:jc w:val="both"/>
        <w:ind w:left="-206" w:firstLine="656"/>
        <w:spacing w:after="0" w:line="209" w:lineRule="auto"/>
        <w:tabs>
          <w:tab w:leader="none" w:pos="107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Each of the Borrowers, each other Loan Party and each Subsidiary: (i) is in compliance with all Environmental Laws applicable to its business, operations and the Properties, (ii) has obtained all Governmental Approvals which are required under Environmental Laws, and each such Governmental Approval is in full force and effect, and (iii) is in compliance with all terms and conditions of such Governmental Approvals, where with respect to each of the immediately preceding clauses (i) through (iii) the failure to obtain or to comply with could reasonably be expected to have a Material Adverse Effect. Except for any of the following matters that could not reasonably be expected to have a Material Adverse Effect, no Loan Party has any knowledge of, or has received notice of, any past, present, or pending releases, events, conditions, circumstances, activities, practices, incidents, facts, occurrences, actions, or plans that, with respect to any Borrower, any other Loan Party or any Subsidiary, their respective businesses, operations or with respect to the Properties, may: (x) cause or contribute to an actual or alleged violation of or noncompliance with Environmental Laws, (y) cause or contribute to any other potential common-law claim or other liability, or (z) cause any of the Properties to become subject to any restrictions on ownership, occupancy, use or transferability under any Environmental Law or require the filing or recording of any notice, approval or disclosure document under any Environmental Law and, with respect to the immediately preceding clauses (x) through (z) is based on or related to the on-site or off-site manufacture, generation, processing, distribution, use, treatment, storage, disposal, transport, removal, clean up or handling, or the emission, discharge, release or threatened release of any wastes or Hazardous Material, or any other requirement under Environmental Law. There is no civil, criminal, or administrative action, suit, demand, claim, hearing, notice, or demand letter, mandate, order, lien, request, investigation, or proceeding pending or, to each Loan Party’s knowledge after due inquiry, threatened, against such Loan Party or any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each Loan Party’s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134" w:lineRule="exact"/>
        <w:rPr>
          <w:rFonts w:ascii="Times New Roman" w:cs="Times New Roman" w:eastAsia="Times New Roman" w:hAnsi="Times New Roman"/>
          <w:sz w:val="20"/>
          <w:szCs w:val="20"/>
          <w:color w:val="auto"/>
        </w:rPr>
      </w:pPr>
    </w:p>
    <w:p>
      <w:pPr>
        <w:jc w:val="both"/>
        <w:ind w:left="-206" w:firstLine="656"/>
        <w:spacing w:after="0" w:line="234" w:lineRule="auto"/>
        <w:tabs>
          <w:tab w:leader="none" w:pos="1078"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 Company</w:t>
      </w:r>
      <w:r>
        <w:rPr>
          <w:rFonts w:ascii="Times New Roman" w:cs="Times New Roman" w:eastAsia="Times New Roman" w:hAnsi="Times New Roman"/>
          <w:sz w:val="19"/>
          <w:szCs w:val="19"/>
          <w:color w:val="auto"/>
        </w:rPr>
        <w:t>. None of the Borrowers, any other Loan Party or their Subsidiaries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46" w:lineRule="exact"/>
        <w:rPr>
          <w:rFonts w:ascii="Times New Roman" w:cs="Times New Roman" w:eastAsia="Times New Roman" w:hAnsi="Times New Roman"/>
          <w:sz w:val="19"/>
          <w:szCs w:val="19"/>
          <w:color w:val="auto"/>
        </w:rPr>
      </w:pPr>
    </w:p>
    <w:p>
      <w:pPr>
        <w:jc w:val="both"/>
        <w:ind w:left="-206" w:firstLine="656"/>
        <w:spacing w:after="0" w:line="226" w:lineRule="auto"/>
        <w:tabs>
          <w:tab w:leader="none" w:pos="107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None of the Borrowers, the other Loan Parties or their Subsidiaries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33" w:lineRule="exact"/>
        <w:rPr>
          <w:rFonts w:ascii="Times New Roman" w:cs="Times New Roman" w:eastAsia="Times New Roman" w:hAnsi="Times New Roman"/>
          <w:sz w:val="20"/>
          <w:szCs w:val="20"/>
          <w:color w:val="auto"/>
        </w:rPr>
      </w:pPr>
    </w:p>
    <w:p>
      <w:pPr>
        <w:ind w:left="-206" w:right="20" w:firstLine="656"/>
        <w:spacing w:after="0"/>
        <w:tabs>
          <w:tab w:leader="none" w:pos="1085"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 Transactions</w:t>
      </w:r>
      <w:r>
        <w:rPr>
          <w:rFonts w:ascii="Times New Roman" w:cs="Times New Roman" w:eastAsia="Times New Roman" w:hAnsi="Times New Roman"/>
          <w:sz w:val="20"/>
          <w:szCs w:val="20"/>
          <w:color w:val="auto"/>
        </w:rPr>
        <w:t>. Except as permitted by Section 9.8. or as otherwise set forth on Schedule 6.1.(r), none of the Borrowers, the other Loan Parties or their Subsidiaries is a party to or bound by any agreement or arrangement with any Affiliate.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57 -</w:t>
      </w:r>
    </w:p>
    <w:p>
      <w:pPr>
        <w:sectPr>
          <w:pgSz w:w="11900" w:h="16838" w:orient="portrait"/>
          <w:cols w:equalWidth="0" w:num="1">
            <w:col w:w="11034"/>
          </w:cols>
          <w:pgMar w:left="526" w:top="1440" w:right="339" w:bottom="1440" w:gutter="0" w:footer="0" w:header="0"/>
        </w:sectPr>
      </w:pPr>
    </w:p>
    <w:bookmarkStart w:id="264" w:name="page265"/>
    <w:bookmarkEnd w:id="264"/>
    <w:p>
      <w:pPr>
        <w:spacing w:after="0" w:line="162" w:lineRule="exact"/>
        <w:rPr>
          <w:sz w:val="20"/>
          <w:szCs w:val="20"/>
          <w:color w:val="auto"/>
        </w:rPr>
      </w:pPr>
    </w:p>
    <w:p>
      <w:pPr>
        <w:jc w:val="both"/>
        <w:ind w:left="-206" w:firstLine="656"/>
        <w:spacing w:after="0" w:line="211" w:lineRule="auto"/>
        <w:tabs>
          <w:tab w:leader="none" w:pos="1083"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Each of the Borrowers, the other Loan Parties and the other Subsidiaries owns or has the right to use, under valid license agreements or otherwise, all patents, licenses, franchises, trademarks, trademark rights, service marks, service mark rights, trade names, trade name rights, trade secrets and copyrights (collectively, “Intellectual Property”) necessary to the conduct of its businesses, without known conflict with any patent, license, franchise, trademark, trademark right, service mark, service mark right, trade secret, trade name, copyright, or other proprietary right of any other Person. All such Intellectual Property is fully protected and/or duly and properly registered, filed or issued in the appropriate office and jurisdictions for such registrations, filing or issuances. No material claim has been asserted by any Person with respect to the use of any such Intellectual Property by any Borrower, any other Loan Party or any Subsidiary, or challenging or questioning the validity or effectiveness of any such Intellectual Property. The use of such Intellectual Property by the Borrowers, the other Loan Parties and their Subsidiaries does not infringe on the rights of any Person, subject to such claims and infringements as do not, in the aggregate, give rise to any liabilities on the part of any Borrower, any other Loan Party or any Subsidiary that could reasonably be expected to have a Material Adverse Effect.</w:t>
      </w:r>
    </w:p>
    <w:p>
      <w:pPr>
        <w:spacing w:after="0" w:line="151" w:lineRule="exact"/>
        <w:rPr>
          <w:rFonts w:ascii="Times New Roman" w:cs="Times New Roman" w:eastAsia="Times New Roman" w:hAnsi="Times New Roman"/>
          <w:sz w:val="20"/>
          <w:szCs w:val="20"/>
          <w:color w:val="auto"/>
        </w:rPr>
      </w:pPr>
    </w:p>
    <w:p>
      <w:pPr>
        <w:jc w:val="both"/>
        <w:ind w:left="-206" w:right="20" w:firstLine="656"/>
        <w:spacing w:after="0" w:line="226" w:lineRule="auto"/>
        <w:tabs>
          <w:tab w:leader="none" w:pos="108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As of the Agreement Date, the Borrowers, the other Loan Parties and their Subsidiaries are engaged primarily in the business of owning, managing, leasing, acquiring, repositioning and making investments in office properties in the borough of Manhattan, New York, New York, together with other business activities incidental thereto.</w:t>
      </w:r>
    </w:p>
    <w:p>
      <w:pPr>
        <w:spacing w:after="0" w:line="133" w:lineRule="exact"/>
        <w:rPr>
          <w:rFonts w:ascii="Times New Roman" w:cs="Times New Roman" w:eastAsia="Times New Roman" w:hAnsi="Times New Roman"/>
          <w:sz w:val="20"/>
          <w:szCs w:val="20"/>
          <w:color w:val="auto"/>
        </w:rPr>
      </w:pPr>
    </w:p>
    <w:p>
      <w:pPr>
        <w:jc w:val="both"/>
        <w:ind w:left="-206" w:firstLine="656"/>
        <w:spacing w:after="0" w:line="226" w:lineRule="auto"/>
        <w:tabs>
          <w:tab w:leader="none" w:pos="107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 Fees</w:t>
      </w:r>
      <w:r>
        <w:rPr>
          <w:rFonts w:ascii="Times New Roman" w:cs="Times New Roman" w:eastAsia="Times New Roman" w:hAnsi="Times New Roman"/>
          <w:sz w:val="20"/>
          <w:szCs w:val="20"/>
          <w:color w:val="auto"/>
        </w:rPr>
        <w:t>. Except as set forth in the Fee Letters, no broker’s or finder’s fee, commission or similar compensation will be payable with respect to the transactions contemplated hereby. No other similar fees or commissions will be payable by any Borrower or any other Loan Party for any other services rendered to any Borrower or any Subsidiary ancillary to the transactions contemplated hereby.</w:t>
      </w:r>
    </w:p>
    <w:p>
      <w:pPr>
        <w:spacing w:after="0" w:line="146" w:lineRule="exact"/>
        <w:rPr>
          <w:rFonts w:ascii="Times New Roman" w:cs="Times New Roman" w:eastAsia="Times New Roman" w:hAnsi="Times New Roman"/>
          <w:sz w:val="20"/>
          <w:szCs w:val="20"/>
          <w:color w:val="auto"/>
        </w:rPr>
      </w:pPr>
    </w:p>
    <w:p>
      <w:pPr>
        <w:jc w:val="both"/>
        <w:ind w:left="-206" w:firstLine="656"/>
        <w:spacing w:after="0" w:line="209" w:lineRule="auto"/>
        <w:tabs>
          <w:tab w:leader="none" w:pos="107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Accuracy and Completeness of Information</w:t>
      </w:r>
      <w:r>
        <w:rPr>
          <w:rFonts w:ascii="Times New Roman" w:cs="Times New Roman" w:eastAsia="Times New Roman" w:hAnsi="Times New Roman"/>
          <w:sz w:val="20"/>
          <w:szCs w:val="20"/>
          <w:color w:val="auto"/>
        </w:rPr>
        <w:t>. All written information, reports and other papers and data (other than financial projections, other forward looking statements and information of a general economic or industry specific nature) furnished to the Administrative Agent or any Lender by, on behalf of, or at the direction of, any Borrower, any other Loan Party or any Subsidiary were, taken as a whole, at the time the same were so furnished, complete and correct in all material respects, to the extent necessary to give the recipient a true and accurate knowledge of the subject matter, or, in the case of financial statements,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any Borrower, any other Loan Party or any Subsidiary that have been or may hereafter be made available to the Administrative Agent or any Lender were or will be prepared in good faith based on reasonable assumptions. No fact is known to any Borrower or any other Loan Party which has had, or may in the future have (so far as any Borrower or other Loan Party can reasonably foresee), a Material Adverse Effect which has not been set forth in the financial statements referred to in Section 6.1.(k) or in such information, reports or other papers or data or otherwise disclosed in writing to the Administrative Agent and the Lenders. No document furnished or written statement made to the Administrative Agent or any Lender in connection with the negotiation, preparation or execution of, or pursuant to, this Agreement or any of the other Loan Documents contains or will contain any untrue statement of a material fact, or omits or will omit to state a material fact necessary in order to make the statements contained therein not misleading. As of the Agreement Date, all of the information included in the Beneficial Ownership Certification, if required to be delivered, is true and correct.</w:t>
      </w:r>
    </w:p>
    <w:p>
      <w:pPr>
        <w:spacing w:after="0" w:line="159" w:lineRule="exact"/>
        <w:rPr>
          <w:rFonts w:ascii="Times New Roman" w:cs="Times New Roman" w:eastAsia="Times New Roman" w:hAnsi="Times New Roman"/>
          <w:sz w:val="20"/>
          <w:szCs w:val="20"/>
          <w:color w:val="auto"/>
        </w:rPr>
      </w:pPr>
    </w:p>
    <w:p>
      <w:pPr>
        <w:jc w:val="both"/>
        <w:ind w:left="-206" w:firstLine="656"/>
        <w:spacing w:after="0" w:line="217" w:lineRule="auto"/>
        <w:tabs>
          <w:tab w:leader="none" w:pos="1081"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Plan Assets; No Prohibited Transactions</w:t>
      </w:r>
      <w:r>
        <w:rPr>
          <w:rFonts w:ascii="Times New Roman" w:cs="Times New Roman" w:eastAsia="Times New Roman" w:hAnsi="Times New Roman"/>
          <w:sz w:val="20"/>
          <w:szCs w:val="20"/>
          <w:color w:val="auto"/>
        </w:rPr>
        <w:t>. None of the assets of any Borrower, any other Loan Party or any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58 -</w:t>
      </w:r>
    </w:p>
    <w:p>
      <w:pPr>
        <w:sectPr>
          <w:pgSz w:w="11900" w:h="16838" w:orient="portrait"/>
          <w:cols w:equalWidth="0" w:num="1">
            <w:col w:w="11034"/>
          </w:cols>
          <w:pgMar w:left="526" w:top="1440" w:right="339" w:bottom="1440" w:gutter="0" w:footer="0" w:header="0"/>
        </w:sectPr>
      </w:pPr>
    </w:p>
    <w:bookmarkStart w:id="265" w:name="page266"/>
    <w:bookmarkEnd w:id="265"/>
    <w:p>
      <w:pPr>
        <w:spacing w:after="0" w:line="162" w:lineRule="exact"/>
        <w:rPr>
          <w:sz w:val="20"/>
          <w:szCs w:val="20"/>
          <w:color w:val="auto"/>
        </w:rPr>
      </w:pPr>
    </w:p>
    <w:p>
      <w:pPr>
        <w:jc w:val="both"/>
        <w:ind w:firstLine="656"/>
        <w:spacing w:after="0" w:line="221" w:lineRule="auto"/>
        <w:tabs>
          <w:tab w:leader="none" w:pos="1284" w:val="left"/>
        </w:tabs>
        <w:numPr>
          <w:ilvl w:val="1"/>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 None of any Borrower, any other Loan Party, any of their respective Subsidiaries, any of their respective directors or officers, nor to the knowledge of the Loan Parties, any employees, Affiliates or any agent or representative of any Borrower, any other Loan Party or any of their respective Subsidiaries that will act in any capacity in connection with or benefit from this Agreement, (i) is a Sanctioned Person or currently the subject or target of any Sanctions, (ii) has its assets located in a Sanctioned Country,</w:t>
      </w:r>
    </w:p>
    <w:p>
      <w:pPr>
        <w:ind w:left="360" w:hanging="352"/>
        <w:spacing w:after="0" w:line="222" w:lineRule="auto"/>
        <w:tabs>
          <w:tab w:leader="none" w:pos="36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or indirectly derives revenues from investments in, or transactions with, Sanctioned Persons or (iv) has violated any Anti-Money</w:t>
      </w:r>
    </w:p>
    <w:p>
      <w:pPr>
        <w:spacing w:after="0" w:line="222" w:lineRule="auto"/>
        <w:rPr>
          <w:sz w:val="20"/>
          <w:szCs w:val="20"/>
          <w:color w:val="auto"/>
        </w:rPr>
      </w:pPr>
      <w:r>
        <w:rPr>
          <w:rFonts w:ascii="Times New Roman" w:cs="Times New Roman" w:eastAsia="Times New Roman" w:hAnsi="Times New Roman"/>
          <w:sz w:val="19"/>
          <w:szCs w:val="19"/>
          <w:color w:val="auto"/>
        </w:rPr>
        <w:t>Laundering Law in any material respect. Each Borrower, each other Loan Party and its respective Subsidiaries, and to the knowledge of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and such other Loan Party, each director, officer, employee, agent and Affiliate of such Borrower, such other Loan Party and each such Subsidiary, is in compliance with the Anti-Corruption Laws in all material respects. Each Borrower has implemented and maintains in</w:t>
      </w:r>
    </w:p>
    <w:p>
      <w:pPr>
        <w:spacing w:after="0" w:line="211" w:lineRule="auto"/>
        <w:rPr>
          <w:sz w:val="20"/>
          <w:szCs w:val="20"/>
          <w:color w:val="auto"/>
        </w:rPr>
      </w:pPr>
      <w:r>
        <w:rPr>
          <w:rFonts w:ascii="Times New Roman" w:cs="Times New Roman" w:eastAsia="Times New Roman" w:hAnsi="Times New Roman"/>
          <w:sz w:val="20"/>
          <w:szCs w:val="20"/>
          <w:color w:val="auto"/>
        </w:rPr>
        <w:t>effect policies and procedures designed to ensure compliance with the Anti-Corruption Laws and applicable Sanctions by such Borrower,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such other Loan Party, their respective Subsidiaries, their respective directors, officers, employees, Affiliates and agents and representatives of such Borrower or any Subsidiary that will act in any capacity in connection with or benefit from this Agreement.</w:t>
      </w:r>
    </w:p>
    <w:p>
      <w:pPr>
        <w:spacing w:after="0" w:line="148" w:lineRule="exact"/>
        <w:rPr>
          <w:sz w:val="20"/>
          <w:szCs w:val="20"/>
          <w:color w:val="auto"/>
        </w:rPr>
      </w:pPr>
    </w:p>
    <w:p>
      <w:pPr>
        <w:ind w:firstLine="656"/>
        <w:spacing w:after="0" w:line="233"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REIT Status</w:t>
      </w:r>
      <w:r>
        <w:rPr>
          <w:rFonts w:ascii="Times New Roman" w:cs="Times New Roman" w:eastAsia="Times New Roman" w:hAnsi="Times New Roman"/>
          <w:sz w:val="20"/>
          <w:szCs w:val="20"/>
          <w:color w:val="auto"/>
        </w:rPr>
        <w:t>. The Parent qualifies as, and has elected to be treated as, a REIT and is in compliance with all requirements and conditions imposed under the Internal Revenue Code to allow the Parent to maintain its status as a REIT.</w:t>
      </w:r>
    </w:p>
    <w:p>
      <w:pPr>
        <w:spacing w:after="0" w:line="14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Eligible and Identified Properties; Structured Finance Investments</w:t>
      </w:r>
      <w:r>
        <w:rPr>
          <w:rFonts w:ascii="Times New Roman" w:cs="Times New Roman" w:eastAsia="Times New Roman" w:hAnsi="Times New Roman"/>
          <w:sz w:val="20"/>
          <w:szCs w:val="20"/>
          <w:color w:val="auto"/>
        </w:rPr>
        <w:t>. As of the Agreement Date, Schedule 6.1.(z) is a correct and complete list of all Eligible Properties</w:t>
      </w:r>
      <w:r>
        <w:rPr>
          <w:rFonts w:ascii="Times New Roman" w:cs="Times New Roman" w:eastAsia="Times New Roman" w:hAnsi="Times New Roman"/>
          <w:sz w:val="20"/>
          <w:szCs w:val="20"/>
          <w:u w:val="single" w:color="auto"/>
          <w:color w:val="0101FF"/>
        </w:rPr>
        <w:t>, all Fund Investments</w:t>
      </w:r>
      <w:r>
        <w:rPr>
          <w:rFonts w:ascii="Times New Roman" w:cs="Times New Roman" w:eastAsia="Times New Roman" w:hAnsi="Times New Roman"/>
          <w:sz w:val="20"/>
          <w:szCs w:val="20"/>
          <w:color w:val="auto"/>
        </w:rPr>
        <w:t xml:space="preserve"> and all Structured Finance Investments, and the name of each Subsidiary that owns or leases any such Property or that owns any such </w:t>
      </w:r>
      <w:r>
        <w:rPr>
          <w:rFonts w:ascii="Times New Roman" w:cs="Times New Roman" w:eastAsia="Times New Roman" w:hAnsi="Times New Roman"/>
          <w:sz w:val="20"/>
          <w:szCs w:val="20"/>
          <w:u w:val="single" w:color="auto"/>
          <w:color w:val="0101FF"/>
        </w:rPr>
        <w:t>Fund Investment or</w:t>
      </w:r>
      <w:r>
        <w:rPr>
          <w:rFonts w:ascii="Times New Roman" w:cs="Times New Roman" w:eastAsia="Times New Roman" w:hAnsi="Times New Roman"/>
          <w:sz w:val="20"/>
          <w:szCs w:val="20"/>
          <w:color w:val="auto"/>
        </w:rPr>
        <w:t xml:space="preserve"> Structured Finance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-28575</wp:posOffset>
            </wp:positionV>
            <wp:extent cx="31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13" w:lineRule="exact"/>
        <w:rPr>
          <w:sz w:val="20"/>
          <w:szCs w:val="20"/>
          <w:color w:val="auto"/>
        </w:rPr>
      </w:pPr>
    </w:p>
    <w:p>
      <w:pPr>
        <w:jc w:val="both"/>
        <w:ind w:firstLine="656"/>
        <w:spacing w:after="0" w:line="215" w:lineRule="auto"/>
        <w:tabs>
          <w:tab w:leader="none" w:pos="129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Unencumbered Properties; Unencumbered Asset Value</w:t>
      </w:r>
      <w:r>
        <w:rPr>
          <w:rFonts w:ascii="Times New Roman" w:cs="Times New Roman" w:eastAsia="Times New Roman" w:hAnsi="Times New Roman"/>
          <w:sz w:val="20"/>
          <w:szCs w:val="20"/>
          <w:color w:val="auto"/>
        </w:rPr>
        <w:t>. Each Property included in any calculation of Unencumbered Adjusted NOI satisfied at the time of such calculation, all of the requirements contained in the definition of “Eligible Property”. Each Property included in the calculation of Unencumbered Asset Value satisfied, at the time of such calculation, all of the requirements contained in the definition of “Eligible Property”. At the time of calculation of Unencumbered Asset Value, no Property, Structured Finance Investment</w:t>
      </w:r>
      <w:r>
        <w:rPr>
          <w:rFonts w:ascii="Times New Roman" w:cs="Times New Roman" w:eastAsia="Times New Roman" w:hAnsi="Times New Roman"/>
          <w:sz w:val="20"/>
          <w:szCs w:val="20"/>
          <w:u w:val="single" w:color="auto"/>
          <w:color w:val="0101FF"/>
        </w:rPr>
        <w:t>, Fund Investment</w:t>
      </w:r>
      <w:r>
        <w:rPr>
          <w:rFonts w:ascii="Times New Roman" w:cs="Times New Roman" w:eastAsia="Times New Roman" w:hAnsi="Times New Roman"/>
          <w:sz w:val="20"/>
          <w:szCs w:val="20"/>
          <w:color w:val="auto"/>
        </w:rPr>
        <w:t xml:space="preserve"> or Mortgage Receivable owned or held by an entity other than a Borrower or other Loan Party was included in the calculation of Unencumbered Asset Value if such entity, or an entity (other than a Borrower or another Loan Party) that had a direct or indirect ownership interest in such entity at the time of such calculation, was an obligor in respect of any Indebtedness (other than Nonrecourse Indebtedness of the type described in clause (a) of the definition thereof).</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52"/>
        </w:numPr>
        <w:rPr>
          <w:rFonts w:ascii="Times New Roman" w:cs="Times New Roman" w:eastAsia="Times New Roman" w:hAnsi="Times New Roman"/>
          <w:sz w:val="20"/>
          <w:szCs w:val="20"/>
          <w:u w:val="single" w:color="auto"/>
          <w:color w:val="0101FF"/>
        </w:rPr>
      </w:pPr>
      <w:r>
        <w:rPr>
          <w:rFonts w:ascii="Times New Roman" w:cs="Times New Roman" w:eastAsia="Times New Roman" w:hAnsi="Times New Roman"/>
          <w:sz w:val="20"/>
          <w:szCs w:val="20"/>
          <w:u w:val="single" w:color="auto"/>
          <w:color w:val="0101FF"/>
        </w:rPr>
        <w:t>Outbound Investment Rules. No Loan Party is a ‘covered foreign person’ as that term is used in the Outbound Investment</w:t>
      </w:r>
    </w:p>
    <w:p>
      <w:pPr>
        <w:spacing w:after="0" w:line="28" w:lineRule="exact"/>
        <w:rPr>
          <w:rFonts w:ascii="Times New Roman" w:cs="Times New Roman" w:eastAsia="Times New Roman" w:hAnsi="Times New Roman"/>
          <w:sz w:val="20"/>
          <w:szCs w:val="20"/>
          <w:u w:val="single" w:color="auto"/>
          <w:color w:val="0101FF"/>
        </w:rPr>
      </w:pPr>
    </w:p>
    <w:p>
      <w:pPr>
        <w:spacing w:after="0"/>
        <w:rPr>
          <w:rFonts w:ascii="Times New Roman" w:cs="Times New Roman" w:eastAsia="Times New Roman" w:hAnsi="Times New Roman"/>
          <w:sz w:val="20"/>
          <w:szCs w:val="20"/>
          <w:u w:val="single" w:color="auto"/>
          <w:color w:val="0101FF"/>
        </w:rPr>
      </w:pPr>
      <w:r>
        <w:rPr>
          <w:rFonts w:ascii="Times New Roman" w:cs="Times New Roman" w:eastAsia="Times New Roman" w:hAnsi="Times New Roman"/>
          <w:sz w:val="20"/>
          <w:szCs w:val="20"/>
          <w:u w:val="single" w:color="auto"/>
          <w:color w:val="0101FF"/>
        </w:rPr>
        <w:t>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6.2. Survival of Representations and Warranties, Etc.</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All representations and warranties made under this Agreement and the other Loan Documents shall be deemed to be made on and as of the Agreement Date, the Effective Date, the date on which any extension of the Maturity Date is effectuated pursuant to Section 2.14., the date on which Additional Loans are made pursuant to Section 2.19.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expressly and specifically permitted hereunder. All such representations and warranties shall survive the effectiveness of this Agreement, the execution and delivery of the Loan Documents and the making of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- 59 -</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58" w:lineRule="exact"/>
        <w:rPr>
          <w:sz w:val="20"/>
          <w:szCs w:val="20"/>
          <w:color w:val="auto"/>
        </w:rPr>
      </w:pPr>
    </w:p>
    <w:p>
      <w:pPr>
        <w:ind w:left="3680"/>
        <w:spacing w:after="0"/>
        <w:tabs>
          <w:tab w:leader="none" w:pos="5620" w:val="left"/>
        </w:tabs>
        <w:rPr>
          <w:sz w:val="20"/>
          <w:szCs w:val="20"/>
          <w:color w:val="auto"/>
        </w:rPr>
      </w:pPr>
      <w:r>
        <w:rPr>
          <w:rFonts w:ascii="Times New Roman" w:cs="Times New Roman" w:eastAsia="Times New Roman" w:hAnsi="Times New Roman"/>
          <w:sz w:val="20"/>
          <w:szCs w:val="20"/>
          <w:b w:val="1"/>
          <w:bCs w:val="1"/>
          <w:color w:val="auto"/>
        </w:rPr>
        <w:t>ARTICLE VII.</w:t>
      </w:r>
      <w:r>
        <w:rPr>
          <w:sz w:val="20"/>
          <w:szCs w:val="20"/>
          <w:color w:val="auto"/>
        </w:rPr>
        <w:tab/>
      </w:r>
      <w:r>
        <w:rPr>
          <w:rFonts w:ascii="Times New Roman" w:cs="Times New Roman" w:eastAsia="Times New Roman" w:hAnsi="Times New Roman"/>
          <w:sz w:val="19"/>
          <w:szCs w:val="19"/>
          <w:b w:val="1"/>
          <w:bCs w:val="1"/>
          <w:color w:val="auto"/>
        </w:rPr>
        <w:t>Affirmative Covenants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so long as this Agreement is in effect, each Borrower shall comply with the following covenants: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7.1. Preservation of Existence and Similar Matters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Except as otherwise permitted under Section 9.3., each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7.2. Compliance with Applicable Law</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Each Borrower shall, and shall cause each other Loan Party and each other Subsidiary to, comply with all Applicable Law, including the obtaining of all Governmental Approvals, the failure with which to comply could reasonably be expected to have a Material Adverse Effect. Each Borrower and each other Loan Party shall maintain in effect policies and procedures reasonably designed to ensure compliance by such Borrower, such other Loan Party and their Subsidiaries and their respective directors, officers, employees and agents with Anti-Corruption Laws and Sanctions in all material respects.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7.3. Maintenance of Property</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to the requirements of any of the other Loan Documents, each Borrower shall, and shall cause each other Loan Party and each other Subsidiary to, (a) protect and preserve in all material respects all of its respective material properties, including, but not limited to, all Intellectual Property necessary to the conduct of its respective business, and in all material respects maintain in good repair, working order and condition all material tangible properties, ordinary wear and tear excepted and (b) make or cause to be made all material needed and appropriate repairs, renewals, replacements and additions to such properties, so that the business carried on in connection therewith may be properly and advantageously conducted at all times in all material respects.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7.4. Conduct of Business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Each Borrower shall, and shall cause each other Loan Party and each other Subsidiary to, carry on its respective businesses as described in Section 6.1.(t).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7.5. Insurance</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addition to the requirements of any of the other Loan Documents, each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Representative shall from time to time deliver to the Administrative Agent upon request a detailed list, together with copies of all policies of the insurance of each Loan Party and its Subsidiaries then in effect, stating the names of the insurance companies, the amounts and rates of the insurance, the dates of the expiration thereof and the properties and risks covered thereby. Such insurance shall, in any event, include terrorism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- 60 -</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7.6. Payment of Taxes and Claims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Borrower shall, and shall cause each other Loan Party and each other Subsidiary to, pay and discharge when due (a) all material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and could reasonably be expected to have a Material Adverse Effect;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7.7. Books and Records; Inspections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Each Borrower shall, and shall cause each other Loan Party and each other Subsidiary to, keep proper books of record and account in which full, true and correct entries shall be made of all dealings and transactions in relation to its business and activities. Each Borrower shall, and shall cause each other Loan Party and each other Subsidiary to, permit representatives of the Administrative Agent or any Lender to visit and inspect any of their respective properties, to examine and make abstracts from any of their respective books and records and to discuss their respective affairs, finances and accounts with their respective officers, employees and independent public accountants (in the presence of an officer of the Parent if an Event of Default does not then exist), all at such reasonable times during business hours and as often as may reasonably be requested and so long as no Event of Default exists, with reasonable prior notice. The Borrowers shall be obligated to reimburse the Administrative Agent and the Lenders for their costs and expenses incurred in connection with the exercise of their rights under this Section only if such exercise occurs while a Default or Event of Default exists. If requested by the Administrative Agent, each Borrower and each other Loan Party shall execute an authorization letter addressed to its accountants authorizing the Administrative Agent or any Lender to discuss the financial affairs of such Borrower, any other Loan Party and their Subsidiaries with such Borrower’s accountants.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7.8. Use of Proceeds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Each Borrower will use the proceeds of Loans only (a) to repay in full the “Term B Loan” (as defined in the Existing Credit Agreement); (b) for the payment of fees and expenses in connection with this Agreement; (c) to finance acquisitions and other Investments otherwise permitted under this Agreement; (d) to finance capital expenditures and the repayment of Indebtedness of such Borrower and its Subsidiaries; (e) to provide for the general working capital needs of such Borrower and its Subsidiaries; and (f) for other general corporate purposes of such Borrower and its Subsidiaries. No Borrower shall, and no Borrower shall permit any Subsidiary to, use any part of such proceeds to purchase or carry, or to reduce or retire or refinance any credit incurred to purchase or carry, any margin stock (within the meaning of Regulation U or Regulation X of the Board of Governors of the Federal Reserve System) or to extend credit to others for the purpose of purchasing or carrying any such margin stock; provided, however, to the extent not otherwise prohibited by this Agreement or the other Loan Documents, the Parent may use proceeds of the Loans to purchase the Parent’s common stock so long as such use will not result in any of the Loans or other Obligations being considered to be “purpose credit” directly or indirectly secured by margin stock within the meaning of Regulation U or Regulation X of the Board of Governors of the Federal Reserve System. No Borrower shall, and no Borrower shall permit any other Loan Party or any other Subsidiary to, use any proceeds of the Loans (x) in furtherance of an offer, payment, promise to pay, or authorization of the payment or giving of money, or anything else of value, to any Person in violation of any Anti-Corruption Laws,</w:t>
      </w:r>
    </w:p>
    <w:p>
      <w:pPr>
        <w:spacing w:after="0" w:line="1" w:lineRule="exact"/>
        <w:rPr>
          <w:sz w:val="20"/>
          <w:szCs w:val="20"/>
          <w:color w:val="auto"/>
        </w:rPr>
      </w:pPr>
    </w:p>
    <w:p>
      <w:pPr>
        <w:ind w:left="280" w:hanging="272"/>
        <w:spacing w:after="0"/>
        <w:tabs>
          <w:tab w:leader="none" w:pos="2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funding, financing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61 -</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7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facilitating any activities, business or transaction of or with any Sanctioned Person, or in any Sanctioned Country or (z) in any manner that would result in the violation of any Sanctions applicable to any party 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7.9. Environmental Matters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Borrower shall, and shall cause each other Loan Party and each other Subsidiary to, comply with all Environmental Laws the failure with which to comply could reasonably be expected to have a Material Adverse Effect. Each Borrower shall comply, and shall cause each other Loan Party and each other Subsidiary to comply, and each Borrower shall use, and shall cause each other Loan Party and each other Subsidiary to use, commercially reasonable efforts to cause all other Persons occupying, using or present on the Properties to comply, with all Environmental Laws in all material respects. Each Borrower shall, and shall cause each other Loan Party and each other Subsidiary to, promptly take all actions and pay or arrange to pay all costs necessary for it and for the Properties to comply in all material respects with all Environmental Laws and all Governmental Approvals, including actions to remove and dispose of all Hazardous Materials and to clean up the Properties as required under Environmental Laws in each case, to the extent all other responsible parties fail to promptly take such actions, pay such costs and comply with such requirements. Each Borrower shall, and shall cause each other Loan Party and each other Subsidiary to, promptly take all reasonable actions necessary to prevent the imposition of any Liens on any of their respective properties arising out of or related to any Environmental Laws. Nothing in this Section shall impose any obligation or liability whatsoever on the Administrative Agent or any Lender.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7.10. Further Assurances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At such Borrower’s cost and expense and upon request of the Administrative Agent, each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7.11. REIT Status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Parent shall maintain its status as, and election to be treated as, a REIT under the Internal Revenue Code.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7.12. Exchange Listing</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Parent shall maintain at least one class of common shares of the Parent which either has trading privileges on any of the New York Stock Exchange, the American Stock Exchange or on any other national stock exchange or which is subject to price quotations on The NASDAQ Stock Market’s National Market System or any other national electronic market system.</w:t>
      </w:r>
    </w:p>
    <w:p>
      <w:pPr>
        <w:spacing w:after="0" w:line="150" w:lineRule="exact"/>
        <w:rPr>
          <w:sz w:val="20"/>
          <w:szCs w:val="20"/>
          <w:color w:val="auto"/>
        </w:rPr>
      </w:pPr>
    </w:p>
    <w:p>
      <w:pPr>
        <w:ind w:left="4120"/>
        <w:spacing w:after="0"/>
        <w:tabs>
          <w:tab w:leader="none" w:pos="6080" w:val="left"/>
        </w:tabs>
        <w:rPr>
          <w:sz w:val="20"/>
          <w:szCs w:val="20"/>
          <w:color w:val="auto"/>
        </w:rPr>
      </w:pPr>
      <w:r>
        <w:rPr>
          <w:rFonts w:ascii="Times New Roman" w:cs="Times New Roman" w:eastAsia="Times New Roman" w:hAnsi="Times New Roman"/>
          <w:sz w:val="20"/>
          <w:szCs w:val="20"/>
          <w:b w:val="1"/>
          <w:bCs w:val="1"/>
          <w:color w:val="auto"/>
        </w:rPr>
        <w:t>ARTICLE VIII.</w:t>
      </w:r>
      <w:r>
        <w:rPr>
          <w:sz w:val="20"/>
          <w:szCs w:val="20"/>
          <w:color w:val="auto"/>
        </w:rPr>
        <w:tab/>
      </w:r>
      <w:r>
        <w:rPr>
          <w:rFonts w:ascii="Times New Roman" w:cs="Times New Roman" w:eastAsia="Times New Roman" w:hAnsi="Times New Roman"/>
          <w:sz w:val="19"/>
          <w:szCs w:val="19"/>
          <w:b w:val="1"/>
          <w:bCs w:val="1"/>
          <w:color w:val="auto"/>
        </w:rPr>
        <w:t>Information</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For so long as this Agreement is in effect, the Borrower Representative shall furnish to the Administrative Agent for distribution to each of the Lenders: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8.1. Quarterly Financial Statements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- 62 -</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As soon as available and in any event within 5 </w:t>
      </w:r>
      <w:r>
        <w:rPr>
          <w:rFonts w:ascii="Times New Roman" w:cs="Times New Roman" w:eastAsia="Times New Roman" w:hAnsi="Times New Roman"/>
          <w:sz w:val="20"/>
          <w:szCs w:val="20"/>
          <w:color w:val="FF0000"/>
          <w:strike w:val="1"/>
        </w:rPr>
        <w:t>days</w:t>
      </w:r>
      <w:r>
        <w:rPr>
          <w:rFonts w:ascii="Times New Roman" w:cs="Times New Roman" w:eastAsia="Times New Roman" w:hAnsi="Times New Roman"/>
          <w:sz w:val="20"/>
          <w:szCs w:val="20"/>
          <w:u w:val="single" w:color="auto"/>
          <w:color w:val="0101FF"/>
        </w:rPr>
        <w:t>Business Days</w:t>
      </w:r>
      <w:r>
        <w:rPr>
          <w:rFonts w:ascii="Times New Roman" w:cs="Times New Roman" w:eastAsia="Times New Roman" w:hAnsi="Times New Roman"/>
          <w:sz w:val="20"/>
          <w:szCs w:val="20"/>
          <w:color w:val="auto"/>
        </w:rPr>
        <w:t xml:space="preserve"> after the same is required to be filed with the Securities and Exchange Commission (but in no event later than 60 days after the end of each of the first, second and third fiscal quarters of the Parent), the unaudited consolidated balance sheets of the Parent and its Subsidiaries as at the end of such period and the related unaudited consolidated statements of income, equity or capital, as applicable, and cash flows for such period, setting forth in each case in comparative form the figures as of the end of and for the corresponding periods of the previous fiscal year, all of which shall be certified by the respective chief executive officer or chief financial officer of the Parent, in his or her opinion, to present fairly, in accordance with GAAP and in all material respects, the consolidated financial position of the Parent and its Subsidiaries as at the date thereof and the results of operations for such period (subject to normal year-end audit adjustments).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8.2. Year-End Statements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As soon as available and in any event within 5 </w:t>
      </w:r>
      <w:r>
        <w:rPr>
          <w:rFonts w:ascii="Times New Roman" w:cs="Times New Roman" w:eastAsia="Times New Roman" w:hAnsi="Times New Roman"/>
          <w:sz w:val="19"/>
          <w:szCs w:val="19"/>
          <w:color w:val="FF0000"/>
          <w:strike w:val="1"/>
        </w:rPr>
        <w:t>days</w:t>
      </w:r>
      <w:r>
        <w:rPr>
          <w:rFonts w:ascii="Times New Roman" w:cs="Times New Roman" w:eastAsia="Times New Roman" w:hAnsi="Times New Roman"/>
          <w:sz w:val="19"/>
          <w:szCs w:val="19"/>
          <w:u w:val="single" w:color="auto"/>
          <w:color w:val="0101FF"/>
        </w:rPr>
        <w:t>Business Days</w:t>
      </w:r>
      <w:r>
        <w:rPr>
          <w:rFonts w:ascii="Times New Roman" w:cs="Times New Roman" w:eastAsia="Times New Roman" w:hAnsi="Times New Roman"/>
          <w:sz w:val="19"/>
          <w:szCs w:val="19"/>
          <w:color w:val="auto"/>
        </w:rPr>
        <w:t xml:space="preserve"> after the same is required to be filed with the Securities and Exchange Commission (but in no event later than 105 days after the end of each fiscal year of the Parent), the audited consolidated balance sheets of the Parent and its Subsidiaries as at the end of such fiscal year and the related audited consolidated statements of income, equity or capital, as applicable, and cash flows for such fiscal year, setting forth in comparative form the figures as at the end of and for the previous fiscal year, all of which shall be (a) certified by the respective chief executive officer or chief financial officer of the Parent, in his or her opinion, to present fairly, in accordance with GAAP and in all material respects, the financial position of the Parent and its Subsidiaries as at the date thereof and the result of operations for such period and (b) accompanied by the report thereon of </w:t>
      </w:r>
      <w:r>
        <w:rPr>
          <w:rFonts w:ascii="Times New Roman" w:cs="Times New Roman" w:eastAsia="Times New Roman" w:hAnsi="Times New Roman"/>
          <w:sz w:val="19"/>
          <w:szCs w:val="19"/>
          <w:color w:val="FF0000"/>
          <w:strike w:val="1"/>
        </w:rPr>
        <w:t>Ernst &amp; Young</w:t>
      </w:r>
      <w:r>
        <w:rPr>
          <w:rFonts w:ascii="Times New Roman" w:cs="Times New Roman" w:eastAsia="Times New Roman" w:hAnsi="Times New Roman"/>
          <w:sz w:val="19"/>
          <w:szCs w:val="19"/>
          <w:u w:val="single" w:color="auto"/>
          <w:color w:val="0101FF"/>
        </w:rPr>
        <w:t>Deloitte</w:t>
      </w:r>
      <w:r>
        <w:rPr>
          <w:rFonts w:ascii="Times New Roman" w:cs="Times New Roman" w:eastAsia="Times New Roman" w:hAnsi="Times New Roman"/>
          <w:sz w:val="19"/>
          <w:szCs w:val="19"/>
          <w:color w:val="auto"/>
        </w:rPr>
        <w:t xml:space="preserve"> LLP or any other independent certified public accountants of recognized national standing, whose report shall not be subject to any “going concern” or like qualification, exception or explanatory paragraph or any qualification, exception or explanatory paragraph as to the scope of such audit.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8.3. Compliance Certificate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At the time the financial statements of the Parent are furnished pursuant to Sections 8.1. and 8.2., a certificate substantially in the form of Exhibit O (each a “Compliance Certificate”) executed on behalf of the Parent by the chief financial officer of the Parent (a) setting forth in reasonable detail as of the end of such quarterly accounting period or fiscal year, as the case may be, the calculations required to establish whether the Parent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Parent and the other Borrower with respect to such Default or Event of Default. At the time financial statements are furnished pursuant to Sections 8.1. and 8.2., the Parent shall also deliver (A) a report, in form and detail reasonably satisfactory to the Administrative Agent, setting forth a </w:t>
      </w:r>
      <w:r>
        <w:rPr>
          <w:rFonts w:ascii="Times New Roman" w:cs="Times New Roman" w:eastAsia="Times New Roman" w:hAnsi="Times New Roman"/>
          <w:sz w:val="20"/>
          <w:szCs w:val="20"/>
          <w:color w:val="FF0000"/>
          <w:strike w:val="1"/>
        </w:rPr>
        <w:t>statement of Funds From Operations for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Parent for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8000"/>
          <w:strike w:val="1"/>
        </w:rPr>
        <w:t>period of four consecutive fiscal quarters</w:t>
      </w:r>
      <w:r>
        <w:rPr>
          <w:rFonts w:ascii="Times New Roman" w:cs="Times New Roman" w:eastAsia="Times New Roman" w:hAnsi="Times New Roman"/>
          <w:sz w:val="20"/>
          <w:szCs w:val="20"/>
          <w:color w:val="FF0000"/>
        </w:rPr>
        <w:t xml:space="preserve"> then ended; (B) a report, in form and detail reasonably satisfactory to the </w:t>
      </w:r>
      <w:r>
        <w:rPr>
          <w:rFonts w:ascii="Times New Roman" w:cs="Times New Roman" w:eastAsia="Times New Roman" w:hAnsi="Times New Roman"/>
          <w:sz w:val="20"/>
          <w:szCs w:val="20"/>
          <w:color w:val="FF0000"/>
          <w:strike w:val="1"/>
        </w:rPr>
        <w:t>Administrative Agent, setting forth 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list of all Properties acquired by the Parent and its respective Subsidiaries since the date of the delivery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of the previous such report, such list to identify such Property’s name, location, year built or acquired, anchor tenants, if any, amount of related mortgage Indebtedness, if any, and the maturity of such mortgage Indebtedness, and the Occupancy Rate and Net Operating Income for such Property, and (</w:t>
      </w:r>
      <w:r>
        <w:rPr>
          <w:rFonts w:ascii="Times New Roman" w:cs="Times New Roman" w:eastAsia="Times New Roman" w:hAnsi="Times New Roman"/>
          <w:sz w:val="20"/>
          <w:szCs w:val="20"/>
          <w:color w:val="FF0000"/>
          <w:strike w:val="1"/>
        </w:rPr>
        <w:t>C</w:t>
      </w:r>
      <w:r>
        <w:rPr>
          <w:rFonts w:ascii="Times New Roman" w:cs="Times New Roman" w:eastAsia="Times New Roman" w:hAnsi="Times New Roman"/>
          <w:sz w:val="20"/>
          <w:szCs w:val="20"/>
          <w:u w:val="single" w:color="auto"/>
          <w:color w:val="0101FF"/>
        </w:rPr>
        <w:t>B</w:t>
      </w:r>
      <w:r>
        <w:rPr>
          <w:rFonts w:ascii="Times New Roman" w:cs="Times New Roman" w:eastAsia="Times New Roman" w:hAnsi="Times New Roman"/>
          <w:sz w:val="20"/>
          <w:szCs w:val="20"/>
          <w:color w:val="000000"/>
        </w:rPr>
        <w:t>) a list of all Properties that are 1031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-693420</wp:posOffset>
            </wp:positionV>
            <wp:extent cx="41027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410273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8.4. Other Information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- 63 -</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62" w:lineRule="exact"/>
        <w:rPr>
          <w:sz w:val="20"/>
          <w:szCs w:val="20"/>
          <w:color w:val="auto"/>
        </w:rPr>
      </w:pPr>
    </w:p>
    <w:p>
      <w:pPr>
        <w:ind w:left="-206" w:firstLine="656"/>
        <w:spacing w:after="0" w:line="233" w:lineRule="auto"/>
        <w:tabs>
          <w:tab w:leader="none" w:pos="108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request by the Administrative Agent or any Lender (through the Administrative Agent), copies of all management reports, if any, submitted to any Borrower or its Board of Directors by its independent public accountants;</w:t>
      </w:r>
    </w:p>
    <w:p>
      <w:pPr>
        <w:spacing w:after="0" w:line="147" w:lineRule="exact"/>
        <w:rPr>
          <w:rFonts w:ascii="Times New Roman" w:cs="Times New Roman" w:eastAsia="Times New Roman" w:hAnsi="Times New Roman"/>
          <w:sz w:val="20"/>
          <w:szCs w:val="20"/>
          <w:color w:val="auto"/>
        </w:rPr>
      </w:pPr>
    </w:p>
    <w:p>
      <w:pPr>
        <w:jc w:val="both"/>
        <w:ind w:left="-206" w:firstLine="656"/>
        <w:spacing w:after="0" w:line="222" w:lineRule="auto"/>
        <w:tabs>
          <w:tab w:leader="none" w:pos="107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any Borrower, any other Loan Party or any other Subsidiary shall file with the Securities and Exchange Commission (or any Governmental Authority substituted therefor) or any national securities exchange;</w:t>
      </w:r>
    </w:p>
    <w:p>
      <w:pPr>
        <w:spacing w:after="0" w:line="134" w:lineRule="exact"/>
        <w:rPr>
          <w:rFonts w:ascii="Times New Roman" w:cs="Times New Roman" w:eastAsia="Times New Roman" w:hAnsi="Times New Roman"/>
          <w:sz w:val="20"/>
          <w:szCs w:val="20"/>
          <w:color w:val="auto"/>
        </w:rPr>
      </w:pPr>
    </w:p>
    <w:p>
      <w:pPr>
        <w:jc w:val="both"/>
        <w:ind w:left="-206" w:firstLine="656"/>
        <w:spacing w:after="0" w:line="220" w:lineRule="auto"/>
        <w:tabs>
          <w:tab w:leader="none" w:pos="108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upon the mailing thereof to the shareholders of the Parent generally, copies of all financial statements, reports and proxy statements so mailed and promptly upon the issuance thereof copies of all press releases issued by any Borrower, any other Loan Party or any Subsidiary (but only if such financial reports, proxy statements and press releases are not publicly available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publicly available, the Borrower Representative has notified the Administrative Agent in writing (which may be by telecopy or electronic mail ) of such public availability);</w:t>
      </w:r>
    </w:p>
    <w:p>
      <w:pPr>
        <w:spacing w:after="0" w:line="133" w:lineRule="exact"/>
        <w:rPr>
          <w:rFonts w:ascii="Times New Roman" w:cs="Times New Roman" w:eastAsia="Times New Roman" w:hAnsi="Times New Roman"/>
          <w:sz w:val="20"/>
          <w:szCs w:val="20"/>
          <w:color w:val="auto"/>
        </w:rPr>
      </w:pPr>
    </w:p>
    <w:p>
      <w:pPr>
        <w:jc w:val="both"/>
        <w:ind w:left="-206" w:firstLine="656"/>
        <w:spacing w:after="0" w:line="226" w:lineRule="auto"/>
        <w:tabs>
          <w:tab w:leader="none" w:pos="107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mailing thereof to the partners of SLGOP generally, copies of all financial statements, reports and proxy statements so mailed (but only to the extent that such financial statements, reports and proxy statements are not publicly available to the Administrative Agent and the Lenders);</w:t>
      </w:r>
    </w:p>
    <w:p>
      <w:pPr>
        <w:spacing w:after="0" w:line="133" w:lineRule="exact"/>
        <w:rPr>
          <w:rFonts w:ascii="Times New Roman" w:cs="Times New Roman" w:eastAsia="Times New Roman" w:hAnsi="Times New Roman"/>
          <w:sz w:val="20"/>
          <w:szCs w:val="20"/>
          <w:color w:val="auto"/>
        </w:rPr>
      </w:pPr>
    </w:p>
    <w:p>
      <w:pPr>
        <w:jc w:val="both"/>
        <w:ind w:left="-206" w:firstLine="656"/>
        <w:spacing w:after="0" w:line="222" w:lineRule="auto"/>
        <w:tabs>
          <w:tab w:leader="none" w:pos="108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ERISA Event shall occur that individually, or together with any other ERISA Event that has occurred, could reasonably be expected to have a Material Adverse Effect, a certificate of the chief executive officer or chief financial officer of the Parent setting forth details as to such occurrence and the action, if any, which the Parent or applicable member of the ERISA Group is required or proposes to take;</w:t>
      </w:r>
    </w:p>
    <w:p>
      <w:pPr>
        <w:spacing w:after="0" w:line="148" w:lineRule="exact"/>
        <w:rPr>
          <w:rFonts w:ascii="Times New Roman" w:cs="Times New Roman" w:eastAsia="Times New Roman" w:hAnsi="Times New Roman"/>
          <w:sz w:val="20"/>
          <w:szCs w:val="20"/>
          <w:color w:val="auto"/>
        </w:rPr>
      </w:pPr>
    </w:p>
    <w:p>
      <w:pPr>
        <w:jc w:val="both"/>
        <w:ind w:left="-206" w:firstLine="656"/>
        <w:spacing w:after="0" w:line="217" w:lineRule="auto"/>
        <w:tabs>
          <w:tab w:leader="none" w:pos="1085"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Borrower, any other Loan Party or any other Subsidiary is aware of the same, prompt notice (which may be by telecopy or electronic mail) of the commencement of any proceeding or investigation by or before any Governmental Authority and any action or proceeding in any court or other tribunal or before any arbitrator against or in any other way relating to, or affecting, any Borrower, any other Loan Party or any Subsidiary or any of their respective properties, assets or businesses which could reasonably be expected to have a Material Adverse Effect;</w:t>
      </w:r>
    </w:p>
    <w:p>
      <w:pPr>
        <w:spacing w:after="0" w:line="148" w:lineRule="exact"/>
        <w:rPr>
          <w:rFonts w:ascii="Times New Roman" w:cs="Times New Roman" w:eastAsia="Times New Roman" w:hAnsi="Times New Roman"/>
          <w:sz w:val="20"/>
          <w:szCs w:val="20"/>
          <w:color w:val="auto"/>
        </w:rPr>
      </w:pPr>
    </w:p>
    <w:p>
      <w:pPr>
        <w:jc w:val="both"/>
        <w:ind w:left="-206" w:firstLine="656"/>
        <w:spacing w:after="0" w:line="226" w:lineRule="auto"/>
        <w:tabs>
          <w:tab w:leader="none" w:pos="107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request of the Administrative Agent, the Borrowers shall provide evidence of the Parent’s calculation of the Ownership Share with respect to an Unconsolidated Affiliate, such evidence to be in form and detail reasonably satisfactory to the Administrative Agent;</w:t>
      </w:r>
    </w:p>
    <w:p>
      <w:pPr>
        <w:spacing w:after="0" w:line="133" w:lineRule="exact"/>
        <w:rPr>
          <w:rFonts w:ascii="Times New Roman" w:cs="Times New Roman" w:eastAsia="Times New Roman" w:hAnsi="Times New Roman"/>
          <w:sz w:val="20"/>
          <w:szCs w:val="20"/>
          <w:color w:val="auto"/>
        </w:rPr>
      </w:pPr>
    </w:p>
    <w:p>
      <w:pPr>
        <w:jc w:val="both"/>
        <w:ind w:left="-206" w:firstLine="656"/>
        <w:spacing w:after="0" w:line="230" w:lineRule="auto"/>
        <w:tabs>
          <w:tab w:leader="none" w:pos="107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notice (which may be by telecopy or electronic mail) of any change in the business, assets, liabilities, financial condition, or results of operations of any Borrower, any other Loan Party or any Subsidiary or the occurrence of any other event, in each case, which has had, or could reasonably be expected to have, a Material Adverse Effect;</w:t>
      </w:r>
    </w:p>
    <w:p>
      <w:pPr>
        <w:spacing w:after="0" w:line="135" w:lineRule="exact"/>
        <w:rPr>
          <w:rFonts w:ascii="Times New Roman" w:cs="Times New Roman" w:eastAsia="Times New Roman" w:hAnsi="Times New Roman"/>
          <w:sz w:val="20"/>
          <w:szCs w:val="20"/>
          <w:color w:val="auto"/>
        </w:rPr>
      </w:pPr>
    </w:p>
    <w:p>
      <w:pPr>
        <w:ind w:left="-206" w:firstLine="656"/>
        <w:spacing w:after="0"/>
        <w:tabs>
          <w:tab w:leader="none" w:pos="108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(which may be by telecopy or electronic mail) of the occurrence of any Default or Event of Default promptly upon a Responsible Officer of the Parent or any other Borrower or any other Loan Party obtaining knowledge thereof;</w:t>
      </w:r>
    </w:p>
    <w:p>
      <w:pPr>
        <w:spacing w:after="0" w:line="134" w:lineRule="exact"/>
        <w:rPr>
          <w:rFonts w:ascii="Times New Roman" w:cs="Times New Roman" w:eastAsia="Times New Roman" w:hAnsi="Times New Roman"/>
          <w:sz w:val="20"/>
          <w:szCs w:val="20"/>
          <w:color w:val="auto"/>
        </w:rPr>
      </w:pPr>
    </w:p>
    <w:p>
      <w:pPr>
        <w:jc w:val="both"/>
        <w:ind w:left="-206" w:firstLine="656"/>
        <w:spacing w:after="0" w:line="226" w:lineRule="auto"/>
        <w:tabs>
          <w:tab w:leader="none" w:pos="108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notice (which may be by telecopy or electronic mail) of any order, judgment or decree having been entered against any Loan Party or any Material Subsidiary, or any of their respective properties or assets, that individually or in the aggregate with all other such orders, judgments or decrees is in excess of $75,000,000;</w:t>
      </w:r>
    </w:p>
    <w:p>
      <w:pPr>
        <w:spacing w:after="0" w:line="146" w:lineRule="exact"/>
        <w:rPr>
          <w:rFonts w:ascii="Times New Roman" w:cs="Times New Roman" w:eastAsia="Times New Roman" w:hAnsi="Times New Roman"/>
          <w:sz w:val="20"/>
          <w:szCs w:val="20"/>
          <w:color w:val="auto"/>
        </w:rPr>
      </w:pPr>
    </w:p>
    <w:p>
      <w:pPr>
        <w:ind w:left="-206" w:firstLine="656"/>
        <w:spacing w:after="0" w:line="233" w:lineRule="auto"/>
        <w:tabs>
          <w:tab w:leader="none" w:pos="107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any change in Rated Borrower’s Credit Rating, written notice (which may be by telecopy or electronic mail) stating that Rated Borrower’s Credit Rating has changed and providing the new Credit Rating that is in effect;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64 -</w:t>
      </w:r>
    </w:p>
    <w:p>
      <w:pPr>
        <w:sectPr>
          <w:pgSz w:w="11900" w:h="16838" w:orient="portrait"/>
          <w:cols w:equalWidth="0" w:num="1">
            <w:col w:w="11034"/>
          </w:cols>
          <w:pgMar w:left="526" w:top="1440" w:right="339" w:bottom="1440" w:gutter="0" w:footer="0" w:header="0"/>
        </w:sectPr>
      </w:pPr>
    </w:p>
    <w:bookmarkStart w:id="271" w:name="page272"/>
    <w:bookmarkEnd w:id="271"/>
    <w:p>
      <w:pPr>
        <w:spacing w:after="0" w:line="162" w:lineRule="exact"/>
        <w:rPr>
          <w:sz w:val="20"/>
          <w:szCs w:val="20"/>
          <w:color w:val="auto"/>
        </w:rPr>
      </w:pPr>
    </w:p>
    <w:p>
      <w:pPr>
        <w:ind w:firstLine="656"/>
        <w:spacing w:after="0" w:line="233" w:lineRule="auto"/>
        <w:tabs>
          <w:tab w:leader="none" w:pos="129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each request, information identifying the Borrowers as a Lender may request in order to comply with applicable “know your customer” and Anti-Money Laundering Laws, including without limitation, the Patriot Act;</w:t>
      </w:r>
    </w:p>
    <w:p>
      <w:pPr>
        <w:spacing w:after="0" w:line="147"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3 Business Days after any Borrower obtains knowledge thereof, written notice (which may be by telecopy or electronic mail) of the occurrence of any of the following: (i) a Borrower, any other Loan Party or any Subsidiary shall receive notice that any violation of or noncompliance with any Environmental Law has or may have been committed or is threatened; (ii) a Borrower, any other Loan Party or any Subsidiary shall receive notice that any administrative or judicial complaint, order or petition has been filed or other proceeding has been initiated, or is about to be filed or initiated against any such Person alleging any violation of or noncompliance with any Environmental Law or requiring any such Person to take any action in connection with the release or threatened release of Hazardous Materials; (iii) a Borrower, any other Loan Party or any Subsidiary shall receive any notice from a Governmental Authority or private party alleging that any such Person may be liable or responsible for any costs associated with a response to, or remediation or cleanup of, a release or threatened release of Hazardous Materials or any damages caused thereby; or (iv) a Borrower, any other Loan Party or any Subsidiary shall receive notice of any other fact, circumstance or condition that could reasonably be expected to form the basis of an environmental claim, and the matters covered by notices referred to in any of the immediately preceding clauses (i) through (iv), whether individually or in the aggregate, could reasonably be expected to have a Material Adverse Effect; and</w:t>
      </w:r>
    </w:p>
    <w:p>
      <w:pPr>
        <w:spacing w:after="0" w:line="13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notice (which may be by telecopy or electronic mail) of the sale, transfer or other disposition of any material assets of the any Borrower, any other Loan Party or any Subsidiary to any Person other than any Borrower, any other Loan Party or any Subsidiary; and</w:t>
      </w:r>
    </w:p>
    <w:p>
      <w:pPr>
        <w:spacing w:after="0" w:line="146"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time to time and promptly upon each request, such data, certificates, reports, statements, opinions of counsel, documents or further information regarding any Property or the business, assets, liabilities, financial condition, results of operations or business prospects of any Borrower, any other Loan Party or any of their respective Subsidiaries as the Administrative Agent or any Lender (through the Administrative Agent) may reasonably request.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8.5. Electronic Delivery of Certain Information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0" w:lineRule="auto"/>
        <w:tabs>
          <w:tab w:leader="none" w:pos="1286"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required to be delivered pursuant to the Loan Documents may be delivered by electronic communication and delivery, including, the Internet, e-mail or intranet websites to which the Administrative Agent and each Lender have access (including a commercial, third-party website such as www.sec.gov &lt;http://www.sec.gov&gt; or a website sponsored or hosted by the Administrative Agent or the Borrowers) provided that the foregoing shall not apply to (i) notices to any Lender pursuant to Article II. and (ii) any Lender that has notified the Administrative Agent and the Borrower Representative that it cannot or does not want to receive electronic communications. The Administrative Agent, the Borrower Representative or any other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Business Day on which the Administrative Agent or the Borrower Representative or another Borrower posts such documents or the documents become available on a commercial website and the Administrative Agent, the Borrower Representative or other Borrower notifies each Lender of said posting and provides a link thereto provided if such notice or other communication is sent after 12:00 noon Eastern time on any Business Day, such notice or other communication shall be deemed to have been delivered on the next succeeding Business Day. Notwithstanding anything contained herein, in every instance the Parent shall be required to provide to the Administrative Agent paper copies of the certificates required by Section 8.3. and the Borrowers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any Borrower with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65 -</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6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any such request for delivery. Each Lender shall be solely responsible for requesting delivery to it of paper copies and maintaining its paper or electronic documents.</w:t>
      </w:r>
    </w:p>
    <w:p>
      <w:pPr>
        <w:spacing w:after="0" w:line="147" w:lineRule="exact"/>
        <w:rPr>
          <w:sz w:val="20"/>
          <w:szCs w:val="20"/>
          <w:color w:val="auto"/>
        </w:rPr>
      </w:pPr>
    </w:p>
    <w:p>
      <w:pPr>
        <w:ind w:firstLine="656"/>
        <w:spacing w:after="0" w:line="233" w:lineRule="auto"/>
        <w:tabs>
          <w:tab w:leader="none" w:pos="12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required to be delivered pursuant to Article II. may be delivered electronically to a website provided for such purpose by the Administrative Agent pursuant to the procedures provided to the Borrowers by the Administrative Agent.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8.6. Public/Private Information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Borrower Representative and each other Borrower shall cooperate with the Administrative Agent in connection with the publication of certain materials and/or information provided by or on behalf of any Borrower. Documents required to be delivered pursuant to the Loan Documents shall be delivered by or on behalf of a Borrower to the Administrative Agent and the Lenders (collectively, “Information Materials”) pursuant to this Article, and the Borrower Representative or a Borrower, as the case may be, shall designate Information Materials (a) that are either available to the public or not material with respect to a Borrower and its Subsidiaries or any of their respective securities for purposes of United States federal and state securities laws, as “Public Information” and (b) that are not Public Information as “Private Information”. Absent written notice from the Borrower Representative to the contrary, the Borrower Representative hereby designates all Information Materials included in the public filings made by any Borrower or any of the Subsidiaries with the Securities and Exchange Commission as “Public Information” and all other Information Materials as “Private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8.7. USA Patriot Act Notice; Compliance</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The USA Patriot Act of 2001 (Public Law 107-56) and federal regulations issued with respect thereto require all financial institutions to obtain, verify and record certain information that identifies individuals or business entities which open an “account” with such financial institution. Consequently, a Lender (for itself and/or as agent for all Lenders hereunder) may from time-to-time request, and the Parent shall, and shall cause each other Loan Party to, provide to such Lender, such Loan Party’s name, address, tax identification number and/or such other identification information as shall be necessary for such Lender to comply with federal law. An “account” for this purpose may include, without limitation, a deposit account, cash management service, a transaction or asset account, a credit account, a loan or other extension of credit, and/or other financial services product. The Borrowers agree to promptly notify the Administrative Agent and each Lender, in each case, that previously received a Beneficial Ownership Certification of any change in the information provided in the Beneficial Ownership Certification that would result in a change to the list of beneficial owners identified therein (or, if applicable, the Borrowers ceasing to fall within an express exclusion to the definition of “legal entity customer” under the Beneficial Ownership Regulation) and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13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ARTICLE IX. Negative Covenants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so long as this Agreement is in effect, the Parent shall comply with the following covenants: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9.1. Financial Covenants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56"/>
        <w:spacing w:after="0" w:line="222" w:lineRule="auto"/>
        <w:tabs>
          <w:tab w:leader="none" w:pos="1286"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Ratio of Total Indebtedness to Total Asset Value</w:t>
      </w:r>
      <w:r>
        <w:rPr>
          <w:rFonts w:ascii="Times New Roman" w:cs="Times New Roman" w:eastAsia="Times New Roman" w:hAnsi="Times New Roman"/>
          <w:sz w:val="20"/>
          <w:szCs w:val="20"/>
          <w:color w:val="auto"/>
        </w:rPr>
        <w:t xml:space="preserve">. The Parent shall not permit the ratio of (i) Total Indebtedness of the Parent and its Subsidiaries to (ii) Total Asset Value of the Parent and its Subsidiaries to exceed 0.60 to 1.00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ratio may exceed 0.60 to 1.00 during any fiscal quarter and the two subsequent fiscal quarters (each such period during which such ratio is exceeded, an “Increase Period”) so long as such ratio does not exceed 0.65 to 1.00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1"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66 -</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ratio cannot exceed 0.60 to 1.00 as of the last Business Day of the fiscal quarter immediately following an Increase Period before a new Increase Period may begin. For purposes of calculating this ratio, (A) Total Indebtedness shall be adjusted by deducting</w:t>
      </w:r>
    </w:p>
    <w:p>
      <w:pPr>
        <w:spacing w:after="0" w:line="212" w:lineRule="auto"/>
        <w:rPr>
          <w:sz w:val="20"/>
          <w:szCs w:val="20"/>
          <w:color w:val="auto"/>
        </w:rPr>
      </w:pPr>
      <w:r>
        <w:rPr>
          <w:rFonts w:ascii="Times New Roman" w:cs="Times New Roman" w:eastAsia="Times New Roman" w:hAnsi="Times New Roman"/>
          <w:sz w:val="20"/>
          <w:szCs w:val="20"/>
          <w:color w:val="auto"/>
        </w:rPr>
        <w:t>therefrom an amount equal to the lesser of (x) unrestricted cash and Cash Equivalents of the Parent and its Subsidiaries as of the date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determination and (y) the amount of Total Indebtedness of the Parent and its Subsidiaries that matures on or before the date that is 24 months from the date of the calculation and (B) Total Asset Value shall be adjusted by deducting therefrom the amount by which Total Indebtedness</w:t>
      </w:r>
    </w:p>
    <w:p>
      <w:pPr>
        <w:spacing w:after="0"/>
        <w:rPr>
          <w:sz w:val="20"/>
          <w:szCs w:val="20"/>
          <w:color w:val="auto"/>
        </w:rPr>
      </w:pPr>
      <w:r>
        <w:rPr>
          <w:rFonts w:ascii="Times New Roman" w:cs="Times New Roman" w:eastAsia="Times New Roman" w:hAnsi="Times New Roman"/>
          <w:sz w:val="20"/>
          <w:szCs w:val="20"/>
          <w:color w:val="auto"/>
        </w:rPr>
        <w:t>is adjusted under the immediately preceding clause (A).</w:t>
      </w:r>
    </w:p>
    <w:p>
      <w:pPr>
        <w:spacing w:after="0" w:line="140" w:lineRule="exact"/>
        <w:rPr>
          <w:sz w:val="20"/>
          <w:szCs w:val="20"/>
          <w:color w:val="auto"/>
        </w:rPr>
      </w:pPr>
    </w:p>
    <w:p>
      <w:pPr>
        <w:jc w:val="both"/>
        <w:ind w:firstLine="656"/>
        <w:spacing w:after="0" w:line="220"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Ratio of Adjusted EBITDA to Fixed Charges</w:t>
      </w:r>
      <w:r>
        <w:rPr>
          <w:rFonts w:ascii="Times New Roman" w:cs="Times New Roman" w:eastAsia="Times New Roman" w:hAnsi="Times New Roman"/>
          <w:sz w:val="20"/>
          <w:szCs w:val="20"/>
          <w:color w:val="auto"/>
        </w:rPr>
        <w:t xml:space="preserve">. The Parent shall not permit the ratio of (i) </w:t>
      </w:r>
      <w:r>
        <w:rPr>
          <w:rFonts w:ascii="Times New Roman" w:cs="Times New Roman" w:eastAsia="Times New Roman" w:hAnsi="Times New Roman"/>
          <w:sz w:val="20"/>
          <w:szCs w:val="20"/>
          <w:u w:val="single" w:color="auto"/>
          <w:color w:val="0101FF"/>
        </w:rPr>
        <w:t>the sum of (x)</w:t>
      </w:r>
      <w:r>
        <w:rPr>
          <w:rFonts w:ascii="Times New Roman" w:cs="Times New Roman" w:eastAsia="Times New Roman" w:hAnsi="Times New Roman"/>
          <w:sz w:val="20"/>
          <w:szCs w:val="20"/>
          <w:color w:val="auto"/>
        </w:rPr>
        <w:t xml:space="preserve"> Adjusted EBITDA of the Parent and its Subsidiaries for the period of four consecutive fiscal quarters most recently ended </w:t>
      </w:r>
      <w:r>
        <w:rPr>
          <w:rFonts w:ascii="Times New Roman" w:cs="Times New Roman" w:eastAsia="Times New Roman" w:hAnsi="Times New Roman"/>
          <w:sz w:val="20"/>
          <w:szCs w:val="20"/>
          <w:u w:val="single" w:color="auto"/>
          <w:color w:val="0101FF"/>
        </w:rPr>
        <w:t>plus (y) cash and Cash Equivalents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actually distributed to the Borrowers and their Subsidiaries by Unconsolidated Affiliates</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to (ii) Fixed Charges of the Parent and its</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 xml:space="preserve">Subsidiaries for such period, to be less than (x) prior to a Change of Control, </w:t>
      </w:r>
      <w:r>
        <w:rPr>
          <w:rFonts w:ascii="Times New Roman" w:cs="Times New Roman" w:eastAsia="Times New Roman" w:hAnsi="Times New Roman"/>
          <w:sz w:val="20"/>
          <w:szCs w:val="20"/>
          <w:color w:val="FF0000"/>
          <w:strike w:val="1"/>
        </w:rPr>
        <w:t>1.40</w:t>
      </w:r>
      <w:r>
        <w:rPr>
          <w:rFonts w:ascii="Times New Roman" w:cs="Times New Roman" w:eastAsia="Times New Roman" w:hAnsi="Times New Roman"/>
          <w:sz w:val="20"/>
          <w:szCs w:val="20"/>
          <w:u w:val="single" w:color="auto"/>
          <w:color w:val="0101FF"/>
        </w:rPr>
        <w:t>1.50</w:t>
      </w:r>
      <w:r>
        <w:rPr>
          <w:rFonts w:ascii="Times New Roman" w:cs="Times New Roman" w:eastAsia="Times New Roman" w:hAnsi="Times New Roman"/>
          <w:sz w:val="20"/>
          <w:szCs w:val="20"/>
          <w:color w:val="000000"/>
        </w:rPr>
        <w:t xml:space="preserve"> to 1.00 at any time or (y) on and after a Change of Control, 1.75 to 1.00 at any time.</w:t>
      </w:r>
    </w:p>
    <w:p>
      <w:pPr>
        <w:spacing w:after="0" w:line="133"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Ratio of Secured Indebtedness to Total Asset Value</w:t>
      </w:r>
      <w:r>
        <w:rPr>
          <w:rFonts w:ascii="Times New Roman" w:cs="Times New Roman" w:eastAsia="Times New Roman" w:hAnsi="Times New Roman"/>
          <w:sz w:val="20"/>
          <w:szCs w:val="20"/>
          <w:color w:val="auto"/>
        </w:rPr>
        <w:t>. The Parent shall not permit the ratio of (i) Secured Indebtedness of the Parent and its Subsidiaries to (ii) Total Asset Value of the Parent and its Subsidiaries to exceed 0.50 to 1.00 at any time.</w:t>
      </w:r>
    </w:p>
    <w:p>
      <w:pPr>
        <w:spacing w:after="0" w:line="134"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Ratio of Unsecured Indebtedness to Unencumbered Asset Value</w:t>
      </w:r>
      <w:r>
        <w:rPr>
          <w:rFonts w:ascii="Times New Roman" w:cs="Times New Roman" w:eastAsia="Times New Roman" w:hAnsi="Times New Roman"/>
          <w:sz w:val="20"/>
          <w:szCs w:val="20"/>
          <w:color w:val="auto"/>
        </w:rPr>
        <w:t xml:space="preserve">. The Parent shall not permit the ratio of (i) Unsecured Indebtedness of the Parent and its Subsidiaries for any fiscal quarter to (ii) Unencumbered Asset Value of the Parent and its Subsidiaries for such fiscal quarter to exceed 0.60 to 1.00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ratio may exceed 0.60 to 1.00 during any fiscal quarter and the two subsequent fiscal quarters (each such period during which such ratio is exceeded, an “Increase Period”) so long as such ratio does not exceed 0.65 to 1.00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ratio cannot exceed 0.60 to 1.00 as of the last Business Day of the fiscal quarter immediately following an Increase Period before a new Increase Period may begin. For purposes of calculating this ratio, (A) Unsecured Indebtedness shall be adjusted by deducting therefrom an amount equal to the lesser of (x) unrestricted cash and Cash Equivalents of the Parent and its Subsidiaries as of the date of determination and (y) the amount of Total Indebtedness of the Parent and its Subsidiaries that matures on or before the date that is 24 months from the date of the calculation and (B) Unencumbered Asset Value shall be adjusted by deducting therefrom the amount by which Unsecured Indebtedness is adjusted under the immediately preceding clause (A).</w:t>
      </w:r>
    </w:p>
    <w:p>
      <w:pPr>
        <w:spacing w:after="0" w:line="142"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 and Other Restricted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Subject to the following sentence, if</w:t>
      </w:r>
      <w:r>
        <w:rPr>
          <w:rFonts w:ascii="Times New Roman" w:cs="Times New Roman" w:eastAsia="Times New Roman" w:hAnsi="Times New Roman"/>
          <w:sz w:val="20"/>
          <w:szCs w:val="20"/>
          <w:u w:val="single" w:color="auto"/>
          <w:color w:val="0101FF"/>
        </w:rPr>
        <w:t>If</w:t>
      </w:r>
      <w:r>
        <w:rPr>
          <w:rFonts w:ascii="Times New Roman" w:cs="Times New Roman" w:eastAsia="Times New Roman" w:hAnsi="Times New Roman"/>
          <w:sz w:val="20"/>
          <w:szCs w:val="20"/>
          <w:color w:val="auto"/>
        </w:rPr>
        <w:t xml:space="preserve"> an Event of Default </w:t>
      </w:r>
      <w:r>
        <w:rPr>
          <w:rFonts w:ascii="Times New Roman" w:cs="Times New Roman" w:eastAsia="Times New Roman" w:hAnsi="Times New Roman"/>
          <w:sz w:val="20"/>
          <w:szCs w:val="20"/>
          <w:color w:val="FF0000"/>
          <w:strike w:val="1"/>
        </w:rPr>
        <w:t>exists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specified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Section 10.1.(a), Section 10.1.(e) or Section 10.1.(f) shall exist, or if as a result of the occurrence of any other Event of Default any of the Obligations have been accelerated pursuant to Section 10.2.(a),</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the Parent shall not, and shall not permit any of its Subsidiaries to, make any</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 xml:space="preserve">Restricted Payments; provided that (i) SLGOP may declare and make cash distributions to holders of partnership interests in SLGOP, with respect to any fiscal year to the extent necessary for the Parent to distribute, and the Parent may so distribute, an aggregate amount not to exceed the minimum amount necessary for the Parent to remain in compliance with Section 7.11. and (ii) Subsidiaries of a Borrower may make Restricted Payments to (A) such Borrower and </w:t>
      </w:r>
      <w:r>
        <w:rPr>
          <w:rFonts w:ascii="Times New Roman" w:cs="Times New Roman" w:eastAsia="Times New Roman" w:hAnsi="Times New Roman"/>
          <w:sz w:val="20"/>
          <w:szCs w:val="20"/>
          <w:u w:val="single" w:color="auto"/>
          <w:color w:val="0101FF"/>
        </w:rPr>
        <w:t>its Wholly Owned Subsidiaries, (B)</w:t>
      </w:r>
      <w:r>
        <w:rPr>
          <w:rFonts w:ascii="Times New Roman" w:cs="Times New Roman" w:eastAsia="Times New Roman" w:hAnsi="Times New Roman"/>
          <w:sz w:val="20"/>
          <w:szCs w:val="20"/>
          <w:color w:val="000000"/>
        </w:rPr>
        <w:t xml:space="preserve"> to other holders of the Equity Interests in such Subsidiaries to the extent necessary to make Restricted Payments to such Borrower or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101FF"/>
        </w:rPr>
        <w:t>C</w:t>
      </w:r>
      <w:r>
        <w:rPr>
          <w:rFonts w:ascii="Times New Roman" w:cs="Times New Roman" w:eastAsia="Times New Roman" w:hAnsi="Times New Roman"/>
          <w:sz w:val="20"/>
          <w:szCs w:val="20"/>
          <w:color w:val="000000"/>
        </w:rPr>
        <w:t xml:space="preserve">) any of such Borrower’s Subsidiaries, and in the case of a Subsidiary of such Borrower that is not a Wholly Owned Subsidiary, to each other holder of Equity Interests of such Subsidiary based on their relative ownership interests. </w:t>
      </w:r>
      <w:r>
        <w:rPr>
          <w:rFonts w:ascii="Times New Roman" w:cs="Times New Roman" w:eastAsia="Times New Roman" w:hAnsi="Times New Roman"/>
          <w:sz w:val="20"/>
          <w:szCs w:val="20"/>
          <w:color w:val="FF0000"/>
        </w:rPr>
        <w:t>If a Default or Event of Default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specified in Section 10.1.(a), Section 10.1.(e) or Section 10.1.(f)</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 xml:space="preserve">shall exist, or if as a result of the occurrence of any other Event of Default any of the Obligations have been accelerated pursuant to Section 10.2.(a), </w:t>
      </w:r>
      <w:r>
        <w:rPr>
          <w:rFonts w:ascii="Times New Roman" w:cs="Times New Roman" w:eastAsia="Times New Roman" w:hAnsi="Times New Roman"/>
          <w:sz w:val="20"/>
          <w:szCs w:val="20"/>
          <w:color w:val="FF0000"/>
          <w:strike w:val="1"/>
        </w:rPr>
        <w:t>no Borrower or other Loan Party shall, and no Borrower or other Loan Party shall permit any their respective Subsidiaries to, make</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any Restricted Payments to any Person other than to a Borrower or other Loan Party or any of their respective Subsidiaries and, in the case of a Subsidiary of such Borrower or other Loan Party that is not a Wholly Owned Subsidiary (other than SLGOP), to each other owner of Equity Interests of such Subsidiary based on their relative ownership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-710565</wp:posOffset>
            </wp:positionV>
            <wp:extent cx="16808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133" w:lineRule="exact"/>
        <w:rPr>
          <w:sz w:val="20"/>
          <w:szCs w:val="20"/>
          <w:color w:val="auto"/>
        </w:rPr>
      </w:pPr>
    </w:p>
    <w:p>
      <w:pPr>
        <w:ind w:left="1080" w:hanging="424"/>
        <w:spacing w:after="0"/>
        <w:tabs>
          <w:tab w:leader="none" w:pos="10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- 67 -</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76" w:lineRule="exact"/>
        <w:rPr>
          <w:sz w:val="20"/>
          <w:szCs w:val="20"/>
          <w:color w:val="auto"/>
        </w:rPr>
      </w:pPr>
    </w:p>
    <w:p>
      <w:pPr>
        <w:jc w:val="both"/>
        <w:ind w:firstLine="656"/>
        <w:spacing w:after="0" w:line="261" w:lineRule="auto"/>
        <w:tabs>
          <w:tab w:leader="none" w:pos="110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Indebtedness other than Nonrecourse Indebtedness</w:t>
      </w:r>
      <w:r>
        <w:rPr>
          <w:rFonts w:ascii="Times New Roman" w:cs="Times New Roman" w:eastAsia="Times New Roman" w:hAnsi="Times New Roman"/>
          <w:sz w:val="20"/>
          <w:szCs w:val="20"/>
          <w:color w:val="auto"/>
        </w:rPr>
        <w:t>. The Parent shall not permit any of its Subsidiaries (other than a Borrower) to incur, acquire or suffer to exist Restricted Indebtedness in an amount that individually or in the aggregate with all other Restricted Indebtedness of such Subsidiaries is greater than $100,000,000 at any one time outstanding.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9.2. Liens; Negative Pledge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5" w:lineRule="auto"/>
        <w:tabs>
          <w:tab w:leader="none" w:pos="128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Borrower shall, and no Borrower shall permit any other Loan Party or any Subsidiary to, create, assume, or incur any Lien (other than (x) Permitted Liens and (y) the Liens set forth on Schedule 6.1.(f) and any modifications, replacements,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no such Lien extends to any additional property other than after-acquired property that is affixed or incorporated into the property covered by such Lien and (ii) such modification, replacement, renewal or extension of such Lien does not cause a Default or Event of Default) upon any of its properties, assets, income or profits of any character whether now owned or hereafter acquired if immediately prior to the creation, assumption or incurring of such Lien, or immediately thereafter, a Default or Event of Default is or would be in existence, including without limitation, a Default or Event of Default resulting from a violation of any of the covenants contained in Section 9.1.</w:t>
      </w:r>
    </w:p>
    <w:p>
      <w:pPr>
        <w:spacing w:after="0" w:line="133"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shall, and no Borrower shall permit any other Loan Party or any other Subsidiary to, enter into, assume or otherwise be bound by any Negative Pledge except for a Negative Pledge contained in (i) an agreement (x) evidencing Indebtedness which such Borrower, such other Loan Party or such Subsidiary may create, incur, assume, or permit or suffer to exist under this Agreement, (y) which Indebtedness is secured by a Lien permitted to exist under the Loan Documents, and (z) which prohibits the creation of any other Lien on only the property securing such Indebtedness as of the date such agreement was entered into; (ii) an agreement relating to the sale of a Subsidiary or assets pending such sale, provided that in any such case the Negative Pledge applies only to the Subsidiary or the assets that are the subject of such sale; or (iii) any agreement relating to Pari Passu Indebtedness.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9.3. Merger, Consolidation, Sales of Assets and Other Arrangements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 Borrower shall, and no Borrower shall permit any other Loan Party or any other Subsidiary to: (i) enter into any transaction of merger or consolidation; (ii) liquidate, wind up or dissolve itself (or suffer any liquidation or dissolution); or (iii) convey, sell, lease, sublease, transfer or otherwise dispose of, in one transaction or a series of transactions, all or substantially all of its business or assets, whether now owned or hereafter acquired;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w:t>
      </w:r>
    </w:p>
    <w:p>
      <w:pPr>
        <w:spacing w:after="0" w:line="145" w:lineRule="exact"/>
        <w:rPr>
          <w:sz w:val="20"/>
          <w:szCs w:val="20"/>
          <w:color w:val="auto"/>
        </w:rPr>
      </w:pPr>
    </w:p>
    <w:p>
      <w:pPr>
        <w:jc w:val="both"/>
        <w:ind w:firstLine="656"/>
        <w:spacing w:after="0" w:line="216" w:lineRule="auto"/>
        <w:tabs>
          <w:tab w:leader="none" w:pos="1286"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actions described in the immediately preceding clauses (i) through (iii) may be taken with respect to (A) any Borrower or any other Loan Party solely for the purpose of reincorporating such Borrower or such other Loan Party in any State of the United States of America or in the District of Columbia and (B) any Subsidiary (other than a Borrower or another Loan Party) so long as either (x) such action is taken by and among Subsidiaries (other than a Borrower or any other Loan Party) or (y) immediately prior to the taking of such action, and immediately thereafter and after giving effect thereto, no Default under Section 10.1.(a) or Section 10.1.(f) or Event of Default is or would be in existence;</w:t>
      </w:r>
    </w:p>
    <w:p>
      <w:pPr>
        <w:spacing w:after="0" w:line="135"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other Loan Parties and the other Subsidiaries may lease and sublease their respective assets, as lessor or sublessor (as the case may be), in the ordinary course of their business;</w:t>
      </w:r>
    </w:p>
    <w:p>
      <w:pPr>
        <w:spacing w:after="0" w:line="134"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merge with and into a Borrower so long as (i) such Borrower is the survivor of such merger, (ii) immediately prior to such merger, and immediately thereafter and after giving effect thereto, no Default or Event of Default is or would be in existence, and (iii) the Borrower Representative shall have given the Administrative Agent and the Lenders at least 10 Business Days’ prior written notice (which may be by telecopy or electronic mail) of such merger, such notice to include a certification as to the matters described in the immediately preceding clause (ii) (except that such prior notice shall not be required in the case of the merger of a Subsidiary with and into a Borrower (other than the Parent) or a Subsidiary (other than the SLGOP) with and into the Parent);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68 -</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43"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each other Loan Party and each other Subsidiary may sell, transfer, lease or dispose of assets among</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themselves.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9.4. Plans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 Borrower shall, and no Borrower shall permit any other Loan Party or any other Subsidiary to, permit any of its respective assets to become or be deemed to be “plan assets” within the meaning of ERISA, the Internal Revenue Code and the respective regulations promulgated thereunder. No Borrower shall cause or permit to occur, and no Borrower shall permit any other member of the ERISA Group to cause or permit to occur, any ERISA Event if such ERISA Event could reasonably be expected to have a Material Adverse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9.5. Fiscal Year</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 Borrower shall, and no Borrower shall permit any other Loan Party or any other Subsidiary to, change its fiscal year from that in effect as of the Agreement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9.6. Modifications of Organizational Documents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 Borrower shall, and no Borrower shall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(a) is adverse to the interest of the Administrative Agent or the Lenders or (b) could reasonably be expected to have a Material Adverse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9.7. Restrictions on Activities of SL Green Management Corp.</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Borrower shall permit SL Green Management Corp. to own any Property, Structured Finance Investment</w:t>
      </w:r>
      <w:r>
        <w:rPr>
          <w:rFonts w:ascii="Times New Roman" w:cs="Times New Roman" w:eastAsia="Times New Roman" w:hAnsi="Times New Roman"/>
          <w:sz w:val="20"/>
          <w:szCs w:val="20"/>
          <w:u w:val="single" w:color="auto"/>
          <w:color w:val="0101FF"/>
        </w:rPr>
        <w:t>, Fund Investment</w:t>
      </w:r>
      <w:r>
        <w:rPr>
          <w:rFonts w:ascii="Times New Roman" w:cs="Times New Roman" w:eastAsia="Times New Roman" w:hAnsi="Times New Roman"/>
          <w:sz w:val="20"/>
          <w:szCs w:val="20"/>
          <w:color w:val="auto"/>
        </w:rPr>
        <w:t xml:space="preserve"> or Mortgage Receivable.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9.8. Transactions with Affiliates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 Borrower shall permit to exist or enter into, and no Borrower shall permit any other Loan Party or any other Subsidiary to permit to exist or enter into, any transaction (including the purchase, sale, lease or exchange of any property or the rendering of any service) with any Affiliate, except (a) as set</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forth on Schedule 6.1.(r), (b) transactions among the Borrowers, other Loan Parties and Wholly Owned Subsidiaries, or (c) transactions pursuant to the reasonable requirements of the business of such Borrower, such other Loan Party or such other Subsidiary and upon fair and reasonable terms which are no less favorable to such Borrower, such other Loan Party or such other Subsidiary than would be obtained in a comparable arm’s length transaction with a Person that is not an Affiliate. Notwithstanding the foregoing, no payments may be made with respect to any items set forth on such Schedule 6.1.(r) if a Default or Event of Default exists or would result therefrom.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9.9. Derivatives Contracts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22" w:lineRule="auto"/>
        <w:tabs>
          <w:tab w:leader="none" w:pos="1286"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No Borrower shall, and no Borrower shall permit any other Loan Party or any other Subsidiary to, enter into or become obligated in respect of Derivatives Contract</w:t>
      </w:r>
      <w:r>
        <w:rPr>
          <w:rFonts w:ascii="Times New Roman" w:cs="Times New Roman" w:eastAsia="Times New Roman" w:hAnsi="Times New Roman"/>
          <w:sz w:val="20"/>
          <w:szCs w:val="20"/>
          <w:u w:val="single" w:color="auto"/>
          <w:color w:val="0101FF"/>
        </w:rPr>
        <w:t>; provided that the Borrowers and their Subsidiaries may enter into and become obligated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under (i) Derivative Contracts entered into not</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for speculative purposes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101FF"/>
        </w:rPr>
        <w:t>, (ii) Investments in the Equity Interests of the REIT made pursuant</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u w:val="single" w:color="auto"/>
          <w:color w:val="0101FF"/>
        </w:rPr>
        <w:t>to Derivative Contracts entered into for the purpose of facilitating an exchangeable note offering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69 -</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101FF"/>
        </w:rPr>
        <w:t>of Unsecured Indebtedness, (iii) forward equity contracts and (iv) repurchase transactions entered into in the ordinary course of business.</w:t>
      </w:r>
    </w:p>
    <w:p>
      <w:pPr>
        <w:spacing w:after="0" w:line="162" w:lineRule="exact"/>
        <w:rPr>
          <w:sz w:val="20"/>
          <w:szCs w:val="20"/>
          <w:color w:val="auto"/>
        </w:rPr>
      </w:pPr>
    </w:p>
    <w:p>
      <w:pPr>
        <w:jc w:val="both"/>
        <w:ind w:firstLine="656"/>
        <w:spacing w:after="0" w:line="215" w:lineRule="auto"/>
        <w:tabs>
          <w:tab w:leader="none" w:pos="12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Return Swaps</w:t>
      </w:r>
      <w:r>
        <w:rPr>
          <w:rFonts w:ascii="Times New Roman" w:cs="Times New Roman" w:eastAsia="Times New Roman" w:hAnsi="Times New Roman"/>
          <w:sz w:val="20"/>
          <w:szCs w:val="20"/>
          <w:color w:val="auto"/>
        </w:rPr>
        <w:t>. No Borrower shall, and no Borrower shall permit any other Loan Party or any other Subsidiary or Affiliate of a Borrower to, enter into or become a counterparty to any pledge, assignment or transfer of the interest of any Lender, fully or in any part, in any Loan or portion thereof via any agreement, financial instrument or other assignment that replicates loan payments under this Agreement and/or provides for a transfer or assumption of any portion of economic, legal or other risk of any such loan payments, unless such Lender shall deliver written notice (which notice shall include a disclosure of all Persons that are party to such transaction) of such pledge, assignment or transfer to the Administrative Agent for dissemination to the other Lenders on or prior to the date that such transaction is effectuated</w:t>
      </w:r>
      <w:r>
        <w:rPr>
          <w:rFonts w:ascii="Times New Roman" w:cs="Times New Roman" w:eastAsia="Times New Roman" w:hAnsi="Times New Roman"/>
          <w:sz w:val="20"/>
          <w:szCs w:val="20"/>
          <w:color w:val="FF0000"/>
          <w:strike w:val="1"/>
        </w:rPr>
        <w:t>; and</w:t>
      </w:r>
      <w:r>
        <w:rPr>
          <w:rFonts w:ascii="Times New Roman" w:cs="Times New Roman" w:eastAsia="Times New Roman" w:hAnsi="Times New Roman"/>
          <w:sz w:val="20"/>
          <w:szCs w:val="20"/>
          <w:u w:val="single" w:color="auto"/>
          <w:color w:val="0101FF"/>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101FF"/>
        </w:rPr>
        <w:t>Section 9.10. Outbound Investment Status.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101FF"/>
        </w:rPr>
        <w:t>No Loan Party shall:</w:t>
      </w:r>
    </w:p>
    <w:p>
      <w:pPr>
        <w:spacing w:after="0" w:line="216" w:lineRule="exact"/>
        <w:rPr>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20"/>
          <w:szCs w:val="20"/>
          <w:u w:val="single" w:color="auto"/>
          <w:color w:val="0101FF"/>
        </w:rPr>
      </w:pPr>
      <w:r>
        <w:rPr>
          <w:rFonts w:ascii="Times New Roman" w:cs="Times New Roman" w:eastAsia="Times New Roman" w:hAnsi="Times New Roman"/>
          <w:sz w:val="20"/>
          <w:szCs w:val="20"/>
          <w:u w:val="single" w:color="auto"/>
          <w:color w:val="0101FF"/>
        </w:rPr>
        <w:t>be or become a “covered foreign person”, as that term is defined in the Outbound Investment Rules, or</w:t>
      </w:r>
    </w:p>
    <w:p>
      <w:pPr>
        <w:spacing w:after="0" w:line="202" w:lineRule="exact"/>
        <w:rPr>
          <w:rFonts w:ascii="Times New Roman" w:cs="Times New Roman" w:eastAsia="Times New Roman" w:hAnsi="Times New Roman"/>
          <w:sz w:val="20"/>
          <w:szCs w:val="20"/>
          <w:u w:val="single" w:color="auto"/>
          <w:color w:val="0101FF"/>
        </w:rPr>
      </w:pPr>
    </w:p>
    <w:p>
      <w:pPr>
        <w:jc w:val="both"/>
        <w:ind w:firstLine="656"/>
        <w:spacing w:after="0" w:line="261" w:lineRule="auto"/>
        <w:tabs>
          <w:tab w:leader="none" w:pos="1100" w:val="left"/>
        </w:tabs>
        <w:numPr>
          <w:ilvl w:val="0"/>
          <w:numId w:val="167"/>
        </w:numPr>
        <w:rPr>
          <w:rFonts w:ascii="Times New Roman" w:cs="Times New Roman" w:eastAsia="Times New Roman" w:hAnsi="Times New Roman"/>
          <w:sz w:val="20"/>
          <w:szCs w:val="20"/>
          <w:u w:val="single" w:color="auto"/>
          <w:color w:val="0101FF"/>
        </w:rPr>
      </w:pPr>
      <w:r>
        <w:rPr>
          <w:rFonts w:ascii="Times New Roman" w:cs="Times New Roman" w:eastAsia="Times New Roman" w:hAnsi="Times New Roman"/>
          <w:sz w:val="20"/>
          <w:szCs w:val="20"/>
          <w:u w:val="single" w:color="auto"/>
          <w:color w:val="0101FF"/>
        </w:rPr>
        <w:t>engage,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37"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ARTICLE X.</w:t>
      </w:r>
      <w:r>
        <w:rPr>
          <w:sz w:val="20"/>
          <w:szCs w:val="20"/>
          <w:color w:val="auto"/>
        </w:rPr>
        <w:tab/>
      </w:r>
      <w:r>
        <w:rPr>
          <w:rFonts w:ascii="Times New Roman" w:cs="Times New Roman" w:eastAsia="Times New Roman" w:hAnsi="Times New Roman"/>
          <w:sz w:val="19"/>
          <w:szCs w:val="19"/>
          <w:b w:val="1"/>
          <w:bCs w:val="1"/>
          <w:color w:val="auto"/>
        </w:rPr>
        <w:t>Default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10.1. Events of Default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19" w:lineRule="exact"/>
        <w:rPr>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Payment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60" w:firstLine="644"/>
        <w:spacing w:after="0"/>
        <w:tabs>
          <w:tab w:leader="none" w:pos="195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shall fail to pay when due under this Agreement or any other Loan Document (whether upon demand, at maturity, by reason of acceleration or otherwise) the principal of any of the Loans.</w:t>
      </w:r>
    </w:p>
    <w:p>
      <w:pPr>
        <w:spacing w:after="0" w:line="134"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5"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shall fail to pay when due under this Agreement or any other Loan Document (whether upon demand, at maturity, by reason of acceleration or otherwise) any interest on any of the Loans, or shall fail to pay any of the other payment Obligations owing by the Borrowers under this Agreement, any other Loan Document or any Fee Letter, or any other Loan Party shall fail to pay when due any payment obligation owing by such Loan Party under any Loan Document to which it is a party, and in the case of this clause (ii) only, such failure shall continue for a period of 5 Business Days.</w:t>
      </w:r>
    </w:p>
    <w:p>
      <w:pPr>
        <w:spacing w:after="0" w:line="1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Performance</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or any other Loan Party shall fail to perform or observe any term, covenant, condition or agreement on its part to be performed or observed and contained in Section 7.1. (as to preservation and maintenance of existence only), Section 8.4.(i) or Article IX.; or</w:t>
      </w:r>
    </w:p>
    <w:p>
      <w:pPr>
        <w:spacing w:after="0" w:line="135" w:lineRule="exact"/>
        <w:rPr>
          <w:rFonts w:ascii="Times New Roman" w:cs="Times New Roman" w:eastAsia="Times New Roman" w:hAnsi="Times New Roman"/>
          <w:sz w:val="20"/>
          <w:szCs w:val="20"/>
          <w:color w:val="auto"/>
        </w:rPr>
      </w:pPr>
    </w:p>
    <w:p>
      <w:pPr>
        <w:ind w:left="660" w:right="20" w:firstLine="644"/>
        <w:spacing w:after="0"/>
        <w:tabs>
          <w:tab w:leader="none" w:pos="1955"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or any other Loan Party shall fail to perform or observe any term, covenant, condition or agreement contained in this Agreement or any other Loan Document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- 70 -</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62" w:lineRule="exact"/>
        <w:rPr>
          <w:sz w:val="20"/>
          <w:szCs w:val="20"/>
          <w:color w:val="auto"/>
        </w:rPr>
      </w:pPr>
    </w:p>
    <w:p>
      <w:pPr>
        <w:ind w:left="652" w:right="20"/>
        <w:spacing w:after="0" w:line="227" w:lineRule="auto"/>
        <w:rPr>
          <w:sz w:val="20"/>
          <w:szCs w:val="20"/>
          <w:color w:val="auto"/>
        </w:rPr>
      </w:pPr>
      <w:r>
        <w:rPr>
          <w:rFonts w:ascii="Times New Roman" w:cs="Times New Roman" w:eastAsia="Times New Roman" w:hAnsi="Times New Roman"/>
          <w:sz w:val="19"/>
          <w:szCs w:val="19"/>
          <w:color w:val="auto"/>
        </w:rPr>
        <w:t>which it is a party and not otherwise mentioned in this Section, and in the case of this subsection (b)(ii) only, such failure shall continue for a period of 30 days after the earlier of (x) the date upon which a Responsible Officer of any Borrower or any other Loan</w:t>
      </w:r>
    </w:p>
    <w:p>
      <w:pPr>
        <w:ind w:left="652"/>
        <w:spacing w:after="0" w:line="228" w:lineRule="auto"/>
        <w:rPr>
          <w:sz w:val="20"/>
          <w:szCs w:val="20"/>
          <w:color w:val="auto"/>
        </w:rPr>
      </w:pPr>
      <w:r>
        <w:rPr>
          <w:rFonts w:ascii="Times New Roman" w:cs="Times New Roman" w:eastAsia="Times New Roman" w:hAnsi="Times New Roman"/>
          <w:sz w:val="20"/>
          <w:szCs w:val="20"/>
          <w:color w:val="auto"/>
        </w:rPr>
        <w:t>Party obtains knowledge of such failure or (y) the date upon which the Borrower Representative has received written notice of such failure from the Administrative Agent.</w:t>
      </w:r>
    </w:p>
    <w:p>
      <w:pPr>
        <w:spacing w:after="0" w:line="135" w:lineRule="exact"/>
        <w:rPr>
          <w:sz w:val="20"/>
          <w:szCs w:val="20"/>
          <w:color w:val="auto"/>
        </w:rPr>
      </w:pPr>
    </w:p>
    <w:p>
      <w:pPr>
        <w:jc w:val="both"/>
        <w:ind w:left="-8" w:firstLine="656"/>
        <w:spacing w:after="0" w:line="220" w:lineRule="auto"/>
        <w:tabs>
          <w:tab w:leader="none" w:pos="1278"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Misrepresentations</w:t>
      </w:r>
      <w:r>
        <w:rPr>
          <w:rFonts w:ascii="Times New Roman" w:cs="Times New Roman" w:eastAsia="Times New Roman" w:hAnsi="Times New Roman"/>
          <w:sz w:val="20"/>
          <w:szCs w:val="20"/>
          <w:color w:val="auto"/>
        </w:rPr>
        <w:t>. Any written statement, representation or warranty made or deemed made by or on behalf of any Borrower or any other Loan Party under this Agreement or under any other Loan Document, or any amendment hereto or thereto, or in any other writing or statement at any time furnished by, or at the direction of, any Borrower or any other Loan Party to the Administrative Agent or any Lender pursuant to this Agreement or any other Loan Document, shall at any time prove to have been incorrect or misleading in any material respect when furnished or made or deemed made.</w:t>
      </w:r>
    </w:p>
    <w:p>
      <w:pPr>
        <w:spacing w:after="0" w:line="133"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Indebtedness Cross-Default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52" w:firstLine="644"/>
        <w:spacing w:after="0" w:line="220" w:lineRule="auto"/>
        <w:tabs>
          <w:tab w:leader="none" w:pos="1946" w:val="left"/>
        </w:tabs>
        <w:numPr>
          <w:ilvl w:val="3"/>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Borrower, any other Loan Party or any other Subsidiary shall fail to make any payment when due and payable in respect of any Indebtedness (other than the Loans and Nonrecourse Indebtedness) having an aggregate outstanding principal amount (or, in the case of any </w:t>
      </w:r>
      <w:r>
        <w:rPr>
          <w:rFonts w:ascii="Times New Roman" w:cs="Times New Roman" w:eastAsia="Times New Roman" w:hAnsi="Times New Roman"/>
          <w:sz w:val="20"/>
          <w:szCs w:val="20"/>
          <w:u w:val="single" w:color="auto"/>
          <w:color w:val="0101FF"/>
        </w:rPr>
        <w:t>recourse</w:t>
      </w:r>
      <w:r>
        <w:rPr>
          <w:rFonts w:ascii="Times New Roman" w:cs="Times New Roman" w:eastAsia="Times New Roman" w:hAnsi="Times New Roman"/>
          <w:sz w:val="20"/>
          <w:szCs w:val="20"/>
          <w:color w:val="auto"/>
        </w:rPr>
        <w:t xml:space="preserve"> Derivatives Contract, having, without regard to the effect of any close-out netting provision, a Derivatives Termination Value), in each case individually or in the aggregate with all other Indebtedness as to which such a failure exists, of $100,000,000 or more (“</w:t>
      </w:r>
      <w:r>
        <w:rPr>
          <w:rFonts w:ascii="Times New Roman" w:cs="Times New Roman" w:eastAsia="Times New Roman" w:hAnsi="Times New Roman"/>
          <w:sz w:val="20"/>
          <w:szCs w:val="20"/>
          <w:b w:val="1"/>
          <w:bCs w:val="1"/>
          <w:color w:val="auto"/>
        </w:rPr>
        <w:t>Material Indebtedness</w:t>
      </w:r>
      <w:r>
        <w:rPr>
          <w:rFonts w:ascii="Times New Roman" w:cs="Times New Roman" w:eastAsia="Times New Roman" w:hAnsi="Times New Roman"/>
          <w:sz w:val="20"/>
          <w:szCs w:val="20"/>
          <w:color w:val="auto"/>
        </w:rPr>
        <w:t>”); or</w:t>
      </w:r>
    </w:p>
    <w:p>
      <w:pPr>
        <w:spacing w:after="0" w:line="133" w:lineRule="exact"/>
        <w:rPr>
          <w:rFonts w:ascii="Times New Roman" w:cs="Times New Roman" w:eastAsia="Times New Roman" w:hAnsi="Times New Roman"/>
          <w:sz w:val="20"/>
          <w:szCs w:val="20"/>
          <w:color w:val="auto"/>
        </w:rPr>
      </w:pPr>
    </w:p>
    <w:p>
      <w:pPr>
        <w:jc w:val="both"/>
        <w:ind w:left="652" w:firstLine="644"/>
        <w:spacing w:after="0" w:line="226" w:lineRule="auto"/>
        <w:tabs>
          <w:tab w:leader="none" w:pos="1947" w:val="left"/>
        </w:tabs>
        <w:numPr>
          <w:ilvl w:val="3"/>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146" w:lineRule="exact"/>
        <w:rPr>
          <w:rFonts w:ascii="Times New Roman" w:cs="Times New Roman" w:eastAsia="Times New Roman" w:hAnsi="Times New Roman"/>
          <w:sz w:val="20"/>
          <w:szCs w:val="20"/>
          <w:color w:val="auto"/>
        </w:rPr>
      </w:pPr>
    </w:p>
    <w:p>
      <w:pPr>
        <w:jc w:val="both"/>
        <w:ind w:left="652" w:firstLine="644"/>
        <w:spacing w:after="0" w:line="222" w:lineRule="auto"/>
        <w:tabs>
          <w:tab w:leader="none" w:pos="1948" w:val="left"/>
        </w:tabs>
        <w:numPr>
          <w:ilvl w:val="3"/>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shall have occurred and be continuing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and all applicable grace or cure periods shall have expired; or</w:t>
      </w:r>
    </w:p>
    <w:p>
      <w:pPr>
        <w:spacing w:after="0" w:line="134" w:lineRule="exact"/>
        <w:rPr>
          <w:rFonts w:ascii="Times New Roman" w:cs="Times New Roman" w:eastAsia="Times New Roman" w:hAnsi="Times New Roman"/>
          <w:sz w:val="20"/>
          <w:szCs w:val="20"/>
          <w:color w:val="auto"/>
        </w:rPr>
      </w:pPr>
    </w:p>
    <w:p>
      <w:pPr>
        <w:ind w:left="1932" w:hanging="636"/>
        <w:spacing w:after="0"/>
        <w:tabs>
          <w:tab w:leader="none" w:pos="1932" w:val="left"/>
        </w:tabs>
        <w:numPr>
          <w:ilvl w:val="3"/>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occurs an “Event of Default” under and as defined in the Existing Credit Agreement.</w:t>
      </w:r>
    </w:p>
    <w:p>
      <w:pPr>
        <w:spacing w:after="0" w:line="161" w:lineRule="exact"/>
        <w:rPr>
          <w:rFonts w:ascii="Times New Roman" w:cs="Times New Roman" w:eastAsia="Times New Roman" w:hAnsi="Times New Roman"/>
          <w:sz w:val="20"/>
          <w:szCs w:val="20"/>
          <w:color w:val="auto"/>
        </w:rPr>
      </w:pPr>
    </w:p>
    <w:p>
      <w:pPr>
        <w:jc w:val="both"/>
        <w:ind w:left="-8" w:firstLine="656"/>
        <w:spacing w:after="0" w:line="212" w:lineRule="auto"/>
        <w:tabs>
          <w:tab w:leader="none" w:pos="1278"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Proceeding</w:t>
      </w:r>
      <w:r>
        <w:rPr>
          <w:rFonts w:ascii="Times New Roman" w:cs="Times New Roman" w:eastAsia="Times New Roman" w:hAnsi="Times New Roman"/>
          <w:sz w:val="20"/>
          <w:szCs w:val="20"/>
          <w:color w:val="auto"/>
        </w:rPr>
        <w:t>. Any Borrower, any other Loan Party or any Material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55" w:lineRule="exact"/>
        <w:rPr>
          <w:rFonts w:ascii="Times New Roman" w:cs="Times New Roman" w:eastAsia="Times New Roman" w:hAnsi="Times New Roman"/>
          <w:sz w:val="20"/>
          <w:szCs w:val="20"/>
          <w:color w:val="auto"/>
        </w:rPr>
      </w:pPr>
    </w:p>
    <w:p>
      <w:pPr>
        <w:jc w:val="both"/>
        <w:ind w:left="-8" w:firstLine="656"/>
        <w:spacing w:after="0" w:line="210" w:lineRule="auto"/>
        <w:tabs>
          <w:tab w:leader="none" w:pos="1283"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Bankruptcy Proceeding</w:t>
      </w:r>
      <w:r>
        <w:rPr>
          <w:rFonts w:ascii="Times New Roman" w:cs="Times New Roman" w:eastAsia="Times New Roman" w:hAnsi="Times New Roman"/>
          <w:sz w:val="20"/>
          <w:szCs w:val="20"/>
          <w:color w:val="auto"/>
        </w:rPr>
        <w:t>. A case or other proceeding shall be commenced against any Borrower, any other Loan Party or any Material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w:t>
      </w:r>
    </w:p>
    <w:p>
      <w:pPr>
        <w:spacing w:after="0" w:line="1" w:lineRule="exact"/>
        <w:rPr>
          <w:rFonts w:ascii="Times New Roman" w:cs="Times New Roman" w:eastAsia="Times New Roman" w:hAnsi="Times New Roman"/>
          <w:sz w:val="20"/>
          <w:szCs w:val="20"/>
          <w:color w:val="auto"/>
        </w:rPr>
      </w:pPr>
    </w:p>
    <w:p>
      <w:pPr>
        <w:ind w:left="292" w:hanging="292"/>
        <w:spacing w:after="0"/>
        <w:tabs>
          <w:tab w:leader="none" w:pos="29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case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ind w:left="312" w:hanging="114"/>
        <w:spacing w:after="0"/>
        <w:tabs>
          <w:tab w:leader="none" w:pos="31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-4837430</wp:posOffset>
            </wp:positionV>
            <wp:extent cx="311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78" w:name="page279"/>
    <w:bookmarkEnd w:id="278"/>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proceeding shall continue undismissed or unstayed for a period of 60 consecutive days, or an order granting the remedy or other relief requested in such case or proceeding (including, but not limited to, an order for relief under such Bankruptcy Code or such other federal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bankruptcy laws) shall be entered.</w:t>
      </w:r>
    </w:p>
    <w:p>
      <w:pPr>
        <w:spacing w:after="0" w:line="140" w:lineRule="exact"/>
        <w:rPr>
          <w:sz w:val="20"/>
          <w:szCs w:val="20"/>
          <w:color w:val="auto"/>
        </w:rPr>
      </w:pPr>
    </w:p>
    <w:p>
      <w:pPr>
        <w:jc w:val="both"/>
        <w:ind w:firstLine="656"/>
        <w:spacing w:after="0" w:line="222" w:lineRule="auto"/>
        <w:tabs>
          <w:tab w:leader="none" w:pos="12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Revocation of Loan Documents</w:t>
      </w:r>
      <w:r>
        <w:rPr>
          <w:rFonts w:ascii="Times New Roman" w:cs="Times New Roman" w:eastAsia="Times New Roman" w:hAnsi="Times New Roman"/>
          <w:sz w:val="20"/>
          <w:szCs w:val="20"/>
          <w:color w:val="auto"/>
        </w:rPr>
        <w:t>. Any Borrower or any other Loan Party shall (or shall attempt to) disavow, revoke or terminate any Loan Document or any Fee Letter to which it is a party or shall otherwise challenge or contest in any action, suit or proceeding in any court or before any Governmental Authority the validity or enforceability of any Loan Document or any Fee Letter or any Loan Document or any Fee Letter shall cease to be in full force and effect (except as a result of the express terms thereof).</w:t>
      </w:r>
    </w:p>
    <w:p>
      <w:pPr>
        <w:spacing w:after="0" w:line="148"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A judgment or order for the payment of money or for an injunction or other non-monetary relief shall be entered against any Borrower, any other Loan Party or any Material Subsidiary by any court or other tribunal and (i) such judgment or order shall continue for a period of 60 days without being paid, stayed or dismissed through appropriate appellate proceedings and (ii) either (A) the amount of such judgment or order for which insurance has not been denied in writing by the applicable insurance carrier exceeds, individually or together with all other such judgments or orders entered against the Borrowers, any other Loan Party and the Material Subsidiaries, $100,000,000 or (B) in the case of an injunction or other non-monetary relief, such injunction or judgment or order could reasonably be expected to have a Material Adverse Effect.</w:t>
      </w:r>
    </w:p>
    <w:p>
      <w:pPr>
        <w:spacing w:after="0" w:line="137" w:lineRule="exact"/>
        <w:rPr>
          <w:rFonts w:ascii="Times New Roman" w:cs="Times New Roman" w:eastAsia="Times New Roman" w:hAnsi="Times New Roman"/>
          <w:sz w:val="20"/>
          <w:szCs w:val="20"/>
          <w:color w:val="auto"/>
        </w:rPr>
      </w:pPr>
    </w:p>
    <w:p>
      <w:pPr>
        <w:jc w:val="both"/>
        <w:ind w:firstLine="656"/>
        <w:spacing w:after="0" w:line="213" w:lineRule="auto"/>
        <w:tabs>
          <w:tab w:leader="none" w:pos="129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Attachment</w:t>
      </w:r>
      <w:r>
        <w:rPr>
          <w:rFonts w:ascii="Times New Roman" w:cs="Times New Roman" w:eastAsia="Times New Roman" w:hAnsi="Times New Roman"/>
          <w:sz w:val="20"/>
          <w:szCs w:val="20"/>
          <w:color w:val="auto"/>
        </w:rPr>
        <w:t xml:space="preserve">. A warrant, writ of attachment, execution or similar process shall be issued against any property of any Borrower, any other Loan Party or any Material Subsidiary, which exceeds, individually or together with all other such warrants, writs, executions and processes, $100,000,000 in amount and such warrant, writ, execution or process shall not be paid, discharged, vacated, stayed or bonded for a period of 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any Borrower, any other Loan Party or any Subsidiary.</w:t>
      </w:r>
    </w:p>
    <w:p>
      <w:pPr>
        <w:spacing w:after="0" w:line="14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60" w:right="20" w:firstLine="644"/>
        <w:spacing w:after="0"/>
        <w:tabs>
          <w:tab w:leader="none" w:pos="195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ERISA Event shall have occurred that results or could reasonably be expected to result in liability to any member of the ERISA Group aggregating in excess of $100,000,000; or</w:t>
      </w:r>
    </w:p>
    <w:p>
      <w:pPr>
        <w:spacing w:after="0" w:line="134" w:lineRule="exact"/>
        <w:rPr>
          <w:rFonts w:ascii="Times New Roman" w:cs="Times New Roman" w:eastAsia="Times New Roman" w:hAnsi="Times New Roman"/>
          <w:sz w:val="20"/>
          <w:szCs w:val="20"/>
          <w:color w:val="auto"/>
        </w:rPr>
      </w:pPr>
    </w:p>
    <w:p>
      <w:pPr>
        <w:ind w:left="660" w:firstLine="644"/>
        <w:spacing w:after="0"/>
        <w:tabs>
          <w:tab w:leader="none" w:pos="1955"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“benefit obligation” of all Plans exceeds the “fair market value of plan assets” for such Plans by more than $100,000,000, all as determined, and with such terms defined, in accordance with FASB ASC 715.</w:t>
      </w:r>
    </w:p>
    <w:p>
      <w:pPr>
        <w:spacing w:after="0" w:line="134"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An Event of Default (as defined therein) shall occur under any of the other Loan Documents (other than the New York Mortgages).</w:t>
      </w:r>
    </w:p>
    <w:p>
      <w:pPr>
        <w:spacing w:after="0" w:line="134"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The Parent or a Wholly Owned Subsidiary of the Parent shall cease to be the sole general partner of SLGOP or shall cease to have sole and exclusive power to exercise all management and control over SLGOP.</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Section, (i) the failure of any Borrower, any other Loan Party or any other Subsidiary to perform or observe any term, covenant, condition or agreement contained in any New York Mortgage to which it is a party shall not constitute a Default or Event of Default (including for purposes of Section 10.1.(d)) and (ii) the occurrence of a Default or Event of Default (however defined in any New York Mortgage) shall not constitute a Default or Event of Default (including for purposes of Section 10.1.(d));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w:t>
      </w:r>
      <w:r>
        <w:rPr>
          <w:rFonts w:ascii="Times New Roman" w:cs="Times New Roman" w:eastAsia="Times New Roman" w:hAnsi="Times New Roman"/>
          <w:sz w:val="20"/>
          <w:szCs w:val="20"/>
          <w:color w:val="auto"/>
        </w:rPr>
        <w:t>r, the preceding shall in no way limit or impair the rights of the Administrative Agent and the Lenders with respect to any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- 72 -</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Event of Default resulting from the failure of any Borrower or any other Loan Party to perform or observe the same or any similar term, covenant, condition or agreement contained in any other Loan Document.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10.2. Remedies Upon Event of Default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the occurrence of an Event of Default the following provisions shall apply:</w:t>
      </w:r>
    </w:p>
    <w:p>
      <w:pPr>
        <w:spacing w:after="0" w:line="189" w:lineRule="exact"/>
        <w:rPr>
          <w:sz w:val="20"/>
          <w:szCs w:val="20"/>
          <w:color w:val="auto"/>
        </w:rPr>
      </w:pPr>
    </w:p>
    <w:p>
      <w:pPr>
        <w:ind w:left="1300" w:hanging="644"/>
        <w:spacing w:after="0"/>
        <w:tabs>
          <w:tab w:leader="none" w:pos="130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 Termination of Facilities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4" w:val="left"/>
        </w:tabs>
        <w:numPr>
          <w:ilvl w:val="2"/>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Automatic</w:t>
      </w:r>
      <w:r>
        <w:rPr>
          <w:rFonts w:ascii="Times New Roman" w:cs="Times New Roman" w:eastAsia="Times New Roman" w:hAnsi="Times New Roman"/>
          <w:sz w:val="19"/>
          <w:szCs w:val="19"/>
          <w:color w:val="auto"/>
        </w:rPr>
        <w:t>. Upon the occurrence of an Event of Default specified in Sections 10.1.(e) or 10.1.(f) with respect to a Borrower or any other Loan Party, (1)(A)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each Borrower on behalf of itself and the other Loan Parties, and (2) the Commitments shall immediately and automatically terminate.</w:t>
      </w:r>
    </w:p>
    <w:p>
      <w:pPr>
        <w:spacing w:after="0" w:line="134" w:lineRule="exact"/>
        <w:rPr>
          <w:rFonts w:ascii="Times New Roman" w:cs="Times New Roman" w:eastAsia="Times New Roman" w:hAnsi="Times New Roman"/>
          <w:sz w:val="19"/>
          <w:szCs w:val="19"/>
          <w:color w:val="auto"/>
        </w:rPr>
      </w:pPr>
    </w:p>
    <w:p>
      <w:pPr>
        <w:jc w:val="both"/>
        <w:ind w:left="660" w:firstLine="644"/>
        <w:spacing w:after="0" w:line="227" w:lineRule="auto"/>
        <w:tabs>
          <w:tab w:leader="none" w:pos="1955" w:val="left"/>
        </w:tabs>
        <w:numPr>
          <w:ilvl w:val="2"/>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If any other Event of Default shall exist, the Administrative Agent may, and at the direction of the Requisite Lenders shall: (1) declare (A) the principal of, and accrued interest on, the Loans and the Notes at the time outstanding and</w:t>
      </w:r>
    </w:p>
    <w:p>
      <w:pPr>
        <w:jc w:val="both"/>
        <w:ind w:left="660"/>
        <w:spacing w:after="0" w:line="2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each Borrower on behalf of itself and the other Loan Parties, and (2) terminate the Commitments.</w:t>
      </w:r>
    </w:p>
    <w:p>
      <w:pPr>
        <w:spacing w:after="0" w:line="149" w:lineRule="exact"/>
        <w:rPr>
          <w:rFonts w:ascii="Times New Roman" w:cs="Times New Roman" w:eastAsia="Times New Roman" w:hAnsi="Times New Roman"/>
          <w:sz w:val="19"/>
          <w:szCs w:val="19"/>
          <w:color w:val="auto"/>
        </w:rPr>
      </w:pPr>
    </w:p>
    <w:p>
      <w:pPr>
        <w:ind w:firstLine="656"/>
        <w:spacing w:after="0" w:line="233" w:lineRule="auto"/>
        <w:tabs>
          <w:tab w:leader="none" w:pos="12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Requisite Lenders may direct the Administrative Agent to, and the Administrative Agent if so directed shall, exercise any and all of its rights under any and all of the other Loan Documents.</w:t>
      </w:r>
    </w:p>
    <w:p>
      <w:pPr>
        <w:spacing w:after="0" w:line="133"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The Requisite Lenders may direct the Administrative Agent to, and the Administrative Agent if so directed shall, exercise all other rights and remedies it may have under any Applicable Law.</w:t>
      </w:r>
    </w:p>
    <w:p>
      <w:pPr>
        <w:spacing w:after="0" w:line="134"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Receiver</w:t>
      </w:r>
      <w:r>
        <w:rPr>
          <w:rFonts w:ascii="Times New Roman" w:cs="Times New Roman" w:eastAsia="Times New Roman" w:hAnsi="Times New Roman"/>
          <w:sz w:val="20"/>
          <w:szCs w:val="20"/>
          <w:color w:val="auto"/>
        </w:rPr>
        <w:t>. To the extent permitted by Applicable Law, the Administrative Agent and the Lenders shall be entitled to the appointment of a receiver for the assets and properties of any Borrower, any other Loan Party and their Subsidiaries, without notice of any kind whatsoever and without regard to the adequacy of any security for the Obligations or the solvency of any party bound for its payment, to take possession of all or any portion of the property and/or the business operations of such Borrower, such other Loan Party and their Subsidiaries and to exercise such power as the court shall confer upon such receiver.</w:t>
      </w:r>
    </w:p>
    <w:p>
      <w:pPr>
        <w:spacing w:after="0" w:line="133"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Specified Derivatives Contract Remedies</w:t>
      </w:r>
      <w:r>
        <w:rPr>
          <w:rFonts w:ascii="Times New Roman" w:cs="Times New Roman" w:eastAsia="Times New Roman" w:hAnsi="Times New Roman"/>
          <w:sz w:val="20"/>
          <w:szCs w:val="20"/>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73 -</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any Borrower, any other Loan Party or any other Subsidiary to enforce or collect net amounts owing to such Specified Derivatives Provider pursuant to any Specified Derivatives Contract.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10.3. Remedies Upon Default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the occurrence of a Default specified in Section 10.1.(f), the Commitments shall immediately and automatically terminate.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10.4. Marshaling; Payments Set Aside</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None of the Administrative Agent or any Lender shall be under any obligation to marshal any assets in favor of any Loan Party or any other party or against or in payment of any or all of the Guaranteed Obligations. To the extent that any Loan Party makes a payment or payments to the Administrative Agent or any Lender, or the Administrative Agent or any Lender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Guaranteed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10.5. Allocation of Proceeds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an Event of Default exists, all payments received by the Administrative Agent under any of the Loan Documents, in respect of the Guaranteed Obligations or any other amounts payable by any Loan Party hereunder or thereunder, shall be applied in the following order and priority:</w:t>
      </w:r>
    </w:p>
    <w:p>
      <w:pPr>
        <w:spacing w:after="0" w:line="141" w:lineRule="exact"/>
        <w:rPr>
          <w:sz w:val="20"/>
          <w:szCs w:val="20"/>
          <w:color w:val="auto"/>
        </w:rPr>
      </w:pPr>
    </w:p>
    <w:p>
      <w:pPr>
        <w:ind w:right="20" w:firstLine="656"/>
        <w:spacing w:after="0"/>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due to the Administrative Agent and the Lenders in respect of expenses due under Section 12.2. until paid in full, and then Fees until paid in full;</w:t>
      </w:r>
    </w:p>
    <w:p>
      <w:pPr>
        <w:spacing w:after="0" w:line="13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interest on the Loans to be applied for the ratable benefit of the Lenders;</w:t>
      </w:r>
    </w:p>
    <w:p>
      <w:pPr>
        <w:spacing w:after="0" w:line="175" w:lineRule="exact"/>
        <w:rPr>
          <w:rFonts w:ascii="Times New Roman" w:cs="Times New Roman" w:eastAsia="Times New Roman" w:hAnsi="Times New Roman"/>
          <w:sz w:val="20"/>
          <w:szCs w:val="20"/>
          <w:color w:val="auto"/>
        </w:rPr>
      </w:pPr>
    </w:p>
    <w:p>
      <w:pPr>
        <w:ind w:firstLine="656"/>
        <w:spacing w:after="0" w:line="233" w:lineRule="auto"/>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principal of the Loans and Specified Derivatives Obligations to be applied for the ratable benefit of the Lenders and the Specified Derivatives Providers, as the case may be;</w:t>
      </w:r>
    </w:p>
    <w:p>
      <w:pPr>
        <w:spacing w:after="0" w:line="147"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due to the Administrative Agent and the Lenders pursuant to Sections 11.6. and 12.9. to be applied for the ratable benefit of the Administrative Agent and the Lenders;</w:t>
      </w:r>
    </w:p>
    <w:p>
      <w:pPr>
        <w:spacing w:after="0" w:line="147" w:lineRule="exact"/>
        <w:rPr>
          <w:rFonts w:ascii="Times New Roman" w:cs="Times New Roman" w:eastAsia="Times New Roman" w:hAnsi="Times New Roman"/>
          <w:sz w:val="20"/>
          <w:szCs w:val="20"/>
          <w:color w:val="auto"/>
        </w:rPr>
      </w:pPr>
    </w:p>
    <w:p>
      <w:pPr>
        <w:ind w:right="20" w:firstLine="656"/>
        <w:spacing w:after="0" w:line="233" w:lineRule="auto"/>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all other Guaranteed Obligations and other amounts due under any of the Loan Documents, if any, to be applied for the ratable benefit of the Lenders; and</w:t>
      </w:r>
    </w:p>
    <w:p>
      <w:pPr>
        <w:spacing w:after="0" w:line="12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remaining after application as provided above, shall be paid to the Borrowers or whomever else may be legally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entitled thereto.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10.6. [Reserved]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10.7. Performance by Administrative Agent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any Borrower or any other Loan Party shall fail to perform any covenant, duty or agreement contained in any of the Loan Documents, the Administrative Agent may, after notice to the Borrower Representative, perform or attempt to perform such covenant, duty or agreement on behalf of such Borrower or such other Loan Party after the expiration of any cure or grace periods set forth herein. In such event, such Borrower or such other Loan Party shall, at the request of the Administrative Agent,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- 74 -</w:t>
      </w:r>
    </w:p>
    <w:p>
      <w:pPr>
        <w:sectPr>
          <w:pgSz w:w="11900" w:h="16838" w:orient="portrait"/>
          <w:cols w:equalWidth="0" w:num="1">
            <w:col w:w="11240"/>
          </w:cols>
          <w:pgMar w:left="320" w:top="1440" w:right="339" w:bottom="1440" w:gutter="0" w:footer="0" w:header="0"/>
          <w:type w:val="continuous"/>
        </w:sectPr>
      </w:pPr>
    </w:p>
    <w:bookmarkStart w:id="281" w:name="page282"/>
    <w:bookmarkEnd w:id="281"/>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for the performance of any obligation of any Borrower or any other Loan Party under this Agreement or any other Loan Document.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10.8. Rights Cumulative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20" w:lineRule="auto"/>
        <w:tabs>
          <w:tab w:leader="none" w:pos="128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and remedies of the Administrative Agent and the Lenders under this Agreement, each of the other Loan Documents, and the Fee Letters shall be cumulative and not exclusive of any rights or remedies which any of them may otherwise have under Applicable Law. In exercising their respective rights and remedies the Administrative Agent and the Lenders may be selective, and no failure or delay by the Administrative Agent or any of the Lenders in exercising any right shall operate as a waiver of it, nor shall any single or partial exercise of any power or right preclude its other or further exercise or the exercise of any other power or right.</w:t>
      </w:r>
    </w:p>
    <w:p>
      <w:pPr>
        <w:spacing w:after="0" w:line="133"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Borrowers or any other Loan Party or any of them shall be vested exclusively in, and all actions and proceedings at law in connection with such enforcement shall be instituted and maintained exclusively by, the Administrative Agent in accordance with Article X. for the benefit of all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[reserved], (c) any Lender from exercising setoff rights in accordance with Section 12.3. (subject to the terms of Section 3.3.), or (d) any Lender from filing proofs of claim or appearing and filing pleadings on its own behalf during the pendency of a proceeding relative to any Borrower or any other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at any time there is no Person acting as Administrative Agent hereunder and under the other Loan Documents, then (i) the Requisite Lenders shall have the rights otherwise ascribed to the Administrative Agent pursuant to Article X. and (ii) in addition to the matters set forth in clauses (c) and (d) of the preceding proviso and subject to Section 3.3., any Lender may, with the consent of the Requisite Lenders, enforce any rights and remedies available to it and as authorized by the Requisite Lenders.</w:t>
      </w:r>
    </w:p>
    <w:p>
      <w:pPr>
        <w:spacing w:after="0" w:line="1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ARTICLE XI. The Administrative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11.1. Appointment and Authorization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- 75 -</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Borrowers or any other Loan Party are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Borrowers or any other Loan Party or any Affiliate of the Borrowers or any other Loan Party, pursuant to this Agreement or any other Loan Document not already delivered or otherwise made available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11.2. Wells Fargo as Lender</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Wells Fargo,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any Borrower, any other Loan Party or any Affiliate thereof as if it were any other bank and without any duty to account therefor to the other Lenders, or any other Specified Derivatives Providers. Further, the Administrative Agent and any Affiliate may accept fees and other consideration from any Borrower or any other Loan Party for services in connection with this Agreement or any Specified Derivatives Contract, or otherwise without having to account for the same to the other Lenders or any other Specified Derivatives Providers. The Lenders acknowledge that, pursuant to such activities, Wells Fargo or its Affiliates may receive information regarding any of the Borrowers,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11.3. Approvals of Lenders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communications from the Administrative Agent to any Lender requesting such Lender’s determination, consent, approval or disapproval (a) shall be given in the form of a written notice to such Lender, (b) shall be accompanied by a description of the matter or issue as to which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- 76 -</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as appropriate, a brief summary of all oral information provided to the Administrative Agent by any Borrower in respect of the matter or issue to be resolved, and (d) shall include the Administrative Agent’s recommended course of action or determination in respect thereof. Unless a Lender shall give written notice to the Administrative Agent that it specifically objects to the recommendation or determination of the Administrative Agent within ten (10) Business Days (or such lesser or greater period as may be specifically required under the express terms of the Loan Documents) of receipt of such communication, such Lender shall be deemed to have conclusively approved of or consented to such recommendation or determination (other than in respect of any consent required under Section 12.6.(b)).</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11.4. Notice of Events of Default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Administrative Agent shall not be deemed to have knowledge or notice of the occurrence of a Default or Event of Default unless the Administrative Agent has received notice from a Lender or the Borrower Representative or any other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11.5. Administrative Agent’s Reliance</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Borrowers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or any other Person, or shall be responsible to any Lender or any other Person for any statement, warranty or representation made or deemed made by any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any Borrower or other Persons, or to inspect the property, books or records of any Borrower or any other Person; (c) shall be responsible to any Lender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Administrative Agent on behalf of the Lenders in any such collateral; (d) shall have any liability in respect of any recitals, statements, certifications, representations or warranties contained in any of the Loan Documents or any other document, instrument, agreement, certificate or statement delivered in connection therewith; or (e) shall incur any liability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- 77 -</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or in respect of this Agreement or any other Loan Document by acting upon any notice, consent, certificate or other instrument or writing (which may be by telephone, telecopy or electronic mail) believed by it to be genuine and signed, sent or given by the proper party or parties. The Administrative Agent may execute any of its duties under the Loan Documents by or through agents, employees or attorneys-in-fact and shall not be responsible for the negligence or misconduct of any agent or attorney-in-fact that it selects in the absence of gross negligence or willful misconduct as determined by a court of competent jurisdiction in a final non-appealable judgment.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11.6. Indemnification of Administrative Agent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Each Lender agrees to indemnify the Administrative Agent (to the extent not reimbursed by any Borrower and without limiting the obligation of any Borrower to do so) pro rata in accordance with such Lender’s respective Pro Rata Share (determined as of the time that the applicable unreimbursed expense or indemnity payment is sought),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w:t>
      </w:r>
      <w:r>
        <w:rPr>
          <w:rFonts w:ascii="Times New Roman" w:cs="Times New Roman" w:eastAsia="Times New Roman" w:hAnsi="Times New Roman"/>
          <w:sz w:val="20"/>
          <w:szCs w:val="20"/>
          <w:b w:val="1"/>
          <w:bCs w:val="1"/>
          <w:color w:val="auto"/>
        </w:rPr>
        <w:t>Indemnifiable Amounts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any Borrower and without limiting the obligation of any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any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11.7. Lender Credit Decision, Etc.</w:t>
      </w:r>
    </w:p>
    <w:p>
      <w:pPr>
        <w:spacing w:after="0" w:line="20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Each of the Lenders expressly acknowledges and agrees that neither the Administrative Agent nor any of its Related Parties has made any representations or warranties to such Lender and that no act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- 78 -</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Administrative Agent hereafter taken, including any review of the affairs of any Borrower, any other Loan Party, any Subsidiary or other Affiliate, shall be deemed to constitute any such representation or warranty by the Administrative Agent to any Lender. Each of the Lenders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Related Parties, and based on the financial statements of the Borrowers, the other Loan Parties, the other Subsidiaries and other Affiliates, and inquiries of such Persons, its independent due diligence of the business and affairs of the Borrowers,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any other Lender or counsel to the Administrative Agent or any of their respective Related Parties,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any Borrower or any other Loan Party of the Loan Documents or any other document referred to or provided for therein or to inspect the properties or books of, or make any other investigation of, any Borrower, any other Loan Party or any other Subsidiary. Except for notices, reports and other documents and information expressly required to be furnished to the Lenders by the Administrative Agent under this Agreement or any of the other Loan Documents, the Administrative Agent shall have no duty or responsibility to provide any Lender with any credit or other information concerning the business, operations, property, financial and other condition or creditworthiness of any Borrower, any other Loan Party or any other Affiliate thereof which may come into possession of the Administrative Agent or any of its Related Parties. Each of the Lenders acknowledges that the Administrative Agent’s legal counsel in connection with the transactions contemplated by this Agreement is only acting as counsel to the Administrative Agent and is not acting as counsel to any Lender.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11.8. Successor Administrative Agent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The Administrative Agent may (a) resign at any time as Administrative Agent under the Loan Documents by giving written notice thereof to the Lenders and the Borrower Representative or (b) be removed as administrative agent by all of the Lenders (other than the Lender then acting as Administrative Agent) and the Borrower Representative upon 30 days’ prior written notice if the Administrative Agent</w:t>
      </w:r>
    </w:p>
    <w:p>
      <w:pPr>
        <w:jc w:val="both"/>
        <w:ind w:firstLine="8"/>
        <w:spacing w:after="0" w:line="262" w:lineRule="auto"/>
        <w:tabs>
          <w:tab w:leader="none" w:pos="282"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found by a court of competent jurisdiction in a final, non-appealable judgment to have committed gross negligence or willful misconduct in the course of performing its duties hereunder or (ii)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Upon any such resignation or removal, the Requisite Lenders shall have the right to appoint a successor Administrative Agent which appointment shall, provided no Default or Event of Default exists, be subject to the Borrower Representative’s approval, which approval shall not be unreasonably withheld or delayed (except that the Borrower Representative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(a) the resigning Administrative Agent’s giving of notice of resignation, or (b) the Lenders’ giving of notice of removal, then the resigning or removed Administrative Agent may, on behalf of the Lender Parties, appoint a successor Administrative Agent, which shall be a Lender, if any Lender shall be willing to serve, and otherwise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28" w:lineRule="exact"/>
        <w:rPr>
          <w:rFonts w:ascii="Times New Roman" w:cs="Times New Roman" w:eastAsia="Times New Roman" w:hAnsi="Times New Roman"/>
          <w:sz w:val="19"/>
          <w:szCs w:val="19"/>
          <w:color w:val="auto"/>
        </w:rPr>
      </w:pPr>
    </w:p>
    <w:p>
      <w:pPr>
        <w:ind w:left="320" w:hanging="114"/>
        <w:spacing w:after="0"/>
        <w:tabs>
          <w:tab w:leader="none" w:pos="32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79 -</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shall be an Eligible Assignee;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shall notify the Borrower Representative and the Lenders that no Lender or Eligible Assignee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shall thereupon succeed to and become vested with all the rights, powers, privileges and duties of the current Administrative Agent, and the current Administrative Agent shall be discharged from its duties and obligations under the Loan Documents. After any Administrative Agent’s resignation or removal hereunder as Administrative Agent, the provisions of this Article XI. shall continue to inure to its benefit as to any actions taken or omitted to be taken by it while it was Administrative Agent under the Loan Documents. Notwithstanding anything contained herein to the contrary, the Administrative Agent may assign its rights and duties under the Loan Documents to any of its Affiliates by giving the Borrower Representative and each Lender prior written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11.9. Titled Agents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Titled Agent, in such capacity, assumes any responsibility or obligation hereunder, including, without limitation, for servicing, enforcement or collection of any of the Loans, or any duties as an agent hereunder for the Lenders. The titles given to the Titled Agents are solely honorific and imply no fiduciary responsibility on the part of the Titled Agents to the Administrative Agent, any Lender or any Borrower or any other Loan Party and the use of such titles does not impose on the Titled Agents any duties or obligations greater than those of any other Lender.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11.10. Specified Derivatives Contracts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Except as expressly provided in Section 12.6.(c), no Specified Derivatives Provider that obtains the benefits of Section 10.5. by virtue of the provisions hereof or of any Loan Document shall have any right to notice of any action or to consent to, direct or object to any action hereunder or under any other Loan Document or otherwise in respect of any Loan Document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Specified Derivatives Contracts unless the Administrative Agent has received written notice of such Specified Derivatives Contracts, together with such supporting documentation as the Administrative Agent may request, from the applicable Specified Derivatives Provider.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11.11. Erroneous Payments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8" w:lineRule="auto"/>
        <w:tabs>
          <w:tab w:leader="none" w:pos="1286"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each Specified Derivatives Provider and any other party hereto hereby severally agrees that if (i) the Administrative Agent notifies (which such notice shall be conclusive absent manifest error) such Lender or Specified Derivatives Provider (or any Related Party thereof) or any other Person that has received funds from the Administrative Agent or any of its Affiliates, either for its own account or on behalf of a Lender or Specified Derivatives Provider (each such recipient, a “Payment Recipient”) that the Administrative Agent has determined in its sole discretion that any funds received by such Payment Recipient were erroneously transmitted to, or otherwise erroneously or mistakenly received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80 -</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6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by, such Payment Recipient (whether or not known to such Payment Recipient) or (ii) any Payment Recipient receives any payment from the Administrative Agent (or any of its Affiliates) (x) that is in a different amount than, or on a different date from, that specified in a notice of</w:t>
      </w:r>
    </w:p>
    <w:p>
      <w:pPr>
        <w:spacing w:after="0" w:line="211" w:lineRule="auto"/>
        <w:rPr>
          <w:sz w:val="20"/>
          <w:szCs w:val="20"/>
          <w:color w:val="auto"/>
        </w:rPr>
      </w:pPr>
      <w:r>
        <w:rPr>
          <w:rFonts w:ascii="Times New Roman" w:cs="Times New Roman" w:eastAsia="Times New Roman" w:hAnsi="Times New Roman"/>
          <w:sz w:val="20"/>
          <w:szCs w:val="20"/>
          <w:color w:val="auto"/>
        </w:rPr>
        <w:t>payment, prepayment or repayment sent by the Administrative Agent (or any of its Affiliates) with respect to such payment, prepayment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repayment, as applicable, (y) that was not preceded or accompanied by a notice of payment, prepayment or repayment sent by the Administrative Agent (or any of its Affiliates) with respect to such payment, prepayment or repayment, as applicable, or (z) that such</w:t>
      </w:r>
    </w:p>
    <w:p>
      <w:pPr>
        <w:spacing w:after="0" w:line="211" w:lineRule="auto"/>
        <w:rPr>
          <w:sz w:val="20"/>
          <w:szCs w:val="20"/>
          <w:color w:val="auto"/>
        </w:rPr>
      </w:pPr>
      <w:r>
        <w:rPr>
          <w:rFonts w:ascii="Times New Roman" w:cs="Times New Roman" w:eastAsia="Times New Roman" w:hAnsi="Times New Roman"/>
          <w:sz w:val="20"/>
          <w:szCs w:val="20"/>
          <w:color w:val="auto"/>
        </w:rPr>
        <w:t>Payment Recipient otherwise becomes aware was transmitted or received in error or by mistake (in whole or in part) then, in each case, 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error in payment shall be presumed to have been made (any such amounts specified in clauses (i) or (ii) of this Section 11.11(a), whether received as a payment, prepayment or repayment of principal, interest, fees, distribution or otherwise; individually and collectively, an</w:t>
      </w:r>
    </w:p>
    <w:p>
      <w:pPr>
        <w:spacing w:after="0" w:line="211" w:lineRule="auto"/>
        <w:rPr>
          <w:sz w:val="20"/>
          <w:szCs w:val="20"/>
          <w:color w:val="auto"/>
        </w:rPr>
      </w:pPr>
      <w:r>
        <w:rPr>
          <w:rFonts w:ascii="Times New Roman" w:cs="Times New Roman" w:eastAsia="Times New Roman" w:hAnsi="Times New Roman"/>
          <w:sz w:val="20"/>
          <w:szCs w:val="20"/>
          <w:color w:val="auto"/>
        </w:rPr>
        <w:t>“Erroneous Payment”), then, in each case, such Payment Recipient is deemed to have knowledge of such error at the time of its receipt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Erroneous Payment; provided that nothing in this Section shall require the Administrative Agent to provide any of the notices specified in clauses (i) or (ii) above. Each Payment Recipient agrees that it shall not assert any right or claim to any Erroneous Payment, and hereby</w:t>
      </w:r>
    </w:p>
    <w:p>
      <w:pPr>
        <w:spacing w:after="0" w:line="211" w:lineRule="auto"/>
        <w:rPr>
          <w:sz w:val="20"/>
          <w:szCs w:val="20"/>
          <w:color w:val="auto"/>
        </w:rPr>
      </w:pPr>
      <w:r>
        <w:rPr>
          <w:rFonts w:ascii="Times New Roman" w:cs="Times New Roman" w:eastAsia="Times New Roman" w:hAnsi="Times New Roman"/>
          <w:sz w:val="20"/>
          <w:szCs w:val="20"/>
          <w:color w:val="auto"/>
        </w:rPr>
        <w:t>waives any claim, counterclaim, defense or right of set-off or recoupment with respect to any demand, claim or counterclaim by the</w:t>
      </w: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for the return of any Erroneous Payments, including without limitation waiver of any defense based on “discharge for value” or any similar doctrine.</w:t>
      </w:r>
    </w:p>
    <w:p>
      <w:pPr>
        <w:spacing w:after="0" w:line="148" w:lineRule="exact"/>
        <w:rPr>
          <w:sz w:val="20"/>
          <w:szCs w:val="20"/>
          <w:color w:val="auto"/>
        </w:rPr>
      </w:pPr>
    </w:p>
    <w:p>
      <w:pPr>
        <w:ind w:firstLine="656"/>
        <w:spacing w:after="0" w:line="233" w:lineRule="auto"/>
        <w:tabs>
          <w:tab w:leader="none" w:pos="128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Payment Recipient agrees that, in the case of clause (a)(ii) above, it shall promptly notify the Administrative Agent in writing of such occurrence.</w:t>
      </w:r>
    </w:p>
    <w:p>
      <w:pPr>
        <w:spacing w:after="0" w:line="133"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50"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“Erroneous Payment Return Deficiency”),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“Erroneous Payment Impacted Class”)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12.5 and (3) the Administrative Agent may reflect such assignments in the Register without further consent or action by any other Person.</w:t>
      </w:r>
    </w:p>
    <w:p>
      <w:pPr>
        <w:spacing w:after="0" w:line="140"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1"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81 -</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amounts at any time owing to such Payment Recipient under any Loan Document, or otherwise payable or distributable by the Administrative Agent to such Payment Recipient from any source, against any amount due to the Administrative Agent under this Section</w:t>
      </w:r>
    </w:p>
    <w:p>
      <w:pPr>
        <w:spacing w:after="0" w:line="212" w:lineRule="auto"/>
        <w:rPr>
          <w:sz w:val="20"/>
          <w:szCs w:val="20"/>
          <w:color w:val="auto"/>
        </w:rPr>
      </w:pPr>
      <w:r>
        <w:rPr>
          <w:rFonts w:ascii="Times New Roman" w:cs="Times New Roman" w:eastAsia="Times New Roman" w:hAnsi="Times New Roman"/>
          <w:sz w:val="20"/>
          <w:szCs w:val="20"/>
          <w:color w:val="auto"/>
        </w:rPr>
        <w:t>11.11 or under the indemnification provisions of this Agreement, (y) the receipt of an Erroneous Payment by a Payment Recipient shall not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for the purpose of this Agreement be treated as a payment, prepayment, repayment, discharge or other satisfaction of any Obligations owed by the Borrower or any other Loan Party, except, in each case, to the extent such Erroneous Payment is, and solely with respect to the amount</w:t>
      </w:r>
    </w:p>
    <w:p>
      <w:pPr>
        <w:spacing w:after="0" w:line="211" w:lineRule="auto"/>
        <w:rPr>
          <w:sz w:val="20"/>
          <w:szCs w:val="20"/>
          <w:color w:val="auto"/>
        </w:rPr>
      </w:pPr>
      <w:r>
        <w:rPr>
          <w:rFonts w:ascii="Times New Roman" w:cs="Times New Roman" w:eastAsia="Times New Roman" w:hAnsi="Times New Roman"/>
          <w:sz w:val="20"/>
          <w:szCs w:val="20"/>
          <w:color w:val="auto"/>
        </w:rPr>
        <w:t>of such Erroneous Payment that is, comprised of funds received by the Administrative Agent from the Borrower or any other Loan Party for</w:t>
      </w:r>
    </w:p>
    <w:p>
      <w:pPr>
        <w:spacing w:after="0" w:line="204" w:lineRule="auto"/>
        <w:rPr>
          <w:sz w:val="20"/>
          <w:szCs w:val="20"/>
          <w:color w:val="auto"/>
        </w:rPr>
      </w:pPr>
      <w:r>
        <w:rPr>
          <w:rFonts w:ascii="Times New Roman" w:cs="Times New Roman" w:eastAsia="Times New Roman" w:hAnsi="Times New Roman"/>
          <w:sz w:val="20"/>
          <w:szCs w:val="20"/>
          <w:color w:val="auto"/>
        </w:rPr>
        <w:t>the purpose of making a payment on the Obligations and (z) to the extent that an Erroneous Payment was in any way or at any time credited as payment or satisfaction of any of the Obligations, the Obligations or any part thereof that were so credited, and all rights of the Payment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Recipient, as the case may be, shall be reinstated and continue in full force and effect as if such payment or satisfaction had never been received.</w:t>
      </w:r>
    </w:p>
    <w:p>
      <w:pPr>
        <w:spacing w:after="0" w:line="135" w:lineRule="exact"/>
        <w:rPr>
          <w:sz w:val="20"/>
          <w:szCs w:val="20"/>
          <w:color w:val="auto"/>
        </w:rPr>
      </w:pPr>
    </w:p>
    <w:p>
      <w:pPr>
        <w:jc w:val="both"/>
        <w:ind w:firstLine="656"/>
        <w:spacing w:after="0" w:line="226" w:lineRule="auto"/>
        <w:tabs>
          <w:tab w:leader="none" w:pos="1291"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11.11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46"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Section 11.11 will constitute a waiver or release of any claim of the Administrative Agent hereunder arising from any Payment Recipient’s receipt of an Erroneous Payment.</w:t>
      </w:r>
    </w:p>
    <w:p>
      <w:pPr>
        <w:spacing w:after="0" w:line="130" w:lineRule="exact"/>
        <w:rPr>
          <w:sz w:val="20"/>
          <w:szCs w:val="20"/>
          <w:color w:val="auto"/>
        </w:rPr>
      </w:pPr>
    </w:p>
    <w:p>
      <w:pPr>
        <w:ind w:left="4040"/>
        <w:spacing w:after="0"/>
        <w:tabs>
          <w:tab w:leader="none" w:pos="6000" w:val="left"/>
        </w:tabs>
        <w:rPr>
          <w:sz w:val="20"/>
          <w:szCs w:val="20"/>
          <w:color w:val="auto"/>
        </w:rPr>
      </w:pPr>
      <w:r>
        <w:rPr>
          <w:rFonts w:ascii="Times New Roman" w:cs="Times New Roman" w:eastAsia="Times New Roman" w:hAnsi="Times New Roman"/>
          <w:sz w:val="20"/>
          <w:szCs w:val="20"/>
          <w:b w:val="1"/>
          <w:bCs w:val="1"/>
          <w:color w:val="auto"/>
        </w:rPr>
        <w:t>ARTICLE XII.</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 Notices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provided herein (including without limitation as provided in Section 8.5.), communications provided for hereunder shall be in writing and shall be mailed, telecopied, or delivered as follows: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any Borrower: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One Vanderbilt Avenue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13"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auto"/>
        </w:rPr>
        <w:t>Telecopy Number:</w:t>
      </w:r>
      <w:r>
        <w:rPr>
          <w:sz w:val="20"/>
          <w:szCs w:val="20"/>
          <w:color w:val="auto"/>
        </w:rPr>
        <w:tab/>
      </w:r>
      <w:r>
        <w:rPr>
          <w:rFonts w:ascii="Times New Roman" w:cs="Times New Roman" w:eastAsia="Times New Roman" w:hAnsi="Times New Roman"/>
          <w:sz w:val="19"/>
          <w:szCs w:val="19"/>
          <w:color w:val="auto"/>
        </w:rPr>
        <w:t>(212) 356-4137</w:t>
      </w:r>
    </w:p>
    <w:p>
      <w:pPr>
        <w:spacing w:after="0" w:line="6" w:lineRule="exact"/>
        <w:rPr>
          <w:sz w:val="20"/>
          <w:szCs w:val="20"/>
          <w:color w:val="auto"/>
        </w:rPr>
      </w:pPr>
    </w:p>
    <w:p>
      <w:pPr>
        <w:ind w:left="1300"/>
        <w:spacing w:after="0"/>
        <w:tabs>
          <w:tab w:leader="none" w:pos="3060" w:val="left"/>
        </w:tabs>
        <w:rPr>
          <w:sz w:val="20"/>
          <w:szCs w:val="20"/>
          <w:color w:val="auto"/>
        </w:rPr>
      </w:pPr>
      <w:r>
        <w:rPr>
          <w:rFonts w:ascii="Times New Roman" w:cs="Times New Roman" w:eastAsia="Times New Roman" w:hAnsi="Times New Roman"/>
          <w:sz w:val="20"/>
          <w:szCs w:val="20"/>
          <w:color w:val="auto"/>
        </w:rPr>
        <w:t>Telephone Number:</w:t>
      </w:r>
      <w:r>
        <w:rPr>
          <w:sz w:val="20"/>
          <w:szCs w:val="20"/>
          <w:color w:val="auto"/>
        </w:rPr>
        <w:tab/>
      </w:r>
      <w:r>
        <w:rPr>
          <w:rFonts w:ascii="Times New Roman" w:cs="Times New Roman" w:eastAsia="Times New Roman" w:hAnsi="Times New Roman"/>
          <w:sz w:val="19"/>
          <w:szCs w:val="19"/>
          <w:color w:val="auto"/>
        </w:rPr>
        <w:t>(212) 216-2700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copies 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One Vanderbilt Avenue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6"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auto"/>
        </w:rPr>
        <w:t>Telecopy Number:</w:t>
      </w:r>
      <w:r>
        <w:rPr>
          <w:sz w:val="20"/>
          <w:szCs w:val="20"/>
          <w:color w:val="auto"/>
        </w:rPr>
        <w:tab/>
      </w:r>
      <w:r>
        <w:rPr>
          <w:rFonts w:ascii="Times New Roman" w:cs="Times New Roman" w:eastAsia="Times New Roman" w:hAnsi="Times New Roman"/>
          <w:sz w:val="19"/>
          <w:szCs w:val="19"/>
          <w:color w:val="auto"/>
        </w:rPr>
        <w:t>(212) 216-1776</w:t>
      </w:r>
    </w:p>
    <w:p>
      <w:pPr>
        <w:spacing w:after="0" w:line="13" w:lineRule="exact"/>
        <w:rPr>
          <w:sz w:val="20"/>
          <w:szCs w:val="20"/>
          <w:color w:val="auto"/>
        </w:rPr>
      </w:pPr>
    </w:p>
    <w:p>
      <w:pPr>
        <w:ind w:left="1300"/>
        <w:spacing w:after="0"/>
        <w:tabs>
          <w:tab w:leader="none" w:pos="3060" w:val="left"/>
        </w:tabs>
        <w:rPr>
          <w:sz w:val="20"/>
          <w:szCs w:val="20"/>
          <w:color w:val="auto"/>
        </w:rPr>
      </w:pPr>
      <w:r>
        <w:rPr>
          <w:rFonts w:ascii="Times New Roman" w:cs="Times New Roman" w:eastAsia="Times New Roman" w:hAnsi="Times New Roman"/>
          <w:sz w:val="20"/>
          <w:szCs w:val="20"/>
          <w:color w:val="auto"/>
        </w:rPr>
        <w:t>Telephone Number:</w:t>
      </w:r>
      <w:r>
        <w:rPr>
          <w:sz w:val="20"/>
          <w:szCs w:val="20"/>
          <w:color w:val="auto"/>
        </w:rPr>
        <w:tab/>
      </w:r>
      <w:r>
        <w:rPr>
          <w:rFonts w:ascii="Times New Roman" w:cs="Times New Roman" w:eastAsia="Times New Roman" w:hAnsi="Times New Roman"/>
          <w:sz w:val="19"/>
          <w:szCs w:val="19"/>
          <w:color w:val="auto"/>
        </w:rPr>
        <w:t>(212) 216-2700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- 82 -</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One Vanderbilt Avenue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Chief Legal Officer</w:t>
      </w:r>
    </w:p>
    <w:p>
      <w:pPr>
        <w:spacing w:after="0" w:line="6"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auto"/>
        </w:rPr>
        <w:t>Telecopy Number:</w:t>
      </w:r>
      <w:r>
        <w:rPr>
          <w:sz w:val="20"/>
          <w:szCs w:val="20"/>
          <w:color w:val="auto"/>
        </w:rPr>
        <w:tab/>
      </w:r>
      <w:r>
        <w:rPr>
          <w:rFonts w:ascii="Times New Roman" w:cs="Times New Roman" w:eastAsia="Times New Roman" w:hAnsi="Times New Roman"/>
          <w:sz w:val="19"/>
          <w:szCs w:val="19"/>
          <w:color w:val="auto"/>
        </w:rPr>
        <w:t>(212) 356-4135</w:t>
      </w:r>
    </w:p>
    <w:p>
      <w:pPr>
        <w:spacing w:after="0" w:line="13" w:lineRule="exact"/>
        <w:rPr>
          <w:sz w:val="20"/>
          <w:szCs w:val="20"/>
          <w:color w:val="auto"/>
        </w:rPr>
      </w:pPr>
    </w:p>
    <w:p>
      <w:pPr>
        <w:ind w:left="1300"/>
        <w:spacing w:after="0"/>
        <w:tabs>
          <w:tab w:leader="none" w:pos="3060" w:val="left"/>
        </w:tabs>
        <w:rPr>
          <w:sz w:val="20"/>
          <w:szCs w:val="20"/>
          <w:color w:val="auto"/>
        </w:rPr>
      </w:pPr>
      <w:r>
        <w:rPr>
          <w:rFonts w:ascii="Times New Roman" w:cs="Times New Roman" w:eastAsia="Times New Roman" w:hAnsi="Times New Roman"/>
          <w:sz w:val="20"/>
          <w:szCs w:val="20"/>
          <w:color w:val="auto"/>
        </w:rPr>
        <w:t>Telephone Number:</w:t>
      </w:r>
      <w:r>
        <w:rPr>
          <w:sz w:val="20"/>
          <w:szCs w:val="20"/>
          <w:color w:val="auto"/>
        </w:rPr>
        <w:tab/>
      </w:r>
      <w:r>
        <w:rPr>
          <w:rFonts w:ascii="Times New Roman" w:cs="Times New Roman" w:eastAsia="Times New Roman" w:hAnsi="Times New Roman"/>
          <w:sz w:val="19"/>
          <w:szCs w:val="19"/>
          <w:color w:val="auto"/>
        </w:rPr>
        <w:t>(212) 216-2700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Administrative Agent: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550 S. Tryon Street, 22nd Floor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Charlotte, North Carolina 28202</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Attn: </w:t>
      </w:r>
      <w:r>
        <w:rPr>
          <w:rFonts w:ascii="Times New Roman" w:cs="Times New Roman" w:eastAsia="Times New Roman" w:hAnsi="Times New Roman"/>
          <w:sz w:val="20"/>
          <w:szCs w:val="20"/>
          <w:color w:val="FF0000"/>
          <w:strike w:val="1"/>
        </w:rPr>
        <w:t>Kate Brown</w:t>
      </w:r>
      <w:r>
        <w:rPr>
          <w:rFonts w:ascii="Times New Roman" w:cs="Times New Roman" w:eastAsia="Times New Roman" w:hAnsi="Times New Roman"/>
          <w:sz w:val="20"/>
          <w:szCs w:val="20"/>
          <w:u w:val="single" w:color="auto"/>
          <w:color w:val="0101FF"/>
        </w:rPr>
        <w:t>Peter Waschenko</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Telephone: (</w:t>
      </w:r>
      <w:r>
        <w:rPr>
          <w:rFonts w:ascii="Times New Roman" w:cs="Times New Roman" w:eastAsia="Times New Roman" w:hAnsi="Times New Roman"/>
          <w:sz w:val="20"/>
          <w:szCs w:val="20"/>
          <w:color w:val="FF0000"/>
          <w:strike w:val="1"/>
        </w:rPr>
        <w:t>704</w:t>
      </w:r>
      <w:r>
        <w:rPr>
          <w:rFonts w:ascii="Times New Roman" w:cs="Times New Roman" w:eastAsia="Times New Roman" w:hAnsi="Times New Roman"/>
          <w:sz w:val="20"/>
          <w:szCs w:val="20"/>
          <w:u w:val="single" w:color="auto"/>
          <w:color w:val="0101FF"/>
        </w:rPr>
        <w:t>914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410 5151</w:t>
      </w:r>
      <w:r>
        <w:rPr>
          <w:rFonts w:ascii="Times New Roman" w:cs="Times New Roman" w:eastAsia="Times New Roman" w:hAnsi="Times New Roman"/>
          <w:sz w:val="20"/>
          <w:szCs w:val="20"/>
          <w:u w:val="single" w:color="auto"/>
          <w:color w:val="0101FF"/>
        </w:rPr>
        <w:t>540-2168</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With copy to:</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Wells Fargo Bank, National Association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550 S. Tryon Street, 20th Floor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Charlotte, North Carolina 28202</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Attn: Douglas Frazer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Telecopier: (704) 383 6205</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Telephone: (704) 715 5747</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Administrative Agent under Article II.:</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Minneapolis Loan Center</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MAC N9303-110</w:t>
      </w:r>
    </w:p>
    <w:p>
      <w:pPr>
        <w:ind w:left="1300"/>
        <w:spacing w:after="0" w:line="208" w:lineRule="auto"/>
        <w:rPr>
          <w:sz w:val="20"/>
          <w:szCs w:val="20"/>
          <w:color w:val="auto"/>
        </w:rPr>
      </w:pPr>
      <w:r>
        <w:rPr>
          <w:rFonts w:ascii="Times New Roman" w:cs="Times New Roman" w:eastAsia="Times New Roman" w:hAnsi="Times New Roman"/>
          <w:sz w:val="20"/>
          <w:szCs w:val="20"/>
          <w:color w:val="auto"/>
        </w:rPr>
        <w:t>600 South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8th Floor</w:t>
      </w:r>
    </w:p>
    <w:p>
      <w:pPr>
        <w:ind w:left="1300"/>
        <w:spacing w:after="0"/>
        <w:rPr>
          <w:sz w:val="20"/>
          <w:szCs w:val="20"/>
          <w:color w:val="auto"/>
        </w:rPr>
      </w:pPr>
      <w:r>
        <w:rPr>
          <w:rFonts w:ascii="Times New Roman" w:cs="Times New Roman" w:eastAsia="Times New Roman" w:hAnsi="Times New Roman"/>
          <w:sz w:val="20"/>
          <w:szCs w:val="20"/>
          <w:color w:val="auto"/>
        </w:rPr>
        <w:t>Minneapolis, Minnesota 55415</w:t>
      </w:r>
    </w:p>
    <w:p>
      <w:pPr>
        <w:ind w:left="1300"/>
        <w:spacing w:after="0"/>
        <w:rPr>
          <w:sz w:val="20"/>
          <w:szCs w:val="20"/>
          <w:color w:val="auto"/>
        </w:rPr>
      </w:pPr>
      <w:r>
        <w:rPr>
          <w:rFonts w:ascii="Times New Roman" w:cs="Times New Roman" w:eastAsia="Times New Roman" w:hAnsi="Times New Roman"/>
          <w:sz w:val="20"/>
          <w:szCs w:val="20"/>
          <w:color w:val="auto"/>
        </w:rPr>
        <w:t>Attn: Anthony Gangelhoff</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Telecopier: (877) 410-5023</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Telephone: (612) 316-0109</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any other Lender: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To such Lender’s address or telecopy number as set forth in the applicable Administrative Questionnaire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or, as to each party at such other address as shall be designated by such party in a written notice to the other parties delivered in compliance with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Lender shall only be required to give notice of any such other address to the Administrative Agent and the Borrower Representative. All such notices and other communications shall be effective (i) if mailed, upon the first to occur of receipt or the expiration of three (3) days after the deposit in the United States Postal Service mail, postage prepaid and addressed to the address of the Borrower Representative or the Administrative Agent and Lenders at the addresses specified; (ii) if telecopied, when transmitted; (iii) if hand delivered or sent by overnight courier, when delivered; or (iv) if delivered in accordance with Section 8.5. to the extent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the immediately preceding clauses (i), (ii) and (iii), non-receipt of any communication as of the result of any change of address of which the sending party was not notified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- 83 -</w:t>
      </w:r>
    </w:p>
    <w:p>
      <w:pPr>
        <w:sectPr>
          <w:pgSz w:w="11900" w:h="16838" w:orient="portrait"/>
          <w:cols w:equalWidth="0" w:num="1">
            <w:col w:w="11240"/>
          </w:cols>
          <w:pgMar w:left="320" w:top="1440" w:right="339" w:bottom="1440" w:gutter="0" w:footer="0" w:header="0"/>
          <w:type w:val="continuous"/>
        </w:sectPr>
      </w:pPr>
    </w:p>
    <w:bookmarkStart w:id="290" w:name="page291"/>
    <w:bookmarkEnd w:id="290"/>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or as the result of a refusal to accept delivery shall be deemed receipt of such communication. Notwithstanding the immediately preceding sentence, all notices or communications to the Administrative Agent or any Lender under Article II. shall be effective only when actually received. None of the Administrative Agent or any Lender shall incur any liability to any Borrower or any other Loan Party (nor shall the Administrative Agent incur any liability to the Lenders) for acting upon any telephonic notice referred to in this Agreement which the Administrative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12.2. Expenses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The Borrowers jointly and severally agree (a) to pay or reimburse the Administrative Agent for all of its reasonable out-of-pocket costs and expenses incurred in connection with the preparation, negotiation and execution of, and any amendment, supplement or modification to, any of the Loan Documents (including due diligence expense and reasonable travel expenses related to closing), and the consummation of the transactions contemplated hereby and thereby, including the reasonable fees and disbursements of counsel to the Administrative Agent and a single local counsel to the Administrative Agent and the Lenders in each relevant jurisdiction and all costs and expenses of the Administrative Agent in connection with the use of IntraLinks, SyndTrak or other similar information transmission systems in connection with the Loan Documents, (b) to pay or reimburse the Administrative Agent and the Lenders for all their reasonable costs and expenses incurred in connection with the enforcement or preservation of any rights under the Loan Documents and the Fee Letters, including the reasonable fees and disbursements of their respective counsel and any payments in indemnification or otherwise payable by the Lenders to the Administrative Agent pursuant to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Borrowers shall not be required to pay the fees and expenses of more than one counsel to the Administrative Agent and one separate counsel for the Lenders (in addition to fees and expenses for appropriate local or special counsel) in connection with such workout or enforcement or preservation unless an actual or perceived conflict of interest exists, (c) to pay, and indemnify and hold harmless the Administrative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(subject to the same limitations set forth in the proviso to clause (b) above) to the Administrative Agent and any Lender incurred in connection with the representation of the Administrative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any Borrower or any other Loan Party, whether proposed by such Borrower, such other Loan Party, the Lenders or any other Person, and whether such fees and expenses are incurred prior to, during or after the commencement of such proceeding or the confirmation or conclusion of any such proceeding. If any Borrower shall fail to pay any amounts required to be paid by it pursuant to this Section, the Administrative Agent and/or the Lenders may pay such amounts on behalf of such Borrower and such amounts shall be deemed to be Obligations owing hereunder. This Section 12.2. shall not apply to Taxes other than Taxes that represent expenses, losses and similar amounts arising from a non-Tax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- 84 -</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12.3. Setoff</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Subject to Section 3.3. and in addition to any rights now or hereafter granted under Applicable Law and not by way of limitation of any such rights, each Borrower hereby authorizes the Administrative Agent, each Lender, each Affiliate of the Administrative Agent or any Lender, and each Participant, at any time or from time to time while an Event of Default exists, without notice to any Borrower or to any other Person, any such notice being hereby expressly waived, but in the case of a Lender, an Affiliate of a Lender, or a Participant,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any Affiliate of the Administrative Agent or such Lender, or such Participant, to or for the credit or the account of any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and the Lenders and (y) such Defaulting Lender shall provide promptly to the Administrative Agent a statement describing in reasonable detail the Obligations owing to such Defaulting Lender as to which it exercised such right of setoff.</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12.4. Litigation; Jurisdiction; Other Matters; Waivers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56"/>
        <w:spacing w:after="0" w:line="212" w:lineRule="auto"/>
        <w:tabs>
          <w:tab w:leader="none" w:pos="1286"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ACKNOWLEDGES THAT ANY DISPUTE OR CONTROVERSY BETWEEN OR AMONG ANY OF THE BORROWERS, THE ADMINISTRATIVE AGENT OR ANY OF THE LENDERS WOULD BE BASED ON DIFFICULT AND COMPLEX ISSUES OF LAW AND FACT AND WOULD RESULT IN DELAY AND EXPENSE TO THE PARTIES. ACCORDINGLY, TO THE EXTENT PERMITTED BY APPLICABLE LAW, EACH OF THE LENDERS, THE ADMINISTRATIVE AGENT AND EACH BORROWER HEREBY WAIVES ITS RIGHT TO A TRIAL BY JURY IN ANY ACTION OR PROCEEDING OF ANY KIND OR NATURE IN ANY COURT OR TRIBUNAL IN WHICH AN ACTION MAY BE COMMENCED BY OR AGAINST ANY PARTY HERETO ARISING OUT OF THIS AGREEMENT, ANY OTHER LOAN DOCUMENT OR ANY FEE LETTER OR BY REASON OF ANY OTHER SUIT, CAUSE OF ACTION OR DISPUTE WHATSOEVER BETWEEN OR AMONG ANY OF THE BORROWERS, THE ADMINISTRATIVE AGENT OR ANY OF THE LENDERS OF ANY KIND OR NATURE RELATING TO ANY OF THE LOAN DOCUMENTS.</w:t>
      </w:r>
    </w:p>
    <w:p>
      <w:pPr>
        <w:spacing w:after="0" w:line="142"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IRREVOCABLY AND UNCONDITIONALLY AGREES THAT IT WILL NOT COMMENCE ANY ACTION, LITIGATION OR PROCEEDING OF ANY KIND OR DESCRIPTION, WHETHER AT LAW OR IN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8"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BY SUIT ON THE JUDGMENT OR IN ANY OTHER MANNER PROVIDED BY LAW. EACH PARTY FURTHER WAIVES ANY OBJECTION THAT IT MAY NOW OR HEREAFTER HAVE TO THE VENUE OF ANY SUCH ACTION OR PROCEEDING IN ANY</w:t>
      </w:r>
    </w:p>
    <w:p>
      <w:pPr>
        <w:spacing w:after="0" w:line="212" w:lineRule="auto"/>
        <w:rPr>
          <w:sz w:val="20"/>
          <w:szCs w:val="20"/>
          <w:color w:val="auto"/>
        </w:rPr>
      </w:pPr>
      <w:r>
        <w:rPr>
          <w:rFonts w:ascii="Times New Roman" w:cs="Times New Roman" w:eastAsia="Times New Roman" w:hAnsi="Times New Roman"/>
          <w:sz w:val="20"/>
          <w:szCs w:val="20"/>
          <w:color w:val="auto"/>
        </w:rPr>
        <w:t>SUCH COURT OR THAT SUCH ACTION OR PROCEEDING WAS BROUGHT IN AN INCONVENIENT FORUM, AND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AGREES NOT TO PLEAD OR CLAIM THE SAME. THE CHOICE OF FORUM SET FORTH IN THIS SECTION SHALL NOT BE DEEMED TO PRECLUDE THE BRINGING OF ANY ENFORCEMENT ACTION BY ANY PARTY HERETO TO ENFORCE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JUDGMENT OBTAINED IN SUCH FORUM.</w:t>
      </w:r>
    </w:p>
    <w:p>
      <w:pPr>
        <w:spacing w:after="0" w:line="140" w:lineRule="exact"/>
        <w:rPr>
          <w:sz w:val="20"/>
          <w:szCs w:val="20"/>
          <w:color w:val="auto"/>
        </w:rPr>
      </w:pPr>
    </w:p>
    <w:p>
      <w:pPr>
        <w:jc w:val="both"/>
        <w:ind w:firstLine="656"/>
        <w:spacing w:after="0" w:line="222" w:lineRule="auto"/>
        <w:tabs>
          <w:tab w:leader="none" w:pos="128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12.5. Successors and Assigns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1" w:lineRule="auto"/>
        <w:tabs>
          <w:tab w:leader="none" w:pos="1286"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shall be binding upon and inure to the benefit of the parties hereto and their respective successors and assigns permitted hereby, except that no Borrower and no other Loan Party may assign or otherwise transfer any of its rights or obligations hereunder without the prior written consent of the Administrative Agent and each Lender (except as permitted by Section 9.3.(d)),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or grant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contemplated hereby, the Related Parties of the Administrative Agent and the Lenders) any legal or equitable right, remedy or claim under or by reason of this Agreement.</w:t>
      </w:r>
    </w:p>
    <w:p>
      <w:pPr>
        <w:spacing w:after="0" w:line="138" w:lineRule="exact"/>
        <w:rPr>
          <w:rFonts w:ascii="Times New Roman" w:cs="Times New Roman" w:eastAsia="Times New Roman" w:hAnsi="Times New Roman"/>
          <w:sz w:val="20"/>
          <w:szCs w:val="20"/>
          <w:color w:val="auto"/>
        </w:rPr>
      </w:pPr>
    </w:p>
    <w:p>
      <w:pPr>
        <w:jc w:val="both"/>
        <w:ind w:right="20" w:firstLine="656"/>
        <w:spacing w:after="0" w:line="230" w:lineRule="auto"/>
        <w:tabs>
          <w:tab w:leader="none" w:pos="128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Eligible Assignees all or a portion of its rights and obligations under this Agreement (including all or a portion of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3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7" w:val="left"/>
        </w:tabs>
        <w:numPr>
          <w:ilvl w:val="3"/>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an assigning Lender’s Loans at the time owing to it or contemporaneous assignments to related Approved Funds that equal at least the amount specified in the immediately following clause (B) in the aggregate, or in the case of an assignment to a Lender, an Affiliate of a Lender or an Approved Fund, no minimum amount need be assigned; and</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590" w:val="left"/>
        </w:tabs>
        <w:numPr>
          <w:ilvl w:val="3"/>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the immediately preceding subsection (A),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Default or Event of Default shall exist, each Borrower otherwise consents (each such consent not to be unreasonably withheld or delayed).</w:t>
      </w:r>
    </w:p>
    <w:p>
      <w:pPr>
        <w:spacing w:after="0" w:line="135"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assigned, except that this clause (ii) shall not prohibit any Lender from</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86 -</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assigning all or a portion of its rights and obligations among separate Classes on a non pro rata basis.</w:t>
      </w:r>
    </w:p>
    <w:p>
      <w:pPr>
        <w:spacing w:after="0" w:line="162" w:lineRule="exact"/>
        <w:rPr>
          <w:sz w:val="20"/>
          <w:szCs w:val="20"/>
          <w:color w:val="auto"/>
        </w:rPr>
      </w:pPr>
    </w:p>
    <w:p>
      <w:pPr>
        <w:jc w:val="both"/>
        <w:ind w:left="660" w:firstLine="644"/>
        <w:spacing w:after="0" w:line="216" w:lineRule="auto"/>
        <w:tabs>
          <w:tab w:leader="none" w:pos="195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clause (i)(B) of this subsection (b) and, in addition the consent of the Borrower Representative (such consent not to be unreasonably withheld or delayed) shall be required unless (x) a Default or Event of Default shall exist at the time of such assignment or (y) such assignment is to a Lender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an Affiliate of </w:t>
      </w:r>
      <w:r>
        <w:rPr>
          <w:rFonts w:ascii="Times New Roman" w:cs="Times New Roman" w:eastAsia="Times New Roman" w:hAnsi="Times New Roman"/>
          <w:sz w:val="20"/>
          <w:szCs w:val="20"/>
          <w:u w:val="single" w:color="auto"/>
          <w:color w:val="0101FF"/>
        </w:rPr>
        <w:t>a Lender or an Approved Fund with respect to</w:t>
      </w:r>
      <w:r>
        <w:rPr>
          <w:rFonts w:ascii="Times New Roman" w:cs="Times New Roman" w:eastAsia="Times New Roman" w:hAnsi="Times New Roman"/>
          <w:sz w:val="20"/>
          <w:szCs w:val="20"/>
          <w:color w:val="auto"/>
        </w:rPr>
        <w:t xml:space="preserv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Representative shall be deemed to have consented to any such assignment unless it shall object thereto by written notice to the Administrative Agent within 10 Business Days after having received notice thereof.</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 Notes</w:t>
      </w:r>
      <w:r>
        <w:rPr>
          <w:rFonts w:ascii="Times New Roman" w:cs="Times New Roman" w:eastAsia="Times New Roman" w:hAnsi="Times New Roman"/>
          <w:sz w:val="20"/>
          <w:szCs w:val="20"/>
          <w:color w:val="auto"/>
        </w:rPr>
        <w:t>. The parties to each assignment shall execute and deliver to the Administrative Agent an Assignment and Assumption, together with a processing and recordation fee of $4,500 for each assignment (which fee the Administrative Agent may, in its sole discretion, elect to waive), and the assignee, if it is not a Lender, shall deliver to the Administrative Agent an Administrative Questionnaire. If requested by the transferor Lender or the assignee, upon the consummation of any assignment, the transferor Lender, the Administrative Agent and the Borrowers shall make appropriate arrangements so that new Notes are issued to the assignee and such transferor Lender, as appropriate.</w:t>
      </w:r>
    </w:p>
    <w:p>
      <w:pPr>
        <w:spacing w:after="0" w:line="135"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any Borrower or any of the Borrowers’ Affiliates or Subsidiaries or (B) to any Defaulting Lender or any of its Subsidiaries, or to any Person who, upon becoming a Lender hereunder, would constitute any of the foregoing Persons described in this clause (B).</w:t>
      </w:r>
    </w:p>
    <w:p>
      <w:pPr>
        <w:spacing w:after="0" w:line="146" w:lineRule="exact"/>
        <w:rPr>
          <w:rFonts w:ascii="Times New Roman" w:cs="Times New Roman" w:eastAsia="Times New Roman" w:hAnsi="Times New Roman"/>
          <w:sz w:val="20"/>
          <w:szCs w:val="20"/>
          <w:color w:val="auto"/>
        </w:rPr>
      </w:pPr>
    </w:p>
    <w:p>
      <w:pPr>
        <w:ind w:left="660" w:firstLine="644"/>
        <w:spacing w:after="0" w:line="233" w:lineRule="auto"/>
        <w:tabs>
          <w:tab w:leader="none" w:pos="194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holding company, investment vehicle or trust for, or owned and operated for the primary benefit of a natural person).</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-3719830</wp:posOffset>
            </wp:positionV>
            <wp:extent cx="135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12.9. and the other provisions of this Agreement and the other Loan Documents as provided in Section 12.10. with respect to facts and circumstances occurring prior to the effective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- 87 -</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51" w:lineRule="exact"/>
        <w:rPr>
          <w:sz w:val="20"/>
          <w:szCs w:val="20"/>
          <w:color w:val="auto"/>
        </w:rPr>
      </w:pPr>
    </w:p>
    <w:p>
      <w:pPr>
        <w:jc w:val="both"/>
        <w:ind w:firstLine="656"/>
        <w:spacing w:after="0" w:line="215" w:lineRule="auto"/>
        <w:tabs>
          <w:tab w:leader="none" w:pos="1286"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Borrowers, shall maintain at the Principal Office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each Borrower, the Administrative Agent and the Lenders shall treat each Person whose name is recorded in the Register pursuant to the terms hereof as a Lender hereunder for all purposes of this Agreement. The Register shall be available for inspection by the Borrower Representative and any Lender, at any reasonable time and from time to time upon reasonable prior notice.</w:t>
      </w:r>
    </w:p>
    <w:p>
      <w:pPr>
        <w:spacing w:after="0" w:line="150"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4"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xml:space="preserve">. Any Lender may at any time, without the consent of, or notice to, any Borrower or the Administrative Agent, sell participations to any Person (other than a natural Person (or holding company, investment vehicle or trust for, or owned and operated for the primary benefit of a natural person) or any Borrower or any of the Borrowers’ Affiliates or Subsidiaries) (each, a “Participant”) in all or a portion of such Lender’s rights and/or obligations under this Agreement (including all or a portion of its Commitments and/or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 (ii) such Lender shall remain solely responsible to the other parties hereto for the performance of such obligations, and (iii) each of the Borrowers,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(x) extend the date fixed for the payment of principal on the Loans or portions thereof owing to such Lender in which such Participant has acquired a participation, or (y) reduce the rate at which interest is payable thereon. Subject to subsection (e) of this Section, each Borrower agrees that each Participant shall be entitled to the benefits of Sections 3.10., 4.1., 4.4. (subject to the requirements and limitations therein, including the requirements under Section 3.10.(g) (it being understood that the documentation required under Section 3.10.(g)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the provisions of Section 4.6. as if it were an assignee under paragraph (b) of this Section. Each Lender that sells a participation agrees, at any Borrower’s request and expense, to use reasonable efforts to cooperate with such Borrower to effectuate the provisions of Section 4.6. with respect to any Participant. To the extent permitted by law, each Participant also shall be entitled to the benefits of Section 12.3.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Section 3.3.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“Participant Register”);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20" w:lineRule="exact"/>
        <w:rPr>
          <w:rFonts w:ascii="Times New Roman" w:cs="Times New Roman" w:eastAsia="Times New Roman" w:hAnsi="Times New Roman"/>
          <w:sz w:val="19"/>
          <w:szCs w:val="19"/>
          <w:color w:val="auto"/>
        </w:rPr>
      </w:pPr>
    </w:p>
    <w:p>
      <w:pPr>
        <w:ind w:left="320" w:hanging="114"/>
        <w:spacing w:after="0"/>
        <w:tabs>
          <w:tab w:leader="none" w:pos="32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88 -</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62" w:lineRule="exact"/>
        <w:rPr>
          <w:sz w:val="20"/>
          <w:szCs w:val="20"/>
          <w:color w:val="auto"/>
        </w:rPr>
      </w:pPr>
    </w:p>
    <w:p>
      <w:pPr>
        <w:jc w:val="both"/>
        <w:ind w:firstLine="656"/>
        <w:spacing w:after="0" w:line="213" w:lineRule="auto"/>
        <w:tabs>
          <w:tab w:leader="none" w:pos="128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 Representative’s prior written consent or such entitlement to receive a greater payment results from a Regulatory Change that occurs after such Participant acquired the applicable participation. A Participant that would be a Foreign Lender if it were a Lender shall not be entitled to the benefits of Section 3.10. unless the Borrowers are notified of the participation sold to such Participant and such Participant agrees, for the benefit of the Borrowers and the Administrative Agent, to comply with Section 3.10.(g) as though it were a Lender, and such Participant shall be deemed to be a Lender for purposes of the definition of Excluded Taxes.</w:t>
      </w:r>
    </w:p>
    <w:p>
      <w:pPr>
        <w:spacing w:after="0" w:line="149"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or grant a security interest in, all or any portion of its rights under this Agreement to secure obligations of such Lender, including any pledge or assignment, or grant of a security interest,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pledge or assignment, or grant of a security interest, shall release such Lender from any of its obligations hereunder or substitute any such pledgee or assignee or grantee for such Lender as a party hereto.</w:t>
      </w:r>
    </w:p>
    <w:p>
      <w:pPr>
        <w:spacing w:after="0" w:line="134"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Registration</w:t>
      </w:r>
      <w:r>
        <w:rPr>
          <w:rFonts w:ascii="Times New Roman" w:cs="Times New Roman" w:eastAsia="Times New Roman" w:hAnsi="Times New Roman"/>
          <w:sz w:val="20"/>
          <w:szCs w:val="20"/>
          <w:color w:val="auto"/>
        </w:rPr>
        <w:t>. Each Lender agrees that, without the prior written consent of the Borrower Representative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34"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 Notice; Compliance</w:t>
      </w:r>
      <w:r>
        <w:rPr>
          <w:rFonts w:ascii="Times New Roman" w:cs="Times New Roman" w:eastAsia="Times New Roman" w:hAnsi="Times New Roman"/>
          <w:sz w:val="20"/>
          <w:szCs w:val="20"/>
          <w:color w:val="auto"/>
        </w:rPr>
        <w:t>. In order for the Administrative Agent to comply with “know your customer” and anti-money laundering rules and regulations, including without limitation, the Patriot Act, prior to any Lender or Participant that is organized under the laws of a jurisdiction outside of the United States of America becoming a party hereto, the Administrative Agent may request, and such Lender or Participant shall provide to the Administrative Agent, its name, address, tax identification number and/or such other identification information as shall be necessary for the Administrative Agent to comply with federal law.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12.6. Amendments and Waivers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5" w:lineRule="auto"/>
        <w:tabs>
          <w:tab w:leader="none" w:pos="1286"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Except as otherwise expressly provided in this Agreement (including Section 4.2(b)), (i) any consent or approval required or permitted by this Agreement or any other Loan Document to be given by the Lenders may be given, (ii) any term of this Agreement or of any other Loan Document may be amended, (iii) the performance or observance by any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w:t>
      </w:r>
    </w:p>
    <w:p>
      <w:pPr>
        <w:spacing w:after="0" w:line="15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of Lenders Directly Affected</w:t>
      </w:r>
      <w:r>
        <w:rPr>
          <w:rFonts w:ascii="Times New Roman" w:cs="Times New Roman" w:eastAsia="Times New Roman" w:hAnsi="Times New Roman"/>
          <w:sz w:val="20"/>
          <w:szCs w:val="20"/>
          <w:color w:val="auto"/>
        </w:rPr>
        <w:t>. In addition to the foregoing requirements, no amendment, waiver or consent shall:</w:t>
      </w:r>
    </w:p>
    <w:p>
      <w:pPr>
        <w:spacing w:after="0" w:line="161" w:lineRule="exact"/>
        <w:rPr>
          <w:rFonts w:ascii="Times New Roman" w:cs="Times New Roman" w:eastAsia="Times New Roman" w:hAnsi="Times New Roman"/>
          <w:sz w:val="20"/>
          <w:szCs w:val="20"/>
          <w:color w:val="auto"/>
        </w:rPr>
      </w:pPr>
    </w:p>
    <w:p>
      <w:pPr>
        <w:ind w:left="660" w:firstLine="644"/>
        <w:spacing w:after="0"/>
        <w:tabs>
          <w:tab w:leader="none" w:pos="1954"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(or reinstate) the Commitments of a Lender or subject a Lender to any additional obligations without the written consent of such Lender;</w:t>
      </w:r>
    </w:p>
    <w:p>
      <w:pPr>
        <w:spacing w:after="0" w:line="134"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interest that has accrued or the rates of interest that will be charged on the outstanding principal amount of, any Loans or other Obligations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only the written consent of the Requisite Lenders shall be required for the waiver of interest payable at the Post-Default Rate, retraction of the imposition of interest at the Post-Default Rate and amendment of the definition of “Post-Default Rate”;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89 -</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62" w:lineRule="exact"/>
        <w:rPr>
          <w:sz w:val="20"/>
          <w:szCs w:val="20"/>
          <w:color w:val="auto"/>
        </w:rPr>
      </w:pPr>
    </w:p>
    <w:p>
      <w:pPr>
        <w:ind w:left="1754" w:hanging="656"/>
        <w:spacing w:after="0"/>
        <w:tabs>
          <w:tab w:leader="none" w:pos="1754"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amount of any Fees payable to a Lender without the written consent of such Lender;</w:t>
      </w:r>
    </w:p>
    <w:p>
      <w:pPr>
        <w:spacing w:after="0" w:line="161" w:lineRule="exact"/>
        <w:rPr>
          <w:rFonts w:ascii="Times New Roman" w:cs="Times New Roman" w:eastAsia="Times New Roman" w:hAnsi="Times New Roman"/>
          <w:sz w:val="20"/>
          <w:szCs w:val="20"/>
          <w:color w:val="auto"/>
        </w:rPr>
      </w:pPr>
    </w:p>
    <w:p>
      <w:pPr>
        <w:ind w:left="1734" w:hanging="636"/>
        <w:spacing w:after="0"/>
        <w:tabs>
          <w:tab w:leader="none" w:pos="1734"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61" w:lineRule="exact"/>
        <w:rPr>
          <w:rFonts w:ascii="Times New Roman" w:cs="Times New Roman" w:eastAsia="Times New Roman" w:hAnsi="Times New Roman"/>
          <w:sz w:val="20"/>
          <w:szCs w:val="20"/>
          <w:color w:val="auto"/>
        </w:rPr>
      </w:pPr>
    </w:p>
    <w:p>
      <w:pPr>
        <w:jc w:val="both"/>
        <w:ind w:left="454" w:firstLine="644"/>
        <w:spacing w:after="0" w:line="230" w:lineRule="auto"/>
        <w:tabs>
          <w:tab w:leader="none" w:pos="1738"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definition of “Maturity Date”, or otherwise postpone any date fixed for, or forgive, any payment of principal of, or interest on, any Loans or for the payment of Fees or any other Obligations owing to the Lenders, in each case, without the written consent of each directly affected Lender;</w:t>
      </w:r>
    </w:p>
    <w:p>
      <w:pPr>
        <w:spacing w:after="0" w:line="135" w:lineRule="exact"/>
        <w:rPr>
          <w:rFonts w:ascii="Times New Roman" w:cs="Times New Roman" w:eastAsia="Times New Roman" w:hAnsi="Times New Roman"/>
          <w:sz w:val="20"/>
          <w:szCs w:val="20"/>
          <w:color w:val="auto"/>
        </w:rPr>
      </w:pPr>
    </w:p>
    <w:p>
      <w:pPr>
        <w:ind w:left="1734" w:hanging="636"/>
        <w:spacing w:after="0"/>
        <w:tabs>
          <w:tab w:leader="none" w:pos="1734"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61" w:lineRule="exact"/>
        <w:rPr>
          <w:rFonts w:ascii="Times New Roman" w:cs="Times New Roman" w:eastAsia="Times New Roman" w:hAnsi="Times New Roman"/>
          <w:sz w:val="20"/>
          <w:szCs w:val="20"/>
          <w:color w:val="auto"/>
        </w:rPr>
      </w:pPr>
    </w:p>
    <w:p>
      <w:pPr>
        <w:jc w:val="both"/>
        <w:ind w:left="454" w:firstLine="644"/>
        <w:spacing w:after="0" w:line="222" w:lineRule="auto"/>
        <w:tabs>
          <w:tab w:leader="none" w:pos="1740"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modify the definitions of “Pro Rata Share” or “Requisite Lenders”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u w:val="single" w:color="auto"/>
          <w:color w:val="0101FF"/>
        </w:rPr>
        <w:t>,</w:t>
      </w:r>
      <w:r>
        <w:rPr>
          <w:rFonts w:ascii="Times New Roman" w:cs="Times New Roman" w:eastAsia="Times New Roman" w:hAnsi="Times New Roman"/>
          <w:sz w:val="20"/>
          <w:szCs w:val="20"/>
          <w:color w:val="auto"/>
        </w:rPr>
        <w:t xml:space="preserve"> amend or otherwise modify the provisions of Section </w:t>
      </w:r>
      <w:r>
        <w:rPr>
          <w:rFonts w:ascii="Times New Roman" w:cs="Times New Roman" w:eastAsia="Times New Roman" w:hAnsi="Times New Roman"/>
          <w:sz w:val="20"/>
          <w:szCs w:val="20"/>
          <w:color w:val="FF0000"/>
          <w:strike w:val="1"/>
        </w:rPr>
        <w:t>3.2.</w:t>
      </w:r>
      <w:r>
        <w:rPr>
          <w:rFonts w:ascii="Times New Roman" w:cs="Times New Roman" w:eastAsia="Times New Roman" w:hAnsi="Times New Roman"/>
          <w:sz w:val="20"/>
          <w:szCs w:val="20"/>
          <w:u w:val="single" w:color="auto"/>
          <w:color w:val="0101FF"/>
        </w:rPr>
        <w:t>3.2.</w:t>
      </w:r>
      <w:r>
        <w:rPr>
          <w:rFonts w:ascii="Times New Roman" w:cs="Times New Roman" w:eastAsia="Times New Roman" w:hAnsi="Times New Roman"/>
          <w:sz w:val="20"/>
          <w:szCs w:val="20"/>
          <w:color w:val="auto"/>
        </w:rPr>
        <w:t xml:space="preserve"> or Section 10.5</w:t>
      </w:r>
      <w:r>
        <w:rPr>
          <w:rFonts w:ascii="Times New Roman" w:cs="Times New Roman" w:eastAsia="Times New Roman" w:hAnsi="Times New Roman"/>
          <w:sz w:val="20"/>
          <w:szCs w:val="20"/>
          <w:u w:val="single" w:color="auto"/>
          <w:color w:val="0101FF"/>
        </w:rPr>
        <w:t>, or modify in any other manner the number or percentage of the Lenders required to make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determinations or waive any rights hereunder or to modify any provision hereof, in each case,</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without the written consent of each</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directly affected Lender;</w:t>
      </w:r>
    </w:p>
    <w:p>
      <w:pPr>
        <w:spacing w:after="0" w:line="148" w:lineRule="exact"/>
        <w:rPr>
          <w:rFonts w:ascii="Times New Roman" w:cs="Times New Roman" w:eastAsia="Times New Roman" w:hAnsi="Times New Roman"/>
          <w:sz w:val="20"/>
          <w:szCs w:val="20"/>
          <w:color w:val="auto"/>
        </w:rPr>
      </w:pPr>
    </w:p>
    <w:p>
      <w:pPr>
        <w:ind w:left="454" w:firstLine="644"/>
        <w:spacing w:after="0" w:line="233" w:lineRule="auto"/>
        <w:tabs>
          <w:tab w:leader="none" w:pos="1741"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this Section or amend the definitions of the terms used in this Agreement or the other Loan Documents insofar as such definitions affect the substance of this Section without the written consent of each Lender;</w:t>
      </w:r>
    </w:p>
    <w:p>
      <w:pPr>
        <w:spacing w:after="0" w:line="133" w:lineRule="exact"/>
        <w:rPr>
          <w:rFonts w:ascii="Times New Roman" w:cs="Times New Roman" w:eastAsia="Times New Roman" w:hAnsi="Times New Roman"/>
          <w:sz w:val="20"/>
          <w:szCs w:val="20"/>
          <w:color w:val="auto"/>
        </w:rPr>
      </w:pPr>
    </w:p>
    <w:p>
      <w:pPr>
        <w:ind w:left="1734" w:hanging="636"/>
        <w:spacing w:after="0"/>
        <w:tabs>
          <w:tab w:leader="none" w:pos="1734"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734" w:hanging="636"/>
        <w:spacing w:after="0"/>
        <w:tabs>
          <w:tab w:leader="none" w:pos="1734"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61" w:lineRule="exact"/>
        <w:rPr>
          <w:rFonts w:ascii="Times New Roman" w:cs="Times New Roman" w:eastAsia="Times New Roman" w:hAnsi="Times New Roman"/>
          <w:sz w:val="20"/>
          <w:szCs w:val="20"/>
          <w:color w:val="auto"/>
        </w:rPr>
      </w:pPr>
    </w:p>
    <w:p>
      <w:pPr>
        <w:ind w:left="1734" w:hanging="636"/>
        <w:spacing w:after="0"/>
        <w:tabs>
          <w:tab w:leader="none" w:pos="1734"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61" w:lineRule="exact"/>
        <w:rPr>
          <w:rFonts w:ascii="Times New Roman" w:cs="Times New Roman" w:eastAsia="Times New Roman" w:hAnsi="Times New Roman"/>
          <w:sz w:val="20"/>
          <w:szCs w:val="20"/>
          <w:color w:val="auto"/>
        </w:rPr>
      </w:pPr>
    </w:p>
    <w:p>
      <w:pPr>
        <w:ind w:left="454" w:firstLine="644"/>
        <w:spacing w:after="0"/>
        <w:tabs>
          <w:tab w:leader="none" w:pos="1740"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Borrower from its obligations hereunder or under any other Loan Document except as contemplated by Section 9.3. without the consent of each Lender; or</w:t>
      </w:r>
    </w:p>
    <w:p>
      <w:pPr>
        <w:spacing w:after="0" w:line="134" w:lineRule="exact"/>
        <w:rPr>
          <w:rFonts w:ascii="Times New Roman" w:cs="Times New Roman" w:eastAsia="Times New Roman" w:hAnsi="Times New Roman"/>
          <w:sz w:val="20"/>
          <w:szCs w:val="20"/>
          <w:color w:val="auto"/>
        </w:rPr>
      </w:pPr>
    </w:p>
    <w:p>
      <w:pPr>
        <w:ind w:left="454" w:firstLine="644"/>
        <w:spacing w:after="0"/>
        <w:tabs>
          <w:tab w:leader="none" w:pos="1741"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under Section 10.1.(a) without the written consent of each Lender directly and adversely affected thereby (or the Administrative Agent at the written direction of such Lenders).</w:t>
      </w:r>
    </w:p>
    <w:p>
      <w:pPr>
        <w:spacing w:after="0" w:line="134" w:lineRule="exact"/>
        <w:rPr>
          <w:rFonts w:ascii="Times New Roman" w:cs="Times New Roman" w:eastAsia="Times New Roman" w:hAnsi="Times New Roman"/>
          <w:sz w:val="20"/>
          <w:szCs w:val="20"/>
          <w:color w:val="auto"/>
        </w:rPr>
      </w:pPr>
    </w:p>
    <w:p>
      <w:pPr>
        <w:jc w:val="both"/>
        <w:ind w:left="-206" w:firstLine="656"/>
        <w:spacing w:after="0" w:line="209" w:lineRule="auto"/>
        <w:tabs>
          <w:tab w:leader="none" w:pos="108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Administrative Agent’s Duties, Etc.</w:t>
      </w:r>
      <w:r>
        <w:rPr>
          <w:rFonts w:ascii="Times New Roman" w:cs="Times New Roman" w:eastAsia="Times New Roman" w:hAnsi="Times New Roman"/>
          <w:sz w:val="20"/>
          <w:szCs w:val="20"/>
          <w:color w:val="auto"/>
        </w:rPr>
        <w:t xml:space="preserve">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with respect to any Loan Document that affects the rights of a Specified Derivatives Provider in a manner or to an extent materially dissimilar to that affecting the Lenders shall, in addition to the Lenders required hereinabove to take such action, require the consent of the Lender that is (or having an Affiliate that is) such Specified Derivatives Provider.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reinstated or extended without the written consent of such Defaulting Lender and (y) any waiver, amendment or modification requiring the consent of all Lenders or each affected Lender that by its terms affects any Defaulting Lender more adversely than other affected Lenders shall require the written consent of such Defaulting Lender.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Any Event of Default occurring hereunder shall continue to exist until such time as such Event of Default is waived in writing in accordance with the terms of this Section, notwithstanding any attempted cure or other action by any Borrower, any other Loan Party or any other Person subsequent to the occurrence of such Event of Default. Except as otherwise explicitly provided for herein or in any other Loan Document, no notice to or demand upon the Borrower Representative or any other Borrower or any other Loan Party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-5771515</wp:posOffset>
            </wp:positionV>
            <wp:extent cx="135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35890" cy="8890"/>
                    </a:xfrm>
                    <a:prstGeom prst="rect">
                      <a:avLst/>
                    </a:prstGeom>
                    <a:noFill/>
                  </pic:spPr>
                </pic:pic>
              </a:graphicData>
            </a:graphic>
          </wp:anchor>
        </w:drawing>
      </w:r>
    </w:p>
    <w:p>
      <w:pPr>
        <w:sectPr>
          <w:pgSz w:w="11900" w:h="16838" w:orient="portrait"/>
          <w:cols w:equalWidth="0" w:num="1">
            <w:col w:w="11034"/>
          </w:cols>
          <w:pgMar w:left="526" w:top="1440" w:right="339" w:bottom="1440" w:gutter="0" w:footer="0" w:header="0"/>
        </w:sectPr>
      </w:pPr>
    </w:p>
    <w:bookmarkStart w:id="297" w:name="page298"/>
    <w:bookmarkEnd w:id="297"/>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shall entitle the Borrower Representative or such other Borrower or such other Loan Party to other or further notice or demand in similar or other circumstances. The Administrative Agent (and, if applicable, the Borrowers) may, without the consent of any Lender, enter into</w:t>
      </w:r>
    </w:p>
    <w:p>
      <w:pPr>
        <w:spacing w:after="0" w:line="212" w:lineRule="auto"/>
        <w:rPr>
          <w:sz w:val="20"/>
          <w:szCs w:val="20"/>
          <w:color w:val="auto"/>
        </w:rPr>
      </w:pPr>
      <w:r>
        <w:rPr>
          <w:rFonts w:ascii="Times New Roman" w:cs="Times New Roman" w:eastAsia="Times New Roman" w:hAnsi="Times New Roman"/>
          <w:sz w:val="20"/>
          <w:szCs w:val="20"/>
          <w:color w:val="auto"/>
        </w:rPr>
        <w:t>amendments or modifications to this Agreement or any of the other Loan Documents or to enter into additional Loan Documents in order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implement any Benchmark Replacement or any Conforming Changes or otherwise effectuate the terms of Section 4.2(b) in accordance with the terms of Section 4.2(b).</w:t>
      </w:r>
    </w:p>
    <w:p>
      <w:pPr>
        <w:spacing w:after="0" w:line="148" w:lineRule="exact"/>
        <w:rPr>
          <w:sz w:val="20"/>
          <w:szCs w:val="20"/>
          <w:color w:val="auto"/>
        </w:rPr>
      </w:pPr>
    </w:p>
    <w:p>
      <w:pPr>
        <w:jc w:val="both"/>
        <w:ind w:firstLine="656"/>
        <w:spacing w:after="0" w:line="217" w:lineRule="auto"/>
        <w:tabs>
          <w:tab w:leader="none" w:pos="12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Technical Amendments</w:t>
      </w:r>
      <w:r>
        <w:rPr>
          <w:rFonts w:ascii="Times New Roman" w:cs="Times New Roman" w:eastAsia="Times New Roman" w:hAnsi="Times New Roman"/>
          <w:sz w:val="20"/>
          <w:szCs w:val="20"/>
          <w:color w:val="auto"/>
        </w:rPr>
        <w:t>. Notwithstanding anything to the contrary in this Section 12.6., if the Administrative Agent and the Borrowers have jointly identified a mistake or ambiguity in any provision of this Agreement, the Administrative Agent and the Borrowers shall be permitted to amend such provision to cure such ambiguity or correct such provision so long as to do so would not adversely affect the interests of the Lenders, and such amendment shall become effective without any further action or consent of any of other party to this Agreement.</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 and Extend Transactions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54"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to the extent that the Borrowers shall have exercised their two rights to extend the Maturity Date pursuant to Section 2.14., the Borrower Representative may, by written notice to the Administrative Agent from time to time, request an extension (each, an “Extension”) of the maturity date of the Loans to the extended maturity date specified in such notice. Such notice shall (A) set forth the amount of the applicable Loans that will be subject to the Extension (which shall be in a minimum amount of $50,000,000 and minimum increments of $20,000,000 in excess thereof (or such other amounts as may be acceptable to the Borrower Representative and the Administrative Agent)), and (B) set forth the date on which such Extension is requested to become effective (which shall be not less than fifteen (15) Business Days nor more than sixty (60) days after the date of such Extension notice (or such longer or shorter periods as the Administrative Agent shall agree in its sole discretion)). Each Lender shall be offered (an “Extension Offer”) an opportunity to participate in such Extension on a pro rata basis and on the same terms and conditions as each other Lender pursuant to procedures established by, or reasonably acceptable to, the Administrative Agent and the Borrowers. If the aggregate principal amount of Loans in respect of which Lenders shall have accepted the relevant Extension Offer shall exceed the maximum aggregate principal amount of Loans subject to the Extension Offer as set forth in the Extension notice, then the Loans of Lenders shall be extended ratably up to such maximum amount based on the respective principal amounts with respect to which such Lenders have accepted such Extension Offer.</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55"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shall be conditions precedent to the effectiveness of any Extension: (A) no Default or Event of Default shall have occurred and be continuing immediately prior to and immediately after giving effect to such Extension, (B) the representations and warranties made or deemed made by each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such effective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 (C) the terms of Extended Loans shall comply with subclause (iii) of this Section 12.6.(e). Notwithstanding any other provision of this Agreement to the contrary, in no event shall the Loans of any Lender be extended pursuant to this Section 12.6.(e) unless such Lender affirmatively accepts in writing the applicable Extension Offer, it being understood and agreed that a failure by a Lender to respond to any such Extension Offer shall be deemed to be a rejection by such Lender of such Extension Offer.</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each Extension shall be determined by the Borrowers and the applicable extending Lenders and set forth in an Extension Amendment; provided that (A) the final maturity date of any Extended Loan shall be no earlier than the latest maturity date then in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91 -</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62"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20"/>
          <w:szCs w:val="20"/>
          <w:color w:val="auto"/>
        </w:rPr>
        <w:t>effect for the Loans, (B) the average life to maturity of the Extended Loans shall be no shorter than the remaining average life to maturity of the existing Loans, (C) the Extended Loans will rank pari passu in right of payment and with respect to security with the</w:t>
      </w:r>
    </w:p>
    <w:p>
      <w:pPr>
        <w:ind w:left="660"/>
        <w:spacing w:after="0" w:line="212" w:lineRule="auto"/>
        <w:rPr>
          <w:sz w:val="20"/>
          <w:szCs w:val="20"/>
          <w:color w:val="auto"/>
        </w:rPr>
      </w:pPr>
      <w:r>
        <w:rPr>
          <w:rFonts w:ascii="Times New Roman" w:cs="Times New Roman" w:eastAsia="Times New Roman" w:hAnsi="Times New Roman"/>
          <w:sz w:val="20"/>
          <w:szCs w:val="20"/>
          <w:color w:val="auto"/>
        </w:rPr>
        <w:t>existing Loans and the borrowers and guarantors of the Extended Loans, as applicable, shall be the same as the Borrowers and</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Guarantors with respect to the existing Loans, as applicable, (D) the interest rate margin, rate floors, fees, original issue discount and premium applicable to any Extended Loans shall be determined by the Borrowers and the applicable extending Lenders, (E)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Extended Loans may participate on a pro rata or less than pro rata (but not greater than pro rata) basis in voluntary or mandatory</w:t>
      </w:r>
    </w:p>
    <w:p>
      <w:pPr>
        <w:spacing w:after="0" w:line="1"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prepayments with the other Loans and (F) the terms of the Extended Loans shall be substantially identical to the terms set forth herein (except as set forth in sub-clauses (A) through (E) above).</w:t>
      </w:r>
    </w:p>
    <w:p>
      <w:pPr>
        <w:spacing w:after="0" w:line="148" w:lineRule="exact"/>
        <w:rPr>
          <w:sz w:val="20"/>
          <w:szCs w:val="20"/>
          <w:color w:val="auto"/>
        </w:rPr>
      </w:pPr>
    </w:p>
    <w:p>
      <w:pPr>
        <w:jc w:val="both"/>
        <w:ind w:left="660" w:firstLine="644"/>
        <w:spacing w:after="0" w:line="222" w:lineRule="auto"/>
        <w:tabs>
          <w:tab w:leader="none" w:pos="1945"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Extension, the Borrower Representative, the Administrative Agent and each applicable extending Lender shall execute and deliver to the Administrative Agent an Extension Amendment and such other documentation as the Administrative Agent shall reasonably specify to evidence the Extension (including, without limitation, legal opinions consistent with those delivered on the Effective Date).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Loans as a new tranche of Loans and such other technical amendments as may be necessary or appropriate in the reasonable opinion of the Administrative Agent and the Borrowers in connection with the establishment of such new tranche (including to preserve the pro rata treatment of the extended and non-extended tranches), in each case on terms consistent with this Section 12.6.(e).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12.7. Nonliability of Administrative Agent and Lenders; No Advisory or Fiduciary Responsibility</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relationship between each Borrower, on the one hand, and the Lenders and the Administrative Agent, on the other hand, shall be solely that of borrower and lender. None of the Administrative Agent or any Lender shall have any fiduciary responsibilities to any Borrower, and no provision in this Agreement or in any of the other Loan Documents, and no course of dealing between or among any of the parties hereto, shall be deemed to create any fiduciary duty owing by the Administrative Agent or any Lender to any Lender, any Borrower or any Subsidiary. None of the Administrative Agent or any Lender undertakes any responsibility to any Borrower to review or inform such Borrower of any matter in connection with any phase of such Borrower’s business or operations.</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 in limitation of the foregoing, in connection with all aspects of each transaction contemplated hereby (including in connection with any amendment, waiver or other modification hereof or of any other Loan Document), the </w:t>
      </w:r>
      <w:r>
        <w:rPr>
          <w:rFonts w:ascii="Times New Roman" w:cs="Times New Roman" w:eastAsia="Times New Roman" w:hAnsi="Times New Roman"/>
          <w:sz w:val="20"/>
          <w:szCs w:val="20"/>
          <w:color w:val="FF0000"/>
          <w:strike w:val="1"/>
        </w:rPr>
        <w:t>Borrower acknowledges and agrees, and</w:t>
      </w:r>
    </w:p>
    <w:p>
      <w:pPr>
        <w:jc w:val="both"/>
        <w:spacing w:after="0" w:line="249" w:lineRule="auto"/>
        <w:rPr>
          <w:sz w:val="20"/>
          <w:szCs w:val="20"/>
          <w:color w:val="auto"/>
        </w:rPr>
      </w:pPr>
      <w:r>
        <w:rPr>
          <w:rFonts w:ascii="Times New Roman" w:cs="Times New Roman" w:eastAsia="Times New Roman" w:hAnsi="Times New Roman"/>
          <w:sz w:val="20"/>
          <w:szCs w:val="20"/>
          <w:color w:val="FF0000"/>
          <w:strike w:val="1"/>
        </w:rPr>
        <w:t>acknowledges its</w:t>
      </w:r>
      <w:r>
        <w:rPr>
          <w:rFonts w:ascii="Times New Roman" w:cs="Times New Roman" w:eastAsia="Times New Roman" w:hAnsi="Times New Roman"/>
          <w:sz w:val="20"/>
          <w:szCs w:val="20"/>
          <w:u w:val="single" w:color="auto"/>
          <w:color w:val="0101FF"/>
        </w:rPr>
        <w:t>Borrowers acknowledge and agree, and acknowledge their respective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Affiliates’ understanding, that: (a) (i) no fiduciary,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advisory or agency relationship between the </w:t>
      </w:r>
      <w:r>
        <w:rPr>
          <w:rFonts w:ascii="Times New Roman" w:cs="Times New Roman" w:eastAsia="Times New Roman" w:hAnsi="Times New Roman"/>
          <w:sz w:val="20"/>
          <w:szCs w:val="20"/>
          <w:color w:val="FF0000"/>
          <w:strike w:val="1"/>
        </w:rPr>
        <w:t>Borrower and its</w:t>
      </w:r>
      <w:r>
        <w:rPr>
          <w:rFonts w:ascii="Times New Roman" w:cs="Times New Roman" w:eastAsia="Times New Roman" w:hAnsi="Times New Roman"/>
          <w:sz w:val="20"/>
          <w:szCs w:val="20"/>
          <w:u w:val="single" w:color="auto"/>
          <w:color w:val="0101FF"/>
        </w:rPr>
        <w:t>Borrowers and their</w:t>
      </w:r>
      <w:r>
        <w:rPr>
          <w:rFonts w:ascii="Times New Roman" w:cs="Times New Roman" w:eastAsia="Times New Roman" w:hAnsi="Times New Roman"/>
          <w:sz w:val="20"/>
          <w:szCs w:val="20"/>
          <w:color w:val="000000"/>
        </w:rPr>
        <w:t xml:space="preserve"> Subsidiaries and any Titled Agent, the Administrative Agent or any Lender is intended to be or has been created in respect of the transactions contemplated hereby or by the other Loan Documents, irrespective of whether any Titled Agent, the Administrative Agent or any Lender has advised or is advising the Borrower or any Subsidiary on other matters, (ii) the arranging and other services regarding this Agreement provided by the Titled Agents, the Administrative Agent and the Lenders are arm’s-length commercial transactions between the </w:t>
      </w:r>
      <w:r>
        <w:rPr>
          <w:rFonts w:ascii="Times New Roman" w:cs="Times New Roman" w:eastAsia="Times New Roman" w:hAnsi="Times New Roman"/>
          <w:sz w:val="20"/>
          <w:szCs w:val="20"/>
          <w:color w:val="FF0000"/>
          <w:strike w:val="1"/>
        </w:rPr>
        <w:t>Borrower and its</w:t>
      </w:r>
      <w:r>
        <w:rPr>
          <w:rFonts w:ascii="Times New Roman" w:cs="Times New Roman" w:eastAsia="Times New Roman" w:hAnsi="Times New Roman"/>
          <w:sz w:val="20"/>
          <w:szCs w:val="20"/>
          <w:u w:val="single" w:color="auto"/>
          <w:color w:val="0101FF"/>
        </w:rPr>
        <w:t>Borrowers and their</w:t>
      </w:r>
      <w:r>
        <w:rPr>
          <w:rFonts w:ascii="Times New Roman" w:cs="Times New Roman" w:eastAsia="Times New Roman" w:hAnsi="Times New Roman"/>
          <w:sz w:val="20"/>
          <w:szCs w:val="20"/>
          <w:color w:val="000000"/>
        </w:rPr>
        <w:t xml:space="preserve"> Affiliates, on the one hand, and the Titled Agents, the Administrative Agent and the Lenders, on the other hand, (iii) the </w:t>
      </w:r>
      <w:r>
        <w:rPr>
          <w:rFonts w:ascii="Times New Roman" w:cs="Times New Roman" w:eastAsia="Times New Roman" w:hAnsi="Times New Roman"/>
          <w:sz w:val="20"/>
          <w:szCs w:val="20"/>
          <w:color w:val="FF0000"/>
          <w:strike w:val="1"/>
        </w:rPr>
        <w:t>Borrower has</w:t>
      </w:r>
      <w:r>
        <w:rPr>
          <w:rFonts w:ascii="Times New Roman" w:cs="Times New Roman" w:eastAsia="Times New Roman" w:hAnsi="Times New Roman"/>
          <w:sz w:val="20"/>
          <w:szCs w:val="20"/>
          <w:u w:val="single" w:color="auto"/>
          <w:color w:val="0101FF"/>
        </w:rPr>
        <w:t>Borrowers have</w:t>
      </w:r>
      <w:r>
        <w:rPr>
          <w:rFonts w:ascii="Times New Roman" w:cs="Times New Roman" w:eastAsia="Times New Roman" w:hAnsi="Times New Roman"/>
          <w:sz w:val="20"/>
          <w:szCs w:val="20"/>
          <w:color w:val="000000"/>
        </w:rPr>
        <w:t xml:space="preserve"> consulted </w:t>
      </w:r>
      <w:r>
        <w:rPr>
          <w:rFonts w:ascii="Times New Roman" w:cs="Times New Roman" w:eastAsia="Times New Roman" w:hAnsi="Times New Roman"/>
          <w:sz w:val="20"/>
          <w:szCs w:val="20"/>
          <w:color w:val="FF0000"/>
          <w:strike w:val="1"/>
        </w:rPr>
        <w:t>its</w:t>
      </w:r>
      <w:r>
        <w:rPr>
          <w:rFonts w:ascii="Times New Roman" w:cs="Times New Roman" w:eastAsia="Times New Roman" w:hAnsi="Times New Roman"/>
          <w:sz w:val="20"/>
          <w:szCs w:val="20"/>
          <w:u w:val="single" w:color="auto"/>
          <w:color w:val="0101FF"/>
        </w:rPr>
        <w:t>their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own legal, accounting, regulatory and tax advisors to the extent that it has deemed appropriate and (iv)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Borrower is</w:t>
      </w:r>
      <w:r>
        <w:rPr>
          <w:rFonts w:ascii="Times New Roman" w:cs="Times New Roman" w:eastAsia="Times New Roman" w:hAnsi="Times New Roman"/>
          <w:sz w:val="20"/>
          <w:szCs w:val="20"/>
          <w:u w:val="single" w:color="auto"/>
          <w:color w:val="0101FF"/>
        </w:rPr>
        <w:t>Borrowers are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capable of evaluating, and </w:t>
      </w:r>
      <w:r>
        <w:rPr>
          <w:rFonts w:ascii="Times New Roman" w:cs="Times New Roman" w:eastAsia="Times New Roman" w:hAnsi="Times New Roman"/>
          <w:sz w:val="20"/>
          <w:szCs w:val="20"/>
          <w:color w:val="FF0000"/>
          <w:strike w:val="1"/>
        </w:rPr>
        <w:t>understands</w:t>
      </w:r>
      <w:r>
        <w:rPr>
          <w:rFonts w:ascii="Times New Roman" w:cs="Times New Roman" w:eastAsia="Times New Roman" w:hAnsi="Times New Roman"/>
          <w:sz w:val="20"/>
          <w:szCs w:val="20"/>
          <w:u w:val="single" w:color="auto"/>
          <w:color w:val="0101FF"/>
        </w:rPr>
        <w:t>understand</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color w:val="FF0000"/>
          <w:strike w:val="1"/>
        </w:rPr>
        <w:t>accepts</w:t>
      </w:r>
      <w:r>
        <w:rPr>
          <w:rFonts w:ascii="Times New Roman" w:cs="Times New Roman" w:eastAsia="Times New Roman" w:hAnsi="Times New Roman"/>
          <w:sz w:val="20"/>
          <w:szCs w:val="20"/>
          <w:u w:val="single" w:color="auto"/>
          <w:color w:val="0101FF"/>
        </w:rPr>
        <w:t>accept</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- 92 -</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terms, risks and conditions of the transactions contemplated hereby and by the other Loan Documents; and (b) (i) the Titled Agents, the Administrative Agent and the Lenders each is and has been acting solely as a principal and, except as expressly agreed in writing by the relevant parties, has not been, is not, and will not be acting as an advisor, agent or fiduciary for the </w:t>
      </w:r>
      <w:r>
        <w:rPr>
          <w:rFonts w:ascii="Times New Roman" w:cs="Times New Roman" w:eastAsia="Times New Roman" w:hAnsi="Times New Roman"/>
          <w:sz w:val="20"/>
          <w:szCs w:val="20"/>
          <w:color w:val="FF0000"/>
          <w:strike w:val="1"/>
        </w:rPr>
        <w:t>Borrower</w:t>
      </w:r>
      <w:r>
        <w:rPr>
          <w:rFonts w:ascii="Times New Roman" w:cs="Times New Roman" w:eastAsia="Times New Roman" w:hAnsi="Times New Roman"/>
          <w:sz w:val="20"/>
          <w:szCs w:val="20"/>
          <w:u w:val="single" w:color="auto"/>
          <w:color w:val="0101FF"/>
        </w:rPr>
        <w:t>Borrowers</w:t>
      </w:r>
      <w:r>
        <w:rPr>
          <w:rFonts w:ascii="Times New Roman" w:cs="Times New Roman" w:eastAsia="Times New Roman" w:hAnsi="Times New Roman"/>
          <w:sz w:val="20"/>
          <w:szCs w:val="20"/>
          <w:color w:val="auto"/>
        </w:rPr>
        <w:t xml:space="preserve"> or any of </w:t>
      </w:r>
      <w:r>
        <w:rPr>
          <w:rFonts w:ascii="Times New Roman" w:cs="Times New Roman" w:eastAsia="Times New Roman" w:hAnsi="Times New Roman"/>
          <w:sz w:val="20"/>
          <w:szCs w:val="20"/>
          <w:color w:val="FF0000"/>
          <w:strike w:val="1"/>
        </w:rPr>
        <w:t>its</w:t>
      </w:r>
      <w:r>
        <w:rPr>
          <w:rFonts w:ascii="Times New Roman" w:cs="Times New Roman" w:eastAsia="Times New Roman" w:hAnsi="Times New Roman"/>
          <w:sz w:val="20"/>
          <w:szCs w:val="20"/>
          <w:u w:val="single" w:color="auto"/>
          <w:color w:val="0101FF"/>
        </w:rPr>
        <w:t>their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respective</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Affiliates, or any other Person; (ii) none of the Titled Agents, the Administrative Agent and the Lenders has any obligation to the</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FF0000"/>
          <w:strike w:val="1"/>
        </w:rPr>
        <w:t>Borrower</w:t>
      </w:r>
      <w:r>
        <w:rPr>
          <w:rFonts w:ascii="Times New Roman" w:cs="Times New Roman" w:eastAsia="Times New Roman" w:hAnsi="Times New Roman"/>
          <w:sz w:val="20"/>
          <w:szCs w:val="20"/>
          <w:u w:val="single" w:color="auto"/>
          <w:color w:val="0101FF"/>
        </w:rPr>
        <w:t>Borrowers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any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its</w:t>
      </w:r>
      <w:r>
        <w:rPr>
          <w:rFonts w:ascii="Times New Roman" w:cs="Times New Roman" w:eastAsia="Times New Roman" w:hAnsi="Times New Roman"/>
          <w:sz w:val="20"/>
          <w:szCs w:val="20"/>
          <w:u w:val="single" w:color="auto"/>
          <w:color w:val="0101FF"/>
        </w:rPr>
        <w:t>their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Affiliates with respect to the transactions contemplated hereby except those obligations expressly set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forth herein and in the other Loan Documents; and (iii) the Titled Agents, the Administrative Agent and the Lenders and their respective Affiliates may be engaged, for their own accounts or the accounts of customers, in a broad range of transactions that involve interests that differ from those of the </w:t>
      </w:r>
      <w:r>
        <w:rPr>
          <w:rFonts w:ascii="Times New Roman" w:cs="Times New Roman" w:eastAsia="Times New Roman" w:hAnsi="Times New Roman"/>
          <w:sz w:val="20"/>
          <w:szCs w:val="20"/>
          <w:color w:val="FF0000"/>
          <w:strike w:val="1"/>
        </w:rPr>
        <w:t>Borrower and its</w:t>
      </w:r>
      <w:r>
        <w:rPr>
          <w:rFonts w:ascii="Times New Roman" w:cs="Times New Roman" w:eastAsia="Times New Roman" w:hAnsi="Times New Roman"/>
          <w:sz w:val="20"/>
          <w:szCs w:val="20"/>
          <w:u w:val="single" w:color="auto"/>
          <w:color w:val="0101FF"/>
        </w:rPr>
        <w:t>Borrowers and their respective</w:t>
      </w:r>
      <w:r>
        <w:rPr>
          <w:rFonts w:ascii="Times New Roman" w:cs="Times New Roman" w:eastAsia="Times New Roman" w:hAnsi="Times New Roman"/>
          <w:sz w:val="20"/>
          <w:szCs w:val="20"/>
          <w:color w:val="000000"/>
        </w:rPr>
        <w:t xml:space="preserve"> Affiliates, and none of the Titled Agents, the Administrative Agent and the Lenders has any obligation to disclose any of such interests to the </w:t>
      </w:r>
      <w:r>
        <w:rPr>
          <w:rFonts w:ascii="Times New Roman" w:cs="Times New Roman" w:eastAsia="Times New Roman" w:hAnsi="Times New Roman"/>
          <w:sz w:val="20"/>
          <w:szCs w:val="20"/>
          <w:color w:val="FF0000"/>
          <w:strike w:val="1"/>
        </w:rPr>
        <w:t>Borrower or its</w:t>
      </w:r>
      <w:r>
        <w:rPr>
          <w:rFonts w:ascii="Times New Roman" w:cs="Times New Roman" w:eastAsia="Times New Roman" w:hAnsi="Times New Roman"/>
          <w:sz w:val="20"/>
          <w:szCs w:val="20"/>
          <w:u w:val="single" w:color="auto"/>
          <w:color w:val="0101FF"/>
        </w:rPr>
        <w:t>Borrowers or their</w:t>
      </w:r>
      <w:r>
        <w:rPr>
          <w:rFonts w:ascii="Times New Roman" w:cs="Times New Roman" w:eastAsia="Times New Roman" w:hAnsi="Times New Roman"/>
          <w:sz w:val="20"/>
          <w:szCs w:val="20"/>
          <w:color w:val="000000"/>
        </w:rPr>
        <w:t xml:space="preserve"> Affiliates. To the fullest extent permitted by Law, the </w:t>
      </w:r>
      <w:r>
        <w:rPr>
          <w:rFonts w:ascii="Times New Roman" w:cs="Times New Roman" w:eastAsia="Times New Roman" w:hAnsi="Times New Roman"/>
          <w:sz w:val="20"/>
          <w:szCs w:val="20"/>
          <w:color w:val="FF0000"/>
          <w:strike w:val="1"/>
        </w:rPr>
        <w:t>Borrower</w:t>
      </w:r>
      <w:r>
        <w:rPr>
          <w:rFonts w:ascii="Times New Roman" w:cs="Times New Roman" w:eastAsia="Times New Roman" w:hAnsi="Times New Roman"/>
          <w:sz w:val="20"/>
          <w:szCs w:val="20"/>
          <w:u w:val="single" w:color="auto"/>
          <w:color w:val="0101FF"/>
        </w:rPr>
        <w:t>Borrowers</w:t>
      </w:r>
      <w:r>
        <w:rPr>
          <w:rFonts w:ascii="Times New Roman" w:cs="Times New Roman" w:eastAsia="Times New Roman" w:hAnsi="Times New Roman"/>
          <w:sz w:val="20"/>
          <w:szCs w:val="20"/>
          <w:color w:val="000000"/>
        </w:rPr>
        <w:t xml:space="preserve"> hereby waives and </w:t>
      </w:r>
      <w:r>
        <w:rPr>
          <w:rFonts w:ascii="Times New Roman" w:cs="Times New Roman" w:eastAsia="Times New Roman" w:hAnsi="Times New Roman"/>
          <w:sz w:val="20"/>
          <w:szCs w:val="20"/>
          <w:color w:val="FF0000"/>
          <w:strike w:val="1"/>
        </w:rPr>
        <w:t>releases</w:t>
      </w:r>
      <w:r>
        <w:rPr>
          <w:rFonts w:ascii="Times New Roman" w:cs="Times New Roman" w:eastAsia="Times New Roman" w:hAnsi="Times New Roman"/>
          <w:sz w:val="20"/>
          <w:szCs w:val="20"/>
          <w:u w:val="single" w:color="auto"/>
          <w:color w:val="0101FF"/>
        </w:rPr>
        <w:t>release</w:t>
      </w:r>
      <w:r>
        <w:rPr>
          <w:rFonts w:ascii="Times New Roman" w:cs="Times New Roman" w:eastAsia="Times New Roman" w:hAnsi="Times New Roman"/>
          <w:sz w:val="20"/>
          <w:szCs w:val="20"/>
          <w:color w:val="000000"/>
        </w:rPr>
        <w:t xml:space="preserve"> any claims that </w:t>
      </w:r>
      <w:r>
        <w:rPr>
          <w:rFonts w:ascii="Times New Roman" w:cs="Times New Roman" w:eastAsia="Times New Roman" w:hAnsi="Times New Roman"/>
          <w:sz w:val="20"/>
          <w:szCs w:val="20"/>
          <w:color w:val="FF0000"/>
          <w:strike w:val="1"/>
        </w:rPr>
        <w:t>it</w:t>
      </w:r>
      <w:r>
        <w:rPr>
          <w:rFonts w:ascii="Times New Roman" w:cs="Times New Roman" w:eastAsia="Times New Roman" w:hAnsi="Times New Roman"/>
          <w:sz w:val="20"/>
          <w:szCs w:val="20"/>
          <w:u w:val="single" w:color="auto"/>
          <w:color w:val="0101FF"/>
        </w:rPr>
        <w:t>they</w:t>
      </w:r>
      <w:r>
        <w:rPr>
          <w:rFonts w:ascii="Times New Roman" w:cs="Times New Roman" w:eastAsia="Times New Roman" w:hAnsi="Times New Roman"/>
          <w:sz w:val="20"/>
          <w:szCs w:val="20"/>
          <w:color w:val="000000"/>
        </w:rPr>
        <w:t xml:space="preserve"> may have against any of the Titled Agents, the Administrative Agent and the Lenders with respect to any breach or alleged breach of agency or fiduciary duty in connection with any aspect of any transaction contemplated hereby.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12.8. Confidentiality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Administrative Agent and each Lender shall maintain the confidentiality of all Information (as defined below) but in any event may make disclosure: (a) to its Affiliates and to its and its Affiliates’ respective partners, directors, officers, employees, agents, advisors, consultants, service providers and other representatives (it being understood that the Persons to whom such disclosure is made will be informed of the confidential nature of such Information and instructed to keep such Information confidential); (b) subject to an agreement containing provisions substantially the same as those of this Section, to </w:t>
      </w:r>
      <w:r>
        <w:rPr>
          <w:rFonts w:ascii="Times New Roman" w:cs="Times New Roman" w:eastAsia="Times New Roman" w:hAnsi="Times New Roman"/>
          <w:sz w:val="20"/>
          <w:szCs w:val="20"/>
          <w:u w:val="single" w:color="auto"/>
          <w:color w:val="0101FF"/>
        </w:rPr>
        <w:t>(i) any actual or proposed Eligible Assignee, Participant or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101FF"/>
        </w:rPr>
        <w:t>transferee in connection with a potential transfer of any Loan or participation therein as permitted hereunder, or (ii)</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any actual or prospective</w:t>
      </w:r>
      <w:r>
        <w:rPr>
          <w:rFonts w:ascii="Times New Roman" w:cs="Times New Roman" w:eastAsia="Times New Roman" w:hAnsi="Times New Roman"/>
          <w:sz w:val="20"/>
          <w:szCs w:val="20"/>
          <w:color w:val="0101FF"/>
        </w:rPr>
        <w:t xml:space="preserve"> </w:t>
      </w:r>
      <w:r>
        <w:rPr>
          <w:rFonts w:ascii="Times New Roman" w:cs="Times New Roman" w:eastAsia="Times New Roman" w:hAnsi="Times New Roman"/>
          <w:sz w:val="20"/>
          <w:szCs w:val="20"/>
          <w:color w:val="000000"/>
        </w:rPr>
        <w:t xml:space="preserve">counterparty (or its advisors) to any </w:t>
      </w:r>
      <w:r>
        <w:rPr>
          <w:rFonts w:ascii="Times New Roman" w:cs="Times New Roman" w:eastAsia="Times New Roman" w:hAnsi="Times New Roman"/>
          <w:sz w:val="20"/>
          <w:szCs w:val="20"/>
          <w:u w:val="single" w:color="auto"/>
          <w:color w:val="0101FF"/>
        </w:rPr>
        <w:t>insurance,</w:t>
      </w:r>
      <w:r>
        <w:rPr>
          <w:rFonts w:ascii="Times New Roman" w:cs="Times New Roman" w:eastAsia="Times New Roman" w:hAnsi="Times New Roman"/>
          <w:sz w:val="20"/>
          <w:szCs w:val="20"/>
          <w:color w:val="000000"/>
        </w:rPr>
        <w:t xml:space="preserve"> swap or derivative transaction relating to any Borrower and its obligations; (c) as required or requested by any Governmental Authority or representative thereof or pursuant to legal process or in connection with any legal proceedings, or as otherwise required by Applicable Law (in which case, the Administrative Agent or such Lender, as applicable, shall, to the extent such disclosure is permitted by Applicable Law, inform the Borrower Representative promptly in advance thereof to the extent reasonably practicable and, otherwise, promptly thereafter); (d) to the Administrative Agent’s or such Lender’s independent auditors and other professional advisors (provided they shall be notified of the confidential nature of the information); (e) in connection with the exercise of any remedies under any Loan Document (or any Specified Derivatives Contract) or any action or proceeding relating to any Loan Document (or any such Specified Derivatives Contract) or the enforcement of rights hereunder or thereunder; (f) to the extent such Information (i) becomes publicly available other than as a result of a breach of this Section actually known by the Administrative Agent or such Lender to be a breach of this Section or (ii) becomes available to the Administrative Agent, any Lender or any Affiliate of the Administrative Agent or any Lender on a nonconfidential basis from a source other than any Borrower, any other Loan Party, or any Affiliate of any Borrower or any other Loan Party, which source, to the actual knowledge of the Administrative Agent, any Lender or any Affiliate of the Administrative Agent or any Lender, has not disclosed or acquired such Information in breach of this Section; (g) to the extent requested by, or required to be disclosed to, any nationally recognized rating agency or any regulatory or similar authority (including any self-regulatory authority including the National Association of Insurance Commissioners) having or purporting to have jurisdiction over it (provided that, in the case of a rating agency, the Administrative Agent or such Lender, as applicable, shall, to the extent permitted by Applicable Law, inform the Borrower Representative promptly in advance thereof); (h) to bank trade publications, such information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5833745</wp:posOffset>
            </wp:positionH>
            <wp:positionV relativeFrom="paragraph">
              <wp:posOffset>-2595245</wp:posOffset>
            </wp:positionV>
            <wp:extent cx="31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-2449830</wp:posOffset>
            </wp:positionV>
            <wp:extent cx="31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- 93 -</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consist of deal terms and other information customarily found in such publications; (i) to any other party hereto; and (j) with the consent of each Borrower. Notwithstanding the foregoing, the Administrative Agent and each Lender may disclose any such confidential information, without notice to any Borrower or any other Loan Party, to Governmental Authorities in connection with any regulatory examination of the Administrative Agent or such Lender or in accordance with the regulatory compliance policy of the Administrative Agent or such Lender. As used in this Section, the term “Information” means all information received from the Borrower Representative, any other Borrower, any other Loan Party or any Subsidiary or Affiliate relating to any Borrower, any other Loan Party or any of their respective businesses, other than any such information that is available to the Administrative Agent or any Lender on a nonconfidential basis prior to disclosure by any Borrower, any other Subsidiary or any Affiliate,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such information received from the Borrower Representative, any other Borrower any Subsidiary or any Affiliate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r>
        <w:rPr>
          <w:rFonts w:ascii="Times New Roman" w:cs="Times New Roman" w:eastAsia="Times New Roman" w:hAnsi="Times New Roman"/>
          <w:sz w:val="19"/>
          <w:szCs w:val="19"/>
          <w:color w:val="0101FF"/>
        </w:rPr>
        <w:t>For the avoidance of doubt, nothing in this Section 12.8. shall prohibit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-27940</wp:posOffset>
            </wp:positionV>
            <wp:extent cx="38271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0101FF"/>
        </w:rPr>
        <w:t>person from voluntarily disclosing or providing any information within the scope of this confidentiality provision to any governmental, regulatory or self-regulatory organization to the extent that any such prohibition on disclosure set forth in this confidentiality provision shall be prohibited by the laws or regulations applicable to such governmental, regulatory or self-regulatory 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12.9. Indemnification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19" w:lineRule="auto"/>
        <w:tabs>
          <w:tab w:leader="none" w:pos="1286"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shall and hereby jointly and severally agree to indemnify, defend and hold harmless the Administrative Agent, the Lenders, the Titled Agents, the respective Affiliates of each of the Administrative Agent, the Lenders and the Titled Agents, and their respective Related Parties (each referred to herein as an “Indemnified Party”) from and against any and all of the following (collectively, the “Indemnified Costs”): losses, costs, claims, penalties,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“Indemnity Proceeding”), including without limitation any Indemnity Proceeding brought by a Borrower, any other Loan Party, any Affiliate or any third party, which is in any way related directly or indirectly to: (i) this Agreement, any other Loan Document, any Fee Letter or any other agreement, letter or instrument delivered in connection with the transactions contemplated hereby and thereby; (ii) the making of any Loans; (iii) any actual or proposed use by any Borrower of the proceeds of the Loans; (iv) the Administrative Agent’s or any Lender’s entering into this Agreement; (v) the fact that the Administrative Agent and the Lenders have established the credit facility evidenced hereby in favor of the Borrowers; (vi) the fact that the Administrative Agent and the Lenders are creditors of the Borrowers and have or are alleged to have information regarding the financial condition, strategic plans or business operations of the Borrowers, the other Loan Parties and the Subsidiaries; (vii) the fact that the Administrative Agent and the Lenders are material creditors of the Borrowers and are alleged to influence directly or indirectly the business decisions or affairs of the Borrowers, the other Loan Parties and their respective Subsidiaries or their financial condition; (viii) the exercise of any right or remedy the Administrative Agent or the Lenders may have under this Agreement, the other Loan Documents or the Fee Letters;</w:t>
      </w:r>
    </w:p>
    <w:p>
      <w:pPr>
        <w:jc w:val="both"/>
        <w:ind w:firstLine="8"/>
        <w:spacing w:after="0" w:line="215" w:lineRule="auto"/>
        <w:tabs>
          <w:tab w:leader="none" w:pos="33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civil penalty or fine assessed by the OFAC against, and all costs and expenses (including counsel fees and disbursements) incurred in connection with defense thereof by, the Administrative Agent or any Lender as a result of conduct of any Borrower, any other Loan Party or any other Subsidiary that violates a sanction administered or enforced by the OFAC; or (x) any violation or non-compliance by any Borrower, any other Loan Party or any other Subsidiary of any Applicable Law (including any Environmental Law) including, but not limited to, any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- 94 -</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Proceeding commenced by (A) the Internal Revenue Service or state taxing authority or (B) any Governmental Authority or other Person under any Environmental Law, including any Indemnity Proceeding commenced by a Governmental Authority or other Person seeking</w:t>
      </w:r>
    </w:p>
    <w:p>
      <w:pPr>
        <w:spacing w:after="0" w:line="212" w:lineRule="auto"/>
        <w:rPr>
          <w:sz w:val="20"/>
          <w:szCs w:val="20"/>
          <w:color w:val="auto"/>
        </w:rPr>
      </w:pPr>
      <w:r>
        <w:rPr>
          <w:rFonts w:ascii="Times New Roman" w:cs="Times New Roman" w:eastAsia="Times New Roman" w:hAnsi="Times New Roman"/>
          <w:sz w:val="20"/>
          <w:szCs w:val="20"/>
          <w:color w:val="auto"/>
        </w:rPr>
        <w:t>remedial or other action to cause any Borrower or its Subsidiaries (or its respective properties) (or the Administrative Agent and/or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Lenders as successors to the Borrower) to be in compliance with such Environmental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 Borrower shall be obligated to indemnify any Indemnified Party (x) for any Indemnified Costs to the extent resulting from such Indemnified Party’s own gross</w:t>
      </w:r>
    </w:p>
    <w:p>
      <w:pPr>
        <w:spacing w:after="0" w:line="211" w:lineRule="auto"/>
        <w:rPr>
          <w:sz w:val="20"/>
          <w:szCs w:val="20"/>
          <w:color w:val="auto"/>
        </w:rPr>
      </w:pPr>
      <w:r>
        <w:rPr>
          <w:rFonts w:ascii="Times New Roman" w:cs="Times New Roman" w:eastAsia="Times New Roman" w:hAnsi="Times New Roman"/>
          <w:sz w:val="20"/>
          <w:szCs w:val="20"/>
          <w:color w:val="auto"/>
        </w:rPr>
        <w:t>negligence or willful misconduct or a claim brought by any Borrower against an Indemnified Party for breach in bad faith of such</w:t>
      </w:r>
    </w:p>
    <w:p>
      <w:pPr>
        <w:spacing w:after="0" w:line="215" w:lineRule="auto"/>
        <w:rPr>
          <w:sz w:val="20"/>
          <w:szCs w:val="20"/>
          <w:color w:val="auto"/>
        </w:rPr>
      </w:pPr>
      <w:r>
        <w:rPr>
          <w:rFonts w:ascii="Times New Roman" w:cs="Times New Roman" w:eastAsia="Times New Roman" w:hAnsi="Times New Roman"/>
          <w:sz w:val="19"/>
          <w:szCs w:val="19"/>
          <w:color w:val="auto"/>
        </w:rPr>
        <w:t>Indemnified Party’s obligations hereunder, in each case as determined by a court of competent jurisdiction in a final non-appealable judgment or (y) any dispute solely among Indemnified Parties other than (A) any claims against the Titled Agents in their respective capacities, as or in</w:t>
      </w:r>
    </w:p>
    <w:p>
      <w:pPr>
        <w:spacing w:after="0" w:line="222" w:lineRule="auto"/>
        <w:rPr>
          <w:sz w:val="20"/>
          <w:szCs w:val="20"/>
          <w:color w:val="auto"/>
        </w:rPr>
      </w:pPr>
      <w:r>
        <w:rPr>
          <w:rFonts w:ascii="Times New Roman" w:cs="Times New Roman" w:eastAsia="Times New Roman" w:hAnsi="Times New Roman"/>
          <w:sz w:val="19"/>
          <w:szCs w:val="19"/>
          <w:color w:val="auto"/>
        </w:rPr>
        <w:t>fulfilling their respective roles, as an administrative agent, arranger, bookrunner, syndication agent, documentation agent, issuing bank or any</w:t>
      </w:r>
    </w:p>
    <w:p>
      <w:pPr>
        <w:spacing w:after="0" w:line="204" w:lineRule="auto"/>
        <w:rPr>
          <w:sz w:val="20"/>
          <w:szCs w:val="20"/>
          <w:color w:val="auto"/>
        </w:rPr>
      </w:pPr>
      <w:r>
        <w:rPr>
          <w:rFonts w:ascii="Times New Roman" w:cs="Times New Roman" w:eastAsia="Times New Roman" w:hAnsi="Times New Roman"/>
          <w:sz w:val="20"/>
          <w:szCs w:val="20"/>
          <w:color w:val="auto"/>
        </w:rPr>
        <w:t>similar role in respect of this Agreement and the transactions contemplated hereby and (B) any claims arising out of any act or omission on the part of any of the Loan Parties or their respective Affiliates (in each case under this clause (y), as determined by a final non-appealable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judgment of a court of competent jurisdiction).</w:t>
      </w:r>
    </w:p>
    <w:p>
      <w:pPr>
        <w:spacing w:after="0" w:line="140" w:lineRule="exact"/>
        <w:rPr>
          <w:sz w:val="20"/>
          <w:szCs w:val="20"/>
          <w:color w:val="auto"/>
        </w:rPr>
      </w:pPr>
    </w:p>
    <w:p>
      <w:pPr>
        <w:jc w:val="both"/>
        <w:ind w:firstLine="656"/>
        <w:spacing w:after="0" w:line="215" w:lineRule="auto"/>
        <w:tabs>
          <w:tab w:leader="none" w:pos="128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any Loan Party or any Subsidiary, any shareholder of any Loan Party or any Subsidiary (whether such shareholder(s) are prosecuting such Indemnity Proceeding in their individual capacity or derivatively on behalf of such Loan Party), any account debtor of any Loan Party or any Subsidiary or by any Governmental Authority.</w:t>
      </w:r>
    </w:p>
    <w:p>
      <w:pPr>
        <w:spacing w:after="0" w:line="137" w:lineRule="exact"/>
        <w:rPr>
          <w:rFonts w:ascii="Times New Roman" w:cs="Times New Roman" w:eastAsia="Times New Roman" w:hAnsi="Times New Roman"/>
          <w:sz w:val="20"/>
          <w:szCs w:val="20"/>
          <w:color w:val="auto"/>
        </w:rPr>
      </w:pPr>
    </w:p>
    <w:p>
      <w:pPr>
        <w:ind w:firstLine="656"/>
        <w:spacing w:after="0"/>
        <w:tabs>
          <w:tab w:leader="none" w:pos="128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indemnification shall apply to any Indemnity Proceeding arising during the pendency of any bankruptcy proceeding filed by or against any Loan Party and/or any Subsidiary.</w:t>
      </w:r>
    </w:p>
    <w:p>
      <w:pPr>
        <w:spacing w:after="0" w:line="134"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out-of-pocket fees and expenses of, and all amounts paid to third-persons by, an Indemnified Party shall be advanced by the Borrowers at the request of such Indemnified Party notwithstanding any claim or assertion by any Borrower that such Indemnified Party is not entitled to indemnification hereunder upon receipt of an undertaking by such Indemnified Party that such Indemnified Party will reimburse the Borrowers if it is actually and finally determined by a court of competent jurisdiction that such Indemnified Party is not so entitled to indemnification hereunder.</w:t>
      </w:r>
    </w:p>
    <w:p>
      <w:pPr>
        <w:spacing w:after="0" w:line="133"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6"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Borrowers. No action taken by legal counsel chosen by an Indemnified Party in investigating or defending against any such Indemnity Proceeding shall vitiate or in any way impair the obligations and duties of each Borrower hereunder to indemnify and hold harmless each such Indemnified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(i) the Borrowers are required to indemnify an Indemnified Party pursuant hereto and (ii) the Borrowers have provided evidence reasonably satisfactory to such Indemnified Party that the Borrowers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Borrowers (which consent shall not be unreasonably withheld or delayed). Notwithstanding the foregoing, an Indemnified Party may settle or compromise any such Indemnity Proceeding without the prior written consent of the Borrowers where (x) no monetary relief is sought against such Indemnified Party in such Indemnity Proceeding or (y) there is an allegation of a violation of law by such Indemnified Party.</w:t>
      </w:r>
    </w:p>
    <w:p>
      <w:pPr>
        <w:spacing w:after="0" w:line="142" w:lineRule="exact"/>
        <w:rPr>
          <w:rFonts w:ascii="Times New Roman" w:cs="Times New Roman" w:eastAsia="Times New Roman" w:hAnsi="Times New Roman"/>
          <w:sz w:val="19"/>
          <w:szCs w:val="19"/>
          <w:color w:val="auto"/>
        </w:rPr>
      </w:pPr>
    </w:p>
    <w:p>
      <w:pPr>
        <w:jc w:val="both"/>
        <w:ind w:firstLine="656"/>
        <w:spacing w:after="0" w:line="230" w:lineRule="auto"/>
        <w:tabs>
          <w:tab w:leader="none" w:pos="1291"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the obligations of the Borrowers under this Section are unenforceable for any reason, the Borrowers hereby agree jointly and severally to make the maximum contribution to the payment and satisfaction of such obligations which is permissible under Applicable Law.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1"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95 -</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62" w:lineRule="exact"/>
        <w:rPr>
          <w:sz w:val="20"/>
          <w:szCs w:val="20"/>
          <w:color w:val="auto"/>
        </w:rPr>
      </w:pPr>
    </w:p>
    <w:p>
      <w:pPr>
        <w:jc w:val="both"/>
        <w:ind w:firstLine="656"/>
        <w:spacing w:after="0" w:line="226" w:lineRule="auto"/>
        <w:tabs>
          <w:tab w:leader="none" w:pos="128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12.10. Termination; Survival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Agreement shall terminate at such time as (a) all of the Commitments have been terminated, (b) none of the Lenders is obligated any longer under this Agreement to make any Loans and (c) all Obligations (other than obligations which survive as provided in the following sentence) have been paid and satisfied in full. The indemnities to which the Administrative Agent and the Lenders are entitled under the provisions of Sections 3.10., 4.1., 4.4., 11.6., 12.2. and 12.9. and any other provision of this Agreement and the other Loan Documents, and the provisions of Section 12.4.,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12.11. Severability of Provisions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any provision of this Agreement or the other Loan Documents shall be determined by a court of competent jurisdiction to be invalid or unenforceable, that provision shall be deemed severed from the Loan Documents, and the validity, legality and enforceability of the remaining provisions shall remain in full force as though the invalid, illegal, or unenforceable provision had never been part of the Loan Documents.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12.12. GOVERNING LAW</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NEW YORK APPLICABLE TO CONTRACTS EXECUTED, AND TO BE FULLY PERFORMED, IN SUCH STATE, WITHOUT REGARD TO THE CONFLICTS OF LAW PRINCIPLES THEREOF THAT WOULD REQUIRE THE APPLICATION OF LAWS OF ANOTHER JURISDICTION.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12.13. Counterparts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facilitate execution, this Agreement and any amendments, waivers, consents or supplements may be executed in any number of counterparts as may be convenient or required (which may be effectively delivered by facsimile, in portable document format (“</w:t>
      </w:r>
      <w:r>
        <w:rPr>
          <w:rFonts w:ascii="Times New Roman" w:cs="Times New Roman" w:eastAsia="Times New Roman" w:hAnsi="Times New Roman"/>
          <w:sz w:val="20"/>
          <w:szCs w:val="20"/>
          <w:b w:val="1"/>
          <w:bCs w:val="1"/>
          <w:color w:val="auto"/>
        </w:rPr>
        <w:t>PDF</w:t>
      </w:r>
      <w:r>
        <w:rPr>
          <w:rFonts w:ascii="Times New Roman" w:cs="Times New Roman" w:eastAsia="Times New Roman" w:hAnsi="Times New Roman"/>
          <w:sz w:val="20"/>
          <w:szCs w:val="20"/>
          <w:color w:val="auto"/>
        </w:rPr>
        <w:t>”)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12.14. Obligations with Respect to Loan Parties and Subsidiaries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obligations of any Borrower to direct or prohibit the taking of certain actions by the other Loan Parties and Subsidiaries as specified herein shall be absolute and not subject to any defense such Borrower may have that such Borrower does not control such Loan Parties 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- 96 -</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12.15. Independence of Covenants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covenants hereunder shall be given in any jurisdiction independent effect so that if a particular action or condition is not permitted by any of such covenants, the fact that it would be permitted by an exception to, or be otherwise within the limitations of, another covenant shall not avoid the occurrence of a Default or an Event of Default if such action is taken or condition exists.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12.16. Limitation of Liability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None of the Administrative Agent or any Lender, or any Affiliate, officer, director, employee, attorney, or agent of the Administrative Agent or any Lender shall have any liability with respect to, and each Borrower hereby waives, releases, and agrees not to sue any of them upon, any claim for any special, indirect, incidental, or consequential damages suffered or incurred by such Borrower in connection with, arising out of, or in any way related to, this Agreement, any of the other Loan Documents or any Fee Letter, or any of the transactions contemplated by this Agreement or any of the other Loan Documents. Each Borrower hereby waives, releases, and agrees not to sue the Administrative Agent or any Lender or any of the Administrative Agent’s or any Lender’s Affiliates, officers, directors, employees, attorneys, or agents for punitive damages in respect of any claim in connection with, arising out of, or in any way related to, this Agreement, any of the other Loan Documents, any Fee Letter, or any of the transactions contemplated by this Agreement or financed hereby.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12.17. Entire Agreement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12.18. Construction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Administrative Agent, each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each Borrower and each Lender.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12.19. Headings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paragraph and section headings in this Agreement are provided for convenience of reference only and shall not affect its construction or interpretation.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12.20. New York Mortgages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firstLine="656"/>
        <w:spacing w:after="0"/>
        <w:tabs>
          <w:tab w:leader="none" w:pos="1286"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parties hereto acknowledge and agree that the Administrative Agent and the Lenders are accepting and will accept the benefits of the New York Mortgages as an accommodation to the Borrowers pursuant to the terms set forth herein.</w:t>
      </w:r>
    </w:p>
    <w:p>
      <w:pPr>
        <w:spacing w:after="0" w:line="134"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New York Mortgages</w:t>
      </w:r>
      <w:r>
        <w:rPr>
          <w:rFonts w:ascii="Times New Roman" w:cs="Times New Roman" w:eastAsia="Times New Roman" w:hAnsi="Times New Roman"/>
          <w:sz w:val="20"/>
          <w:szCs w:val="20"/>
          <w:color w:val="auto"/>
        </w:rPr>
        <w:t>. Notwithstanding any other provision of this Agreement or any other Loan Document to the contrary, including without limitation, Section 12.6., (i) upon the Borrower Representative’s written request and at the Borrowers’ sole cost and expense, the Administrative Agent shall release any or all of the New York Mortgages or assign any or all of the New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97 -</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York Mortgages to any Person requested by the Borrower Representative (any such assignment to be without recourse or warranty whatsoever) and (ii) the Administrative Agent may in its discretion, and shall at the direction of the Requisite Lenders, release any or all of</w:t>
      </w:r>
    </w:p>
    <w:p>
      <w:pPr>
        <w:spacing w:after="0" w:line="212" w:lineRule="auto"/>
        <w:rPr>
          <w:sz w:val="20"/>
          <w:szCs w:val="20"/>
          <w:color w:val="auto"/>
        </w:rPr>
      </w:pPr>
      <w:r>
        <w:rPr>
          <w:rFonts w:ascii="Times New Roman" w:cs="Times New Roman" w:eastAsia="Times New Roman" w:hAnsi="Times New Roman"/>
          <w:sz w:val="20"/>
          <w:szCs w:val="20"/>
          <w:color w:val="auto"/>
        </w:rPr>
        <w:t>the New York Mortgages so long as the Administrative Agent shall have given the Borrower Representative written notice at least five (5)</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days’ prior to any such release;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the Administrative Agent shall not be required to give any such prior notice to the Borrower Representative if the Administrative Agent, in its sole discretion, has determined that delay of such release would be detrimental to</w:t>
      </w:r>
    </w:p>
    <w:p>
      <w:pPr>
        <w:spacing w:after="0"/>
        <w:rPr>
          <w:sz w:val="20"/>
          <w:szCs w:val="20"/>
          <w:color w:val="auto"/>
        </w:rPr>
      </w:pPr>
      <w:r>
        <w:rPr>
          <w:rFonts w:ascii="Times New Roman" w:cs="Times New Roman" w:eastAsia="Times New Roman" w:hAnsi="Times New Roman"/>
          <w:sz w:val="20"/>
          <w:szCs w:val="20"/>
          <w:color w:val="auto"/>
        </w:rPr>
        <w:t>the Administrative Agent or the Lenders.</w:t>
      </w:r>
    </w:p>
    <w:p>
      <w:pPr>
        <w:spacing w:after="0" w:line="140" w:lineRule="exact"/>
        <w:rPr>
          <w:sz w:val="20"/>
          <w:szCs w:val="20"/>
          <w:color w:val="auto"/>
        </w:rPr>
      </w:pPr>
    </w:p>
    <w:p>
      <w:pPr>
        <w:jc w:val="both"/>
        <w:ind w:firstLine="656"/>
        <w:spacing w:after="0" w:line="215" w:lineRule="auto"/>
        <w:tabs>
          <w:tab w:leader="none" w:pos="128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Not in limitation of any of the Borrowers’ obligations under Section 12.2. or 12.9., each Borrower shall and hereby jointly and severally agrees to indemnify, defend and hold harmless the Administrative Agent, each Lender and each other Indemnified Party from and against any and all losses, costs, claims,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incurred by an Indemnified Party in connection with, arising out of, or by reason of, any Indemnity Proceeding which is in any way related directly or indirectly to the failure of any Person to pay any recording tax payable pursuant to N.Y. Tax Law, Ch. 60, Art. 11, Sec. 253 et seq. or other Applicable Laws of the State of New York or any political subdivision of such State.</w:t>
      </w:r>
    </w:p>
    <w:p>
      <w:pPr>
        <w:spacing w:after="0" w:line="133"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of New York Mortgages</w:t>
      </w:r>
      <w:r>
        <w:rPr>
          <w:rFonts w:ascii="Times New Roman" w:cs="Times New Roman" w:eastAsia="Times New Roman" w:hAnsi="Times New Roman"/>
          <w:sz w:val="20"/>
          <w:szCs w:val="20"/>
          <w:color w:val="auto"/>
        </w:rPr>
        <w:t>. In connection with the Administrative Agent’s and each Lender’s acceptance of the benefits of a New York Mortgage, the Parent shall cause to be delivered to the Administrative Agent and the Lenders each of the following, in form and substance satisfactory to the Administrative Agent:</w:t>
      </w:r>
    </w:p>
    <w:p>
      <w:pPr>
        <w:spacing w:after="0" w:line="146"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54"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of the Indebtedness secured by such New York Mortgage executed and delivered by each holder of such Indebtedness;</w:t>
      </w:r>
    </w:p>
    <w:p>
      <w:pPr>
        <w:spacing w:after="0" w:line="147" w:lineRule="exact"/>
        <w:rPr>
          <w:rFonts w:ascii="Times New Roman" w:cs="Times New Roman" w:eastAsia="Times New Roman" w:hAnsi="Times New Roman"/>
          <w:sz w:val="20"/>
          <w:szCs w:val="20"/>
          <w:color w:val="auto"/>
        </w:rPr>
      </w:pPr>
    </w:p>
    <w:p>
      <w:pPr>
        <w:ind w:left="660" w:firstLine="644"/>
        <w:spacing w:after="0" w:line="233" w:lineRule="auto"/>
        <w:tabs>
          <w:tab w:leader="none" w:pos="1955"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originals (or if not available, copies) of each outstanding promissory note evidencing such Indebtedness, duly endorsed to the Administrative Agent, or its registered assignees;</w:t>
      </w:r>
    </w:p>
    <w:p>
      <w:pPr>
        <w:spacing w:after="0" w:line="147"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56"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such New York Mortgage, including all amendments thereto, showing all recording information thereon certified as true, correct and complete by an authorized officer of the SLGOP;</w:t>
      </w:r>
    </w:p>
    <w:p>
      <w:pPr>
        <w:spacing w:after="0" w:line="147" w:lineRule="exact"/>
        <w:rPr>
          <w:rFonts w:ascii="Times New Roman" w:cs="Times New Roman" w:eastAsia="Times New Roman" w:hAnsi="Times New Roman"/>
          <w:sz w:val="20"/>
          <w:szCs w:val="20"/>
          <w:color w:val="auto"/>
        </w:rPr>
      </w:pPr>
    </w:p>
    <w:p>
      <w:pPr>
        <w:ind w:left="660" w:firstLine="644"/>
        <w:spacing w:after="0" w:line="233" w:lineRule="auto"/>
        <w:tabs>
          <w:tab w:leader="none" w:pos="1945"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of such New York Mortgage executed by each holder of such Indebtedness (or an authorized agent acting on behalf of each such holder);</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modification to such New York Mortgage executed by the applicable Borrowers or their Subsidiaries, such modification, among other things, to modify such New York Mortgage to provide that it secures such principal amounts of the Obligations as corresponds to the principal amount of Loans advanced hereunder in connection with the assignment of such New York Mortgage to the Administrative Agent;</w:t>
      </w:r>
    </w:p>
    <w:p>
      <w:pPr>
        <w:spacing w:after="0" w:line="134"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5"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copy of any environmental assessment report on the Property subject to such New York Mortgage available to the Borrowers or any of their respective Subsidiaries, and if reasonably requested by the Administrative Agent, reliance letters from the environmental engineering firms performing such assessments addressed to the Administrative Agent and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such a reliance letter is not provided, the Administrative Agent and the Lenders shall have no obligation to accept an assignment of such New York Mortgage; and</w:t>
      </w:r>
    </w:p>
    <w:p>
      <w:pPr>
        <w:spacing w:after="0" w:line="133"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agreements and instruments as the Administrative Agent on behalf of the Lenders may reasonably request.</w:t>
      </w:r>
    </w:p>
    <w:p>
      <w:pPr>
        <w:spacing w:after="0" w:line="148" w:lineRule="exact"/>
        <w:rPr>
          <w:sz w:val="20"/>
          <w:szCs w:val="20"/>
          <w:color w:val="auto"/>
        </w:rPr>
      </w:pPr>
    </w:p>
    <w:p>
      <w:pPr>
        <w:ind w:firstLine="656"/>
        <w:spacing w:after="0" w:line="269" w:lineRule="auto"/>
        <w:tabs>
          <w:tab w:leader="none" w:pos="1051"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that none of the Properties encumbered by the New York Mortgages are located in areas determined by the Federal Emergency Management Agency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98 -</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have special flood hazards. The Parent shall have notified the Administrative Agent (who will in turn notify the Lenders) at least fifteen (15) Business Days prior to effecting the assignment of any New York Mortgage for the purposes of affording each Lenders at least fifteen (15) Business Days in which to complete flood due diligence with respect to the Property subject to such New York Mortgage.</w:t>
      </w:r>
    </w:p>
    <w:p>
      <w:pPr>
        <w:spacing w:after="0" w:line="154" w:lineRule="exact"/>
        <w:rPr>
          <w:sz w:val="20"/>
          <w:szCs w:val="20"/>
          <w:color w:val="auto"/>
        </w:rPr>
      </w:pPr>
    </w:p>
    <w:p>
      <w:pPr>
        <w:jc w:val="both"/>
        <w:ind w:firstLine="656"/>
        <w:spacing w:after="0" w:line="261" w:lineRule="auto"/>
        <w:tabs>
          <w:tab w:leader="none" w:pos="107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assignment or release of the New York Mortgages, each Lender shall, at the request of the Borrowers, be deemed to accept the repayment of, and immediately re-advance, its pro rata share of the amount of the Loans equal to the amount of the debt secured by the assigned or released New York Mortgage, as the case may be.</w:t>
      </w:r>
    </w:p>
    <w:p>
      <w:pPr>
        <w:spacing w:after="0" w:line="167" w:lineRule="exact"/>
        <w:rPr>
          <w:rFonts w:ascii="Times New Roman" w:cs="Times New Roman" w:eastAsia="Times New Roman" w:hAnsi="Times New Roman"/>
          <w:sz w:val="20"/>
          <w:szCs w:val="20"/>
          <w:color w:val="auto"/>
        </w:rPr>
      </w:pPr>
    </w:p>
    <w:p>
      <w:pPr>
        <w:jc w:val="both"/>
        <w:ind w:firstLine="656"/>
        <w:spacing w:after="0" w:line="253" w:lineRule="auto"/>
        <w:tabs>
          <w:tab w:leader="none" w:pos="113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extension or renewal of the Loans hereunder shall be subject to flood due diligence and compliance with this Section 12.20. with respect to New York Mortgages which due diligence and compliance shall be reasonably satisfactory to each Lender. The Parent shall have notified the Administrative Agent (who will in turn notify the Lenders) at least fifteen (15) Business Days prior to any such increase, extension or renewal for the purposes of affording each Lenders at least fifteen (15) Business Days in which to complete flood due diligence with respect to the Properties subject to a New York Mortgage.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12.21. [Reserved]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12.22. Acknowledgement and Consent to Bail-In of Affected Financial Institutions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0" w:lineRule="exact"/>
        <w:rPr>
          <w:sz w:val="20"/>
          <w:szCs w:val="20"/>
          <w:color w:val="auto"/>
        </w:rPr>
      </w:pPr>
    </w:p>
    <w:p>
      <w:pPr>
        <w:ind w:firstLine="656"/>
        <w:spacing w:after="0" w:line="233" w:lineRule="auto"/>
        <w:tabs>
          <w:tab w:leader="none" w:pos="128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Times New Roman" w:cs="Times New Roman" w:eastAsia="Times New Roman" w:hAnsi="Times New Roman"/>
          <w:sz w:val="20"/>
          <w:szCs w:val="20"/>
          <w:color w:val="auto"/>
        </w:rPr>
      </w:pPr>
    </w:p>
    <w:p>
      <w:pPr>
        <w:ind w:left="660" w:firstLine="644"/>
        <w:spacing w:after="0" w:line="233" w:lineRule="auto"/>
        <w:tabs>
          <w:tab w:leader="none" w:pos="1956"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12.23. Acknowledgement Regarding Any Supported QFCs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To the extent that the Loan Documents </w:t>
      </w:r>
      <w:r>
        <w:rPr>
          <w:rFonts w:ascii="Times New Roman" w:cs="Times New Roman" w:eastAsia="Times New Roman" w:hAnsi="Times New Roman"/>
          <w:sz w:val="20"/>
          <w:szCs w:val="20"/>
          <w:u w:val="single" w:color="auto"/>
          <w:color w:val="auto"/>
        </w:rPr>
        <w:t>provide</w:t>
      </w:r>
      <w:r>
        <w:rPr>
          <w:rFonts w:ascii="Times New Roman" w:cs="Times New Roman" w:eastAsia="Times New Roman" w:hAnsi="Times New Roman"/>
          <w:sz w:val="20"/>
          <w:szCs w:val="20"/>
          <w:color w:val="auto"/>
        </w:rPr>
        <w:t xml:space="preserve"> support, through a guarantee or otherwise, for Derivative Contracts or any other agreement or instrument that is a QFC (such support, “QFC Credit Support” and, each such QFC, a “Supported QFC”), the parties acknowledge and agree as follows with respect to the resolution power of the FDIC under the Federal Deposit Insurance Act and Title II of the Dodd-Frank Wall Street Reform and Consumer Protection Act (together with the regulations promulgated thereunder, the “U.S. Special Resolution Regimes”) in respect of such Supported QFC and QFC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- 99 -</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2" w:lineRule="exact"/>
        <w:rPr>
          <w:sz w:val="20"/>
          <w:szCs w:val="20"/>
          <w:color w:val="auto"/>
        </w:rPr>
      </w:pPr>
    </w:p>
    <w:p>
      <w:pPr>
        <w:jc w:val="both"/>
        <w:ind w:firstLine="656"/>
        <w:spacing w:after="0" w:line="211" w:lineRule="auto"/>
        <w:tabs>
          <w:tab w:leader="none" w:pos="12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Section 12.23, the following terms have the following meanings: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Entity</w:t>
      </w:r>
      <w:r>
        <w:rPr>
          <w:rFonts w:ascii="Times New Roman" w:cs="Times New Roman" w:eastAsia="Times New Roman" w:hAnsi="Times New Roman"/>
          <w:sz w:val="20"/>
          <w:szCs w:val="20"/>
          <w:color w:val="auto"/>
        </w:rPr>
        <w:t>” means any of the following:</w:t>
      </w:r>
    </w:p>
    <w:p>
      <w:pPr>
        <w:spacing w:after="0" w:line="206" w:lineRule="exact"/>
        <w:rPr>
          <w:sz w:val="20"/>
          <w:szCs w:val="20"/>
          <w:color w:val="auto"/>
        </w:rPr>
      </w:pPr>
    </w:p>
    <w:p>
      <w:pPr>
        <w:ind w:left="1040" w:hanging="384"/>
        <w:spacing w:after="0"/>
        <w:tabs>
          <w:tab w:leader="none" w:pos="104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02"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9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Signatures on Following</w:t>
      </w:r>
      <w:r>
        <w:rPr>
          <w:rFonts w:ascii="Times New Roman" w:cs="Times New Roman" w:eastAsia="Times New Roman" w:hAnsi="Times New Roman"/>
          <w:sz w:val="20"/>
          <w:szCs w:val="20"/>
          <w:u w:val="single" w:color="auto"/>
          <w:color w:val="0101FF"/>
        </w:rPr>
        <w:t>Signature</w:t>
      </w:r>
      <w:r>
        <w:rPr>
          <w:rFonts w:ascii="Times New Roman" w:cs="Times New Roman" w:eastAsia="Times New Roman" w:hAnsi="Times New Roman"/>
          <w:sz w:val="20"/>
          <w:szCs w:val="20"/>
          <w:color w:val="auto"/>
        </w:rPr>
        <w:t xml:space="preserve"> Pages </w:t>
      </w:r>
      <w:r>
        <w:rPr>
          <w:rFonts w:ascii="Times New Roman" w:cs="Times New Roman" w:eastAsia="Times New Roman" w:hAnsi="Times New Roman"/>
          <w:sz w:val="20"/>
          <w:szCs w:val="20"/>
          <w:u w:val="single" w:color="auto"/>
          <w:color w:val="0101FF"/>
        </w:rPr>
        <w:t>Intentionally Omitted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- 100 -</w:t>
      </w:r>
    </w:p>
    <w:p>
      <w:pPr>
        <w:sectPr>
          <w:pgSz w:w="11900" w:h="16838" w:orient="portrait"/>
          <w:cols w:equalWidth="0" w:num="1">
            <w:col w:w="11240"/>
          </w:cols>
          <w:pgMar w:left="320" w:top="1440" w:right="33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20"/>
          <w:szCs w:val="20"/>
          <w:color w:val="auto"/>
        </w:rPr>
        <w:t>EXHIBIT O</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COMPLIANCE CERTIFICATE</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Reference is made to that certain Term Loan Agreement dated as of November 19, 2024 (as amended, restated, supplemented or otherwise modified from time to time, the “Term Loan Agreement”), by and among SL Green Realty Corp. (the “Parent”) and SL Green Operating Partnership, L.P. (“SLGOP”; together with the Parent, each individually a “Borrower” and collectively, the “Borrowers”), the financial institutions party thereto and their assignees under Section 12.5. thereof (the “Lenders”), Wells Fargo Bank, National Association, as Administrative Agent (the “Administrative Agent”), and the other parties thereto. Capitalized terms used herein, and not otherwise defined herein, have their respective meanings given them in the Term Loan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Pursuant to Section 8.3. of the Term Loan Agreement, the undersigned hereby certifies to the Administrative Agent and the Lenders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94" w:lineRule="exact"/>
        <w:rPr>
          <w:sz w:val="20"/>
          <w:szCs w:val="20"/>
          <w:color w:val="auto"/>
        </w:rPr>
      </w:pPr>
    </w:p>
    <w:p>
      <w:pPr>
        <w:jc w:val="both"/>
        <w:ind w:firstLine="656"/>
        <w:spacing w:after="0" w:line="254" w:lineRule="auto"/>
        <w:tabs>
          <w:tab w:leader="none" w:pos="1039"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undersigned has reviewed the terms of the Term Loan Agreement and has made a review of the transactions, financial condition and other affairs of the Borrowers and their respective Subsidiaries as of, and during the relevant accounting period ending on,</w:t>
      </w:r>
    </w:p>
    <w:p>
      <w:pPr>
        <w:spacing w:after="0" w:line="1" w:lineRule="exact"/>
        <w:rPr>
          <w:rFonts w:ascii="Times New Roman" w:cs="Times New Roman" w:eastAsia="Times New Roman" w:hAnsi="Times New Roman"/>
          <w:sz w:val="20"/>
          <w:szCs w:val="20"/>
          <w:color w:val="auto"/>
        </w:rPr>
      </w:pPr>
    </w:p>
    <w:p>
      <w:pPr>
        <w:jc w:val="both"/>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___________________, 20__ and (b) to the best of his or her knowledge, information and belief after due inquiry, no Default or Event of Default exists as of the date hereof </w:t>
      </w:r>
      <w:r>
        <w:rPr>
          <w:rFonts w:ascii="Times New Roman" w:cs="Times New Roman" w:eastAsia="Times New Roman" w:hAnsi="Times New Roman"/>
          <w:sz w:val="20"/>
          <w:szCs w:val="20"/>
          <w:b w:val="1"/>
          <w:bCs w:val="1"/>
          <w:color w:val="auto"/>
        </w:rPr>
        <w:t>[except as set forth on Attachment A hereto, which specifies such Default or Event of Default and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nature, when it occurred and the steps that are being taken (or will be taken) with respect to such event, condition or failure.]</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9"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1 attached hereto accurately and completely sets forth in reasonable detail the calculations required to establish whether there has been compliance with the financial covenants contained in Section 9.1. of the Term Loan Agreement on the date of the financial statements for the accounting period set forth above.</w:t>
      </w:r>
    </w:p>
    <w:p>
      <w:pPr>
        <w:spacing w:after="0" w:line="167" w:lineRule="exact"/>
        <w:rPr>
          <w:rFonts w:ascii="Times New Roman" w:cs="Times New Roman" w:eastAsia="Times New Roman" w:hAnsi="Times New Roman"/>
          <w:sz w:val="20"/>
          <w:szCs w:val="20"/>
          <w:color w:val="auto"/>
        </w:rPr>
      </w:pPr>
    </w:p>
    <w:p>
      <w:pPr>
        <w:ind w:right="120" w:firstLine="8"/>
        <w:spacing w:after="0" w:line="254" w:lineRule="auto"/>
        <w:tabs>
          <w:tab w:leader="none" w:pos="34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2 attached hereto includes (i) a report listing all Properties acquired by the Parent and its Subsidiaries since delivery of the last such report, setting forth for each such Property such Property’s name, location, year built or acquired, anchor tenants, if any, amount of related mortgage Indebtedness, if any, and the maturity of such mortgage Indebtedness, and the Occupancy Rate and Net Operating Income for such Property, and (ii) a list of all Properties that are 1031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O-1</w:t>
      </w:r>
    </w:p>
    <w:p>
      <w:pPr>
        <w:sectPr>
          <w:pgSz w:w="11900" w:h="16838" w:orient="portrait"/>
          <w:cols w:equalWidth="0" w:num="1">
            <w:col w:w="11240"/>
          </w:cols>
          <w:pgMar w:left="320" w:top="1413" w:right="339" w:bottom="1440" w:gutter="0" w:footer="0" w:header="0"/>
        </w:sectPr>
      </w:pPr>
    </w:p>
    <w:bookmarkStart w:id="308" w:name="page309"/>
    <w:bookmarkEnd w:id="308"/>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IN WITNESS WHEREOF, the undersigned has signed this Compliance Certificate on and as of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398780</wp:posOffset>
            </wp:positionV>
            <wp:extent cx="3771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-10795</wp:posOffset>
            </wp:positionV>
            <wp:extent cx="1257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700"/>
        <w:spacing w:after="0"/>
        <w:tabs>
          <w:tab w:leader="none" w:pos="43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O-2</w:t>
      </w:r>
    </w:p>
    <w:p>
      <w:pPr>
        <w:sectPr>
          <w:pgSz w:w="11900" w:h="16838" w:orient="portrait"/>
          <w:cols w:equalWidth="0" w:num="1">
            <w:col w:w="10300"/>
          </w:cols>
          <w:pgMar w:left="520" w:top="1440" w:right="107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AMENDMENT TO THIRD AMENDED AND RESTATED CREDIT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THIS FIRST AMENDMENT TO THIRD AMENDED AND RESTATED CREDIT AGREEMENT (this “Amendment”), dated as of March 18, 2026, by and among SL GREEN REALTY CORP., a corporation formed under the laws of the State of Maryland (the “Parent”), and SL GREEN OPERATING PARTNERSHIP, L.P., a limited partnership formed under the laws of the State of Delaware (“SLGOP”; together with the Parent, each individually a “Borrower” and collectively, the “Borrowers”), each of the Lenders party hereto, WELLS FARGO BANK, NATIONAL ASSOCIATION, as Administrative Agent (the “Administrative Agent”), and the other parties hereto.</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Borrowers, the Lenders and the Administrative Agent have entered into that certain Third Amended and Restated Credit Agreement, dated as of December 6, 2021 (as so amended or otherwise modified and as in effect immediately prior to the effectiveness of this Amendment, the “Credit Agreement”);</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Borrowers, the Requisite Lenders, each of the Revolving Lenders and the Administrative Agent desire to amend certain provisions of the Credit Agreement on and subject to the terms and conditions contained herein;</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by the parties hereto, the parties hereto agree as follows:</w:t>
      </w:r>
    </w:p>
    <w:p>
      <w:pPr>
        <w:spacing w:after="0" w:line="159"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Specific Amendments to Credit Agreement</w:t>
      </w:r>
      <w:r>
        <w:rPr>
          <w:rFonts w:ascii="Times New Roman" w:cs="Times New Roman" w:eastAsia="Times New Roman" w:hAnsi="Times New Roman"/>
          <w:sz w:val="20"/>
          <w:szCs w:val="20"/>
          <w:color w:val="auto"/>
        </w:rPr>
        <w:t>. Upon the effectiveness of this Amendment, the parties hereto agree that the Credit Agreement shall be amended as follows:</w:t>
      </w:r>
    </w:p>
    <w:p>
      <w:pPr>
        <w:spacing w:after="0" w:line="161" w:lineRule="exact"/>
        <w:rPr>
          <w:sz w:val="20"/>
          <w:szCs w:val="20"/>
          <w:color w:val="auto"/>
        </w:rPr>
      </w:pPr>
    </w:p>
    <w:p>
      <w:pPr>
        <w:jc w:val="both"/>
        <w:ind w:firstLine="656"/>
        <w:spacing w:after="0" w:line="226" w:lineRule="auto"/>
        <w:tabs>
          <w:tab w:leader="none" w:pos="128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underlined text (indicated textually in the same manner as the following example: </w:t>
      </w:r>
      <w:r>
        <w:rPr>
          <w:rFonts w:ascii="Times New Roman" w:cs="Times New Roman" w:eastAsia="Times New Roman" w:hAnsi="Times New Roman"/>
          <w:sz w:val="20"/>
          <w:szCs w:val="20"/>
          <w:u w:val="single" w:color="auto"/>
          <w:color w:val="0070C0"/>
        </w:rPr>
        <w:t>underlined text</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further amended by replacing Exhibit D, Exhibit E and Exhibit F with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respectively, attached hereto.</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further amended by replacing Schedule I, Schedule 1.1., Schedule 6.1.(b), Schedule 6.1.(f), Schedule 6.1.(g), Schedule 6.1.(i), Schedule 6.1.(r) and Schedule 6.1.(z) with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Schedule 6.1.(z)</w:t>
      </w:r>
      <w:r>
        <w:rPr>
          <w:rFonts w:ascii="Times New Roman" w:cs="Times New Roman" w:eastAsia="Times New Roman" w:hAnsi="Times New Roman"/>
          <w:sz w:val="20"/>
          <w:szCs w:val="20"/>
          <w:color w:val="auto"/>
        </w:rPr>
        <w:t xml:space="preserve"> attached hereto.</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effectiveness of this Amendment is subject to the satisfaction of the following conditions precedent:</w:t>
      </w:r>
    </w:p>
    <w:p>
      <w:pPr>
        <w:spacing w:after="0" w:line="161" w:lineRule="exact"/>
        <w:rPr>
          <w:sz w:val="20"/>
          <w:szCs w:val="20"/>
          <w:color w:val="auto"/>
        </w:rPr>
      </w:pPr>
    </w:p>
    <w:p>
      <w:pPr>
        <w:ind w:firstLine="656"/>
        <w:spacing w:after="0" w:line="233" w:lineRule="auto"/>
        <w:tabs>
          <w:tab w:leader="none" w:pos="128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duly executed by SLGOP, the Parent, the Administrative Agent, the Requisite Lenders and each of the Revolving Lenders;</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replacement Revolving Notes executed by the Borrowers, payable to each applicable Lender, other than any Lender that has requested that it not receive Notes and complying with the terms of Section 2.12.(a) of the Credit Agreement;</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in form satisfactory to the Administrative Agent, that the Term A Loans shall have been paid down such that the outstanding principal amount does not exceed $300,000,000, substantially concurrently with the First Amendment Date;</w:t>
      </w:r>
    </w:p>
    <w:p>
      <w:pPr>
        <w:spacing w:after="0" w:line="15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or opinions of counsel to the Borrowers and the other Loan Parties, addressed to the Administrative Agent and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Lenders;</w:t>
      </w:r>
    </w:p>
    <w:p>
      <w:pPr>
        <w:sectPr>
          <w:pgSz w:w="11900" w:h="16838" w:orient="portrait"/>
          <w:cols w:equalWidth="0" w:num="1">
            <w:col w:w="11240"/>
          </w:cols>
          <w:pgMar w:left="320" w:top="111" w:right="339" w:bottom="1440" w:gutter="0" w:footer="0" w:header="0"/>
        </w:sectPr>
      </w:pPr>
    </w:p>
    <w:bookmarkStart w:id="310" w:name="page311"/>
    <w:bookmarkEnd w:id="310"/>
    <w:p>
      <w:pPr>
        <w:spacing w:after="0" w:line="176" w:lineRule="exact"/>
        <w:rPr>
          <w:sz w:val="20"/>
          <w:szCs w:val="20"/>
          <w:color w:val="auto"/>
        </w:rPr>
      </w:pPr>
    </w:p>
    <w:p>
      <w:pPr>
        <w:jc w:val="both"/>
        <w:ind w:firstLine="656"/>
        <w:spacing w:after="0" w:line="226" w:lineRule="auto"/>
        <w:tabs>
          <w:tab w:leader="none" w:pos="128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160"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1"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Representative, authorized to execute and deliver on behalf of each Borrower Notices of Borrowing, Notices of Conversion and Notices of Continuation;</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certified by the Secretary or Assistant Secretary (or other individual performing similar functions) of each Loan Party of (A) such Loan Party’s by-laws, if a corporation, operating agreement, if a limited liability company,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Compliance Certificate for the Parent calculated on a pro forma basis for the Parent’s fiscal quarter ended December 31,</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w:t>
      </w:r>
    </w:p>
    <w:p>
      <w:pPr>
        <w:spacing w:after="0" w:line="15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Disbursement Instruction Agreement effective as of the First Amendment Date;</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Fees, if any, then due and payable under Section 3.5. of the Credit Agreement, together with all other fees, expenses and reimbursement amounts due and payable to the Administrative Agent and any of the Lenders, including without limitation, the fees and expenses of counsel to the Administrative Agent, have been paid;</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Default or Event of Default shall exist or shall occur as a result of this Amendment and (B) the representations and warranties in Sections 4 and 5 hereof shall be true and correct in all material respects (except in the case of a representation or warranty qualified by materiality, in which case such representation or warranty shall be true and correct in all respects); and</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instruments and agreements as the Administrative Agent may reasonably request.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Later Effected Amendment</w:t>
      </w:r>
      <w:r>
        <w:rPr>
          <w:rFonts w:ascii="Times New Roman" w:cs="Times New Roman" w:eastAsia="Times New Roman" w:hAnsi="Times New Roman"/>
          <w:sz w:val="20"/>
          <w:szCs w:val="20"/>
          <w:color w:val="auto"/>
        </w:rPr>
        <w:t>. The parties hereto agree that effective as of the date that all Obligations with respect to the Term A Loan have been paid in full (other than indemnification Obligations that survive the repayment of the Term A Loan) and so long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as the only Lenders party to the Credit Agreement are the Lenders that have duly executed Amendment, Section 12.6. of the Credit Agreement shall be amended and restated in it entirety as set forth on Annex B attached hereto.</w:t>
      </w:r>
    </w:p>
    <w:p>
      <w:pPr>
        <w:spacing w:after="0" w:line="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Each Borrower represents and warrants to the Administrative Agent and the Lenders that:</w:t>
      </w:r>
    </w:p>
    <w:p>
      <w:pPr>
        <w:spacing w:after="0" w:line="167" w:lineRule="exact"/>
        <w:rPr>
          <w:sz w:val="20"/>
          <w:szCs w:val="20"/>
          <w:color w:val="auto"/>
        </w:rPr>
      </w:pPr>
    </w:p>
    <w:p>
      <w:pPr>
        <w:jc w:val="both"/>
        <w:ind w:firstLine="656"/>
        <w:spacing w:after="0" w:line="216" w:lineRule="auto"/>
        <w:tabs>
          <w:tab w:leader="none" w:pos="1286"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Each Borrower has the right and power, and has taken all necessary action to authorize, execute and deliver this Amendment and to perform its obligations hereunder, and under the Credit Agreement, as amended by this Amendment, in accordance with their respective terms. This Amendment has been duly executed and delivered by a duly authorized officer of each Borrower and each of this Amendment and the Credit Agreement, as amended by this Amendment, is a legal, valid and binding obligation of each Borrower enforceable against it in accordance with its respective terms except as (i) the enforceability thereof may be limited by bankruptcy, insolvency or similar laws affecting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8"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creditors’ rights generally and (ii) the availability of equitable remedies may be limited by equitable principles of general applicability.</w:t>
      </w:r>
    </w:p>
    <w:p>
      <w:pPr>
        <w:spacing w:after="0" w:line="189" w:lineRule="exact"/>
        <w:rPr>
          <w:sz w:val="20"/>
          <w:szCs w:val="20"/>
          <w:color w:val="auto"/>
        </w:rPr>
      </w:pPr>
    </w:p>
    <w:p>
      <w:pPr>
        <w:jc w:val="both"/>
        <w:ind w:firstLine="656"/>
        <w:spacing w:after="0" w:line="215" w:lineRule="auto"/>
        <w:tabs>
          <w:tab w:leader="none" w:pos="128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 etc.</w:t>
      </w:r>
      <w:r>
        <w:rPr>
          <w:rFonts w:ascii="Times New Roman" w:cs="Times New Roman" w:eastAsia="Times New Roman" w:hAnsi="Times New Roman"/>
          <w:sz w:val="20"/>
          <w:szCs w:val="20"/>
          <w:color w:val="auto"/>
        </w:rPr>
        <w:t xml:space="preserve"> The execution and delivery by each Borrower of this Amendment and the performance by each Borrower of this Amendment and the Credit Agreement, as amended by this Amendment, in accordance with their respective terms, do not and will not, by the passage of time, the giving of notice or otherwise: (i) require any Government Approvals or violate any Applicable Laws (including Environmental Laws) relating to any Borrower; (ii) conflict with, result in a breach of or constitute a default under the organizational documents of any Borrower, or any indenture, agreement or other instrument to which any Borrower is a party or by which it or any of its respective properties may be bound; and (iii) result in or require the creation or imposition of any Lien upon or with respect to any property now owned or hereafter acquired by any Borrower.</w:t>
      </w:r>
    </w:p>
    <w:p>
      <w:pPr>
        <w:spacing w:after="0" w:line="150"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has occurred and is continuing as of the date hereof or will exist immediately after giving effect to this Amendment.</w:t>
      </w:r>
    </w:p>
    <w:p>
      <w:pPr>
        <w:spacing w:after="0" w:line="161"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Reaffirmation of Representations by Borrowers</w:t>
      </w:r>
      <w:r>
        <w:rPr>
          <w:rFonts w:ascii="Times New Roman" w:cs="Times New Roman" w:eastAsia="Times New Roman" w:hAnsi="Times New Roman"/>
          <w:sz w:val="20"/>
          <w:szCs w:val="20"/>
          <w:color w:val="auto"/>
        </w:rPr>
        <w:t>. Each Borrower hereby repeats and reaffirms all representations and warranties made by such Borrower to the Administrative Agent and the Lenders in the Credit Agreement and the other Loan Documents to</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which it is a party on and as of the date hereof with the same force and effect as if such representations and warranties were set forth in this Amendment in full.</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Certain References</w:t>
      </w:r>
      <w:r>
        <w:rPr>
          <w:rFonts w:ascii="Times New Roman" w:cs="Times New Roman" w:eastAsia="Times New Roman" w:hAnsi="Times New Roman"/>
          <w:sz w:val="20"/>
          <w:szCs w:val="20"/>
          <w:color w:val="auto"/>
        </w:rPr>
        <w:t>. Each reference to the Credit Agreement in any of the Loan Documents shall be deemed to be a reference to the Credit Agreement as amended by this Amendment.</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Borrowers shall reimburse the Administrative Agent upon demand for all reasonable out-of-pocket costs and expenses (including reasonable fees and disbursements of counsel) incurred by the Administrative Agent in connection with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preparation, negotiation and execution of this Amendment and the other agreements and documents executed and delivered in connection herewith.</w:t>
      </w:r>
    </w:p>
    <w:p>
      <w:pPr>
        <w:ind w:left="660"/>
        <w:spacing w:after="0" w:line="211" w:lineRule="auto"/>
        <w:tabs>
          <w:tab w:leader="none" w:pos="196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This Amendment shall be binding upon and shall inure to the benefit of the parties hereto and their</w:t>
      </w:r>
    </w:p>
    <w:p>
      <w:pPr>
        <w:spacing w:after="0" w:line="198" w:lineRule="auto"/>
        <w:rPr>
          <w:sz w:val="20"/>
          <w:szCs w:val="20"/>
          <w:color w:val="auto"/>
        </w:rPr>
      </w:pPr>
      <w:r>
        <w:rPr>
          <w:rFonts w:ascii="Times New Roman" w:cs="Times New Roman" w:eastAsia="Times New Roman" w:hAnsi="Times New Roman"/>
          <w:sz w:val="20"/>
          <w:szCs w:val="20"/>
          <w:color w:val="auto"/>
        </w:rPr>
        <w:t>respective successors and assigns.</w:t>
      </w:r>
    </w:p>
    <w:p>
      <w:pPr>
        <w:jc w:val="both"/>
        <w:ind w:firstLine="648"/>
        <w:spacing w:after="0" w:line="206"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AND CONSTRUED IN ACCORDANCE WITH, THE LAWS OF THE STATE OF NEW YORK APPLICABLE TO CONTRACTS EXECUTED, AND TO BE FULLY PERFORMED, IN SUCH STATE.</w:t>
      </w:r>
    </w:p>
    <w:p>
      <w:pPr>
        <w:spacing w:after="0" w:line="2"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Effect</w:t>
      </w:r>
      <w:r>
        <w:rPr>
          <w:rFonts w:ascii="Times New Roman" w:cs="Times New Roman" w:eastAsia="Times New Roman" w:hAnsi="Times New Roman"/>
          <w:sz w:val="20"/>
          <w:szCs w:val="20"/>
          <w:color w:val="auto"/>
        </w:rPr>
        <w:t>. Except as expressly herein amended, the terms and conditions of the Credit Agreement and the other Loan Documents remain in full force and effect. The amendments contained herein shall be deemed to have prospective application only.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execution, delivery and effectiveness of this Amendment shall not, except as expressly provided herein, operate as a waiver of any right, power or remedy of any Lender or the Administrative Agent under any of the Loan Documents, nor constitute a waiver of any provision of</w:t>
      </w:r>
    </w:p>
    <w:p>
      <w:pPr>
        <w:spacing w:after="0" w:line="211" w:lineRule="auto"/>
        <w:rPr>
          <w:sz w:val="20"/>
          <w:szCs w:val="20"/>
          <w:color w:val="auto"/>
        </w:rPr>
      </w:pPr>
      <w:r>
        <w:rPr>
          <w:rFonts w:ascii="Times New Roman" w:cs="Times New Roman" w:eastAsia="Times New Roman" w:hAnsi="Times New Roman"/>
          <w:sz w:val="20"/>
          <w:szCs w:val="20"/>
          <w:color w:val="auto"/>
        </w:rPr>
        <w:t>any of the Loan Documents, nor constitute a course of conduct or dealing among the parties. The Administrative Agent and the Lenders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reserve all rights, privileges and remedies under the Loan Documents. Nothing in this Amendment is intended, or shall be construed, to constitute a novation or an accord and satisfaction of any of the Obligations. On and after the effectiveness of this Amendment, this</w:t>
      </w:r>
    </w:p>
    <w:p>
      <w:pPr>
        <w:spacing w:after="0" w:line="211" w:lineRule="auto"/>
        <w:rPr>
          <w:sz w:val="20"/>
          <w:szCs w:val="20"/>
          <w:color w:val="auto"/>
        </w:rPr>
      </w:pPr>
      <w:r>
        <w:rPr>
          <w:rFonts w:ascii="Times New Roman" w:cs="Times New Roman" w:eastAsia="Times New Roman" w:hAnsi="Times New Roman"/>
          <w:sz w:val="20"/>
          <w:szCs w:val="20"/>
          <w:color w:val="auto"/>
        </w:rPr>
        <w:t>Amendment shall constitute a Loan Document.</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constitutes the entire agreement and understanding among the parties hereto with respect to the subject matter hereof and supersedes any and all prior agreements and understandings, oral or written, relating to the</w:t>
      </w:r>
    </w:p>
    <w:p>
      <w:pPr>
        <w:spacing w:after="0" w:line="211" w:lineRule="auto"/>
        <w:rPr>
          <w:sz w:val="20"/>
          <w:szCs w:val="20"/>
          <w:color w:val="auto"/>
        </w:rPr>
      </w:pPr>
      <w:r>
        <w:rPr>
          <w:rFonts w:ascii="Times New Roman" w:cs="Times New Roman" w:eastAsia="Times New Roman" w:hAnsi="Times New Roman"/>
          <w:sz w:val="20"/>
          <w:szCs w:val="20"/>
          <w:color w:val="auto"/>
        </w:rPr>
        <w:t>subject matter hereof.</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to be an original and shall be binding upon all parties, their successors and assigns. This Amendment may be executed by any electronic means,</w:t>
      </w:r>
    </w:p>
    <w:p>
      <w:pPr>
        <w:spacing w:after="0" w:line="211" w:lineRule="auto"/>
        <w:rPr>
          <w:sz w:val="20"/>
          <w:szCs w:val="20"/>
          <w:color w:val="auto"/>
        </w:rPr>
      </w:pPr>
      <w:r>
        <w:rPr>
          <w:rFonts w:ascii="Times New Roman" w:cs="Times New Roman" w:eastAsia="Times New Roman" w:hAnsi="Times New Roman"/>
          <w:sz w:val="20"/>
          <w:szCs w:val="20"/>
          <w:color w:val="auto"/>
        </w:rPr>
        <w:t>including “pdf”.</w:t>
      </w:r>
    </w:p>
    <w:p>
      <w:pPr>
        <w:spacing w:after="0" w:line="1"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All capitalized terms not otherwise defined herein are used herein with the respective definitions given them in the Credit Agreement, as amended by this Amendment.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- 4 -</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First Amendment to Third Amended and Restated Credit Agreement to be executed as of the date first above written.</w:t>
      </w:r>
    </w:p>
    <w:p>
      <w:pPr>
        <w:spacing w:after="0" w:line="3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11931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Andrew S. Levine</w:t>
      </w:r>
    </w:p>
    <w:p>
      <w:pPr>
        <w:spacing w:after="0" w:line="6" w:lineRule="exact"/>
        <w:rPr>
          <w:sz w:val="20"/>
          <w:szCs w:val="20"/>
          <w:color w:val="auto"/>
        </w:rPr>
      </w:pPr>
    </w:p>
    <w:p>
      <w:pPr>
        <w:ind w:left="4740"/>
        <w:spacing w:after="0"/>
        <w:tabs>
          <w:tab w:leader="none" w:pos="5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Chief</w:t>
      </w:r>
    </w:p>
    <w:p>
      <w:pPr>
        <w:spacing w:after="0" w:line="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Legal Officer, General Counsel and</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SL GREEN OPERATING PARTNERSHIP, L.P.</w:t>
      </w:r>
    </w:p>
    <w:p>
      <w:pPr>
        <w:spacing w:after="0" w:line="216" w:lineRule="exact"/>
        <w:rPr>
          <w:sz w:val="20"/>
          <w:szCs w:val="20"/>
          <w:color w:val="auto"/>
        </w:rPr>
      </w:pPr>
    </w:p>
    <w:p>
      <w:pPr>
        <w:jc w:val="center"/>
        <w:ind w:right="-159"/>
        <w:spacing w:after="0"/>
        <w:tabs>
          <w:tab w:leader="none" w:pos="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SL Green Realty Corp.</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11931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8"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Andrew S. Levine</w:t>
      </w:r>
    </w:p>
    <w:p>
      <w:pPr>
        <w:spacing w:after="0" w:line="6" w:lineRule="exact"/>
        <w:rPr>
          <w:sz w:val="20"/>
          <w:szCs w:val="20"/>
          <w:color w:val="auto"/>
        </w:rPr>
      </w:pPr>
    </w:p>
    <w:p>
      <w:pPr>
        <w:ind w:left="4740"/>
        <w:spacing w:after="0"/>
        <w:tabs>
          <w:tab w:leader="none" w:pos="5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Chief</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Legal Officer, General Counsel and</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40"/>
          </w:cols>
          <w:pgMar w:left="320" w:top="1440"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20" w:right="240"/>
        <w:spacing w:after="0" w:line="269" w:lineRule="auto"/>
        <w:rPr>
          <w:sz w:val="20"/>
          <w:szCs w:val="20"/>
          <w:color w:val="auto"/>
        </w:rPr>
      </w:pPr>
      <w:r>
        <w:rPr>
          <w:rFonts w:ascii="Times New Roman" w:cs="Times New Roman" w:eastAsia="Times New Roman" w:hAnsi="Times New Roman"/>
          <w:sz w:val="20"/>
          <w:szCs w:val="20"/>
          <w:color w:val="auto"/>
        </w:rPr>
        <w:t>WELLS FARGO BANK, NATIONAL ASSOCIATION, as Administrative Agent and a Lender</w:t>
      </w:r>
    </w:p>
    <w:p>
      <w:pPr>
        <w:spacing w:after="0" w:line="370"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Peter Waschenko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11728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ind w:left="4720"/>
        <w:spacing w:after="0" w:line="207"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Peter Waschenko</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14" w:name="page315"/>
    <w:bookmarkEnd w:id="314"/>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20"/>
          <w:szCs w:val="20"/>
          <w:color w:val="auto"/>
        </w:rPr>
        <w:t>JPMORGAN CHASE BANK. N.A.,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Cody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10293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Cody Canafax</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15" w:name="page316"/>
    <w:bookmarkEnd w:id="315"/>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TD BANK, N.A. as a Lender</w:t>
      </w:r>
    </w:p>
    <w:p>
      <w:pPr>
        <w:spacing w:after="0" w:line="200" w:lineRule="exact"/>
        <w:rPr>
          <w:sz w:val="20"/>
          <w:szCs w:val="20"/>
          <w:color w:val="auto"/>
        </w:rPr>
      </w:pPr>
    </w:p>
    <w:p>
      <w:pPr>
        <w:spacing w:after="0" w:line="224"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Gianna Gioia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9804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Gianna Gioia</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16" w:name="page317"/>
    <w:bookmarkEnd w:id="316"/>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Dennis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9944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Dennis Kwan</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17" w:name="page318"/>
    <w:bookmarkEnd w:id="317"/>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3680"/>
        <w:spacing w:after="0"/>
        <w:rPr>
          <w:sz w:val="20"/>
          <w:szCs w:val="20"/>
          <w:color w:val="auto"/>
        </w:rPr>
      </w:pPr>
      <w:r>
        <w:rPr>
          <w:rFonts w:ascii="Times New Roman" w:cs="Times New Roman" w:eastAsia="Times New Roman" w:hAnsi="Times New Roman"/>
          <w:sz w:val="20"/>
          <w:szCs w:val="20"/>
          <w:color w:val="auto"/>
        </w:rPr>
        <w:t>BANK OF MONTREAL,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Rebecca Liu Chabanon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14795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Rebecca Liu Chabanon</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18" w:name="page319"/>
    <w:bookmarkEnd w:id="318"/>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20"/>
          <w:szCs w:val="20"/>
          <w:color w:val="auto"/>
        </w:rPr>
        <w:t>MANUFACTURERS AND TRADERS TRUST COMPANY,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Cameron Daboll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11410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141095" cy="8890"/>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Cameron Daboll</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SVP/Director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19" w:name="page320"/>
    <w:bookmarkEnd w:id="319"/>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20"/>
          <w:szCs w:val="20"/>
          <w:color w:val="auto"/>
        </w:rPr>
        <w:t>THE BANK OF NEW YORK MELLON,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Cody Mainc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9315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931545" cy="8890"/>
                    </a:xfrm>
                    <a:prstGeom prst="rect">
                      <a:avLst/>
                    </a:prstGeom>
                    <a:noFill/>
                  </pic:spPr>
                </pic:pic>
              </a:graphicData>
            </a:graphic>
          </wp:anchor>
        </w:drawing>
      </w:r>
    </w:p>
    <w:p>
      <w:pPr>
        <w:ind w:left="4720"/>
        <w:spacing w:after="0" w:line="211" w:lineRule="auto"/>
        <w:tabs>
          <w:tab w:leader="none" w:pos="5420" w:val="left"/>
        </w:tabs>
        <w:rPr>
          <w:sz w:val="20"/>
          <w:szCs w:val="20"/>
          <w:color w:val="auto"/>
        </w:rPr>
      </w:pPr>
      <w:r>
        <w:rPr>
          <w:rFonts w:ascii="Times New Roman" w:cs="Times New Roman" w:eastAsia="Times New Roman" w:hAnsi="Times New Roman"/>
          <w:sz w:val="20"/>
          <w:szCs w:val="20"/>
          <w:color w:val="auto"/>
        </w:rPr>
        <w:t>Name:</w:t>
        <w:tab/>
        <w:t>Cody Mainc</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0" w:name="page321"/>
    <w:bookmarkEnd w:id="320"/>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20"/>
          <w:szCs w:val="20"/>
          <w:color w:val="auto"/>
        </w:rPr>
        <w:t>GOLDMAN SACHS BANK USA,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12319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31900" cy="8890"/>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Jonathan Dworkin</w:t>
      </w:r>
    </w:p>
    <w:p>
      <w:pPr>
        <w:ind w:left="4720"/>
        <w:spacing w:after="0"/>
        <w:tabs>
          <w:tab w:leader="none" w:pos="53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1" w:name="page322"/>
    <w:bookmarkEnd w:id="321"/>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20"/>
          <w:szCs w:val="20"/>
          <w:color w:val="auto"/>
        </w:rPr>
        <w:t>CREDIT AGRICOLE CORPORATE AND INVESTMENT BANK, as a Lender</w:t>
      </w:r>
    </w:p>
    <w:p>
      <w:pPr>
        <w:spacing w:after="0" w:line="200" w:lineRule="exact"/>
        <w:rPr>
          <w:sz w:val="20"/>
          <w:szCs w:val="20"/>
          <w:color w:val="auto"/>
        </w:rPr>
      </w:pPr>
    </w:p>
    <w:p>
      <w:pPr>
        <w:spacing w:after="0" w:line="232"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Amadou M. Diop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-10795</wp:posOffset>
            </wp:positionV>
            <wp:extent cx="1165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4720"/>
        <w:spacing w:after="0"/>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Amadou M. Diop</w:t>
      </w:r>
    </w:p>
    <w:p>
      <w:pPr>
        <w:spacing w:after="0" w:line="13" w:lineRule="exact"/>
        <w:rPr>
          <w:sz w:val="20"/>
          <w:szCs w:val="20"/>
          <w:color w:val="auto"/>
        </w:rPr>
      </w:pP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3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David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-7620</wp:posOffset>
            </wp:positionV>
            <wp:extent cx="10604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ind w:left="4520"/>
        <w:spacing w:after="0" w:line="211" w:lineRule="auto"/>
        <w:rPr>
          <w:sz w:val="20"/>
          <w:szCs w:val="20"/>
          <w:color w:val="auto"/>
        </w:rPr>
      </w:pPr>
      <w:r>
        <w:rPr>
          <w:rFonts w:ascii="Times New Roman" w:cs="Times New Roman" w:eastAsia="Times New Roman" w:hAnsi="Times New Roman"/>
          <w:sz w:val="20"/>
          <w:szCs w:val="20"/>
          <w:color w:val="auto"/>
        </w:rPr>
        <w:t>Name: David Bowers</w:t>
      </w:r>
    </w:p>
    <w:p>
      <w:pPr>
        <w:ind w:left="4520"/>
        <w:spacing w:after="0"/>
        <w:rPr>
          <w:sz w:val="20"/>
          <w:szCs w:val="20"/>
          <w:color w:val="auto"/>
        </w:rPr>
      </w:pPr>
      <w:r>
        <w:rPr>
          <w:rFonts w:ascii="Times New Roman" w:cs="Times New Roman" w:eastAsia="Times New Roman" w:hAnsi="Times New Roman"/>
          <w:sz w:val="20"/>
          <w:szCs w:val="20"/>
          <w:color w:val="auto"/>
        </w:rPr>
        <w:t>Title: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2" w:name="page323"/>
    <w:bookmarkEnd w:id="322"/>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20"/>
          <w:szCs w:val="20"/>
          <w:color w:val="auto"/>
        </w:rPr>
        <w:t>DEUTSCHE BANK AG NEW YORK BRANCH, as a Lender</w:t>
      </w:r>
    </w:p>
    <w:p>
      <w:pPr>
        <w:spacing w:after="0" w:line="200" w:lineRule="exact"/>
        <w:rPr>
          <w:sz w:val="20"/>
          <w:szCs w:val="20"/>
          <w:color w:val="auto"/>
        </w:rPr>
      </w:pPr>
    </w:p>
    <w:p>
      <w:pPr>
        <w:spacing w:after="0" w:line="232"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-10795</wp:posOffset>
            </wp:positionV>
            <wp:extent cx="9423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8" w:lineRule="exact"/>
        <w:rPr>
          <w:sz w:val="20"/>
          <w:szCs w:val="20"/>
          <w:color w:val="auto"/>
        </w:rPr>
      </w:pPr>
    </w:p>
    <w:p>
      <w:pPr>
        <w:ind w:left="4720"/>
        <w:spacing w:after="0"/>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Marko Lukin</w:t>
      </w:r>
    </w:p>
    <w:p>
      <w:pPr>
        <w:spacing w:after="0" w:line="13" w:lineRule="exact"/>
        <w:rPr>
          <w:sz w:val="20"/>
          <w:szCs w:val="20"/>
          <w:color w:val="auto"/>
        </w:rPr>
      </w:pP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39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11303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Douglas Darman</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3" w:name="page324"/>
    <w:bookmarkEnd w:id="323"/>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20"/>
          <w:szCs w:val="20"/>
          <w:color w:val="auto"/>
        </w:rPr>
        <w:t>BANK OF CHINA, NEW YORK BRANCH,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10401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ind w:left="4720"/>
        <w:spacing w:after="0" w:line="211" w:lineRule="auto"/>
        <w:tabs>
          <w:tab w:leader="none" w:pos="5420" w:val="left"/>
        </w:tabs>
        <w:rPr>
          <w:sz w:val="20"/>
          <w:szCs w:val="20"/>
          <w:color w:val="auto"/>
        </w:rPr>
      </w:pPr>
      <w:r>
        <w:rPr>
          <w:rFonts w:ascii="Times New Roman" w:cs="Times New Roman" w:eastAsia="Times New Roman" w:hAnsi="Times New Roman"/>
          <w:sz w:val="20"/>
          <w:szCs w:val="20"/>
          <w:color w:val="auto"/>
        </w:rPr>
        <w:t>Name:</w:t>
        <w:tab/>
        <w:t>Raymond Qiao</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tab/>
        <w:t>EVP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4" w:name="page325"/>
    <w:bookmarkEnd w:id="324"/>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CITIBANK, N.A.,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Huijuan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9772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4720"/>
        <w:spacing w:after="0" w:line="211" w:lineRule="auto"/>
        <w:tabs>
          <w:tab w:leader="none" w:pos="5420" w:val="left"/>
        </w:tabs>
        <w:rPr>
          <w:sz w:val="20"/>
          <w:szCs w:val="20"/>
          <w:color w:val="auto"/>
        </w:rPr>
      </w:pPr>
      <w:r>
        <w:rPr>
          <w:rFonts w:ascii="Times New Roman" w:cs="Times New Roman" w:eastAsia="Times New Roman" w:hAnsi="Times New Roman"/>
          <w:sz w:val="20"/>
          <w:szCs w:val="20"/>
          <w:color w:val="auto"/>
        </w:rPr>
        <w:t>Name:</w:t>
        <w:tab/>
        <w:t>Huijuan Chen</w:t>
      </w:r>
    </w:p>
    <w:p>
      <w:pPr>
        <w:jc w:val="right"/>
        <w:ind w:right="4180"/>
        <w:spacing w:after="0"/>
        <w:tabs>
          <w:tab w:leader="none" w:pos="17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5" w:name="page326"/>
    <w:bookmarkEnd w:id="325"/>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20"/>
          <w:szCs w:val="20"/>
          <w:color w:val="auto"/>
        </w:rPr>
        <w:t>BANK OF EAST ASIA, NEW YORK BRANCH, as a Lender</w:t>
      </w:r>
    </w:p>
    <w:p>
      <w:pPr>
        <w:spacing w:after="0" w:line="200" w:lineRule="exact"/>
        <w:rPr>
          <w:sz w:val="20"/>
          <w:szCs w:val="20"/>
          <w:color w:val="auto"/>
        </w:rPr>
      </w:pPr>
    </w:p>
    <w:p>
      <w:pPr>
        <w:spacing w:after="0" w:line="232"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Daniel Liao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-10795</wp:posOffset>
            </wp:positionV>
            <wp:extent cx="8724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8" w:lineRule="exact"/>
        <w:rPr>
          <w:sz w:val="20"/>
          <w:szCs w:val="20"/>
          <w:color w:val="auto"/>
        </w:rPr>
      </w:pPr>
    </w:p>
    <w:p>
      <w:pPr>
        <w:ind w:left="4720"/>
        <w:spacing w:after="0"/>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Daniel Liao</w:t>
      </w:r>
    </w:p>
    <w:p>
      <w:pPr>
        <w:spacing w:after="0" w:line="13" w:lineRule="exact"/>
        <w:rPr>
          <w:sz w:val="20"/>
          <w:szCs w:val="20"/>
          <w:color w:val="auto"/>
        </w:rPr>
      </w:pP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SVP</w:t>
      </w:r>
    </w:p>
    <w:p>
      <w:pPr>
        <w:spacing w:after="0" w:line="39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Paul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7816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Paul Shen</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6" w:name="page327"/>
    <w:bookmarkEnd w:id="326"/>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FIRST COMMERCIAL BANK LTD., NEW YORK BRANCH,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Chia-Feng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10890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Chia-Feng Shen</w:t>
      </w:r>
    </w:p>
    <w:p>
      <w:pPr>
        <w:ind w:left="4720"/>
        <w:spacing w:after="0" w:line="207" w:lineRule="auto"/>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 &amp; General</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7" w:name="page328"/>
    <w:bookmarkEnd w:id="327"/>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20"/>
          <w:szCs w:val="20"/>
          <w:color w:val="auto"/>
        </w:rPr>
        <w:t>TAIWAN BUSINESS BANK, as a Lender</w:t>
      </w:r>
    </w:p>
    <w:p>
      <w:pPr>
        <w:spacing w:after="0" w:line="200" w:lineRule="exact"/>
        <w:rPr>
          <w:sz w:val="20"/>
          <w:szCs w:val="20"/>
          <w:color w:val="auto"/>
        </w:rPr>
      </w:pPr>
    </w:p>
    <w:p>
      <w:pPr>
        <w:spacing w:after="0" w:line="213"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Ralph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-7620</wp:posOffset>
            </wp:positionV>
            <wp:extent cx="7835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ind w:left="4720"/>
        <w:spacing w:after="0" w:line="222" w:lineRule="auto"/>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Ralph Wu</w:t>
      </w: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8" w:name="page329"/>
    <w:bookmarkEnd w:id="328"/>
    <w:p>
      <w:pPr>
        <w:spacing w:after="0"/>
        <w:rPr>
          <w:sz w:val="20"/>
          <w:szCs w:val="20"/>
          <w:color w:val="auto"/>
        </w:rPr>
      </w:pPr>
      <w:r>
        <w:rPr>
          <w:rFonts w:ascii="Times New Roman" w:cs="Times New Roman" w:eastAsia="Times New Roman" w:hAnsi="Times New Roman"/>
          <w:sz w:val="19"/>
          <w:szCs w:val="19"/>
          <w:b w:val="1"/>
          <w:bCs w:val="1"/>
          <w:color w:val="auto"/>
        </w:rPr>
        <w:t>[Signature Page to First Amendment to Third Amended and Restated Credit Agreement with SL Green Operating Partnership, L.P.]</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20"/>
          <w:szCs w:val="20"/>
          <w:color w:val="auto"/>
        </w:rPr>
        <w:t>TAIWAN COOPERATIVE BANK, LOS ANGELES BRANCH, as a Lender</w:t>
      </w:r>
    </w:p>
    <w:p>
      <w:pPr>
        <w:spacing w:after="0" w:line="200" w:lineRule="exact"/>
        <w:rPr>
          <w:sz w:val="20"/>
          <w:szCs w:val="20"/>
          <w:color w:val="auto"/>
        </w:rPr>
      </w:pPr>
    </w:p>
    <w:p>
      <w:pPr>
        <w:spacing w:after="0" w:line="232"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Yenchen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-10795</wp:posOffset>
            </wp:positionV>
            <wp:extent cx="9156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8" w:lineRule="exact"/>
        <w:rPr>
          <w:sz w:val="20"/>
          <w:szCs w:val="20"/>
          <w:color w:val="auto"/>
        </w:rPr>
      </w:pPr>
    </w:p>
    <w:p>
      <w:pPr>
        <w:ind w:left="4720"/>
        <w:spacing w:after="0"/>
        <w:tabs>
          <w:tab w:leader="none" w:pos="5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Yenchen Liu</w:t>
      </w:r>
    </w:p>
    <w:p>
      <w:pPr>
        <w:spacing w:after="0" w:line="13" w:lineRule="exact"/>
        <w:rPr>
          <w:sz w:val="20"/>
          <w:szCs w:val="20"/>
          <w:color w:val="auto"/>
        </w:rPr>
      </w:pPr>
    </w:p>
    <w:p>
      <w:pPr>
        <w:ind w:left="472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VP &amp;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[Signatures Continued on Next Page]</w:t>
      </w:r>
    </w:p>
    <w:p>
      <w:pPr>
        <w:sectPr>
          <w:pgSz w:w="11900" w:h="16838" w:orient="portrait"/>
          <w:cols w:equalWidth="0" w:num="1">
            <w:col w:w="11220"/>
          </w:cols>
          <w:pgMar w:left="340" w:top="114" w:right="339" w:bottom="1440" w:gutter="0" w:footer="0" w:header="0"/>
          <w:type w:val="continuous"/>
        </w:sectPr>
      </w:pPr>
    </w:p>
    <w:bookmarkStart w:id="329" w:name="page330"/>
    <w:bookmarkEnd w:id="32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AMENDED CREDIT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9019"/>
          </w:cols>
          <w:pgMar w:left="1440" w:top="1440" w:right="1440"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20"/>
          <w:szCs w:val="20"/>
          <w:color w:val="auto"/>
        </w:rPr>
        <w:t>Loan Number: 1005546</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70C0"/>
        </w:rPr>
        <w:t>Conformed through First Amendment dated as of 03/18/2026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-140970</wp:posOffset>
            </wp:positionV>
            <wp:extent cx="728345" cy="7372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28345" cy="7372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1118870</wp:posOffset>
            </wp:positionV>
            <wp:extent cx="713232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1170305</wp:posOffset>
            </wp:positionV>
            <wp:extent cx="71323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spacing w:after="0" w:line="22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Dated as of December 6, 2021</w:t>
      </w:r>
    </w:p>
    <w:p>
      <w:pPr>
        <w:spacing w:after="0" w:line="21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by and among</w:t>
      </w:r>
    </w:p>
    <w:p>
      <w:pPr>
        <w:spacing w:after="0" w:line="22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Each of</w:t>
      </w:r>
    </w:p>
    <w:p>
      <w:pPr>
        <w:spacing w:after="0" w:line="21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8"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SL GREEN OPERATING PARTNERSHIP, L.P.,</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as a Borrower,</w:t>
      </w:r>
    </w:p>
    <w:p>
      <w:pPr>
        <w:spacing w:after="0" w:line="214"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20"/>
          <w:szCs w:val="20"/>
          <w:color w:val="auto"/>
        </w:rPr>
        <w:t>THE FINANCIAL INSTITUTIONS PARTY HERETO</w:t>
      </w:r>
    </w:p>
    <w:p>
      <w:pPr>
        <w:spacing w:after="0" w:line="22"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20"/>
          <w:szCs w:val="20"/>
          <w:color w:val="auto"/>
        </w:rPr>
        <w:t>AND THEIR ASSIGNEES UNDER SECTION 12.5.,</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as Lenders,</w:t>
      </w:r>
    </w:p>
    <w:p>
      <w:pPr>
        <w:spacing w:after="0" w:line="20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8"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14"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WELLS FARGO SECURITIES, LLC, JPMORGAN CHASE BANK, N.A.,</w:t>
      </w:r>
    </w:p>
    <w:p>
      <w:pPr>
        <w:spacing w:after="0" w:line="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u w:val="single" w:color="auto"/>
          <w:color w:val="0070C0"/>
        </w:rPr>
        <w:t>TD SECURITIES (USA) LLC and BOFA SECURITIES, INC.,</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u w:val="single" w:color="auto"/>
          <w:color w:val="00B050"/>
        </w:rPr>
        <w:t xml:space="preserve">as Joint Lead Arrangers and Joint Bookrunners for the </w:t>
      </w:r>
      <w:r>
        <w:rPr>
          <w:rFonts w:ascii="Times New Roman" w:cs="Times New Roman" w:eastAsia="Times New Roman" w:hAnsi="Times New Roman"/>
          <w:sz w:val="20"/>
          <w:szCs w:val="20"/>
          <w:u w:val="single" w:color="auto"/>
          <w:color w:val="0070C0"/>
        </w:rPr>
        <w:t>Revolving Credit Facility</w:t>
      </w:r>
    </w:p>
    <w:p>
      <w:pPr>
        <w:spacing w:after="0" w:line="200" w:lineRule="exact"/>
        <w:rPr>
          <w:sz w:val="20"/>
          <w:szCs w:val="20"/>
          <w:color w:val="auto"/>
        </w:rPr>
      </w:pPr>
    </w:p>
    <w:p>
      <w:pPr>
        <w:ind w:left="3500" w:right="1460" w:hanging="3088"/>
        <w:spacing w:after="0" w:line="310" w:lineRule="auto"/>
        <w:rPr>
          <w:sz w:val="20"/>
          <w:szCs w:val="20"/>
          <w:color w:val="auto"/>
        </w:rPr>
      </w:pPr>
      <w:r>
        <w:rPr>
          <w:rFonts w:ascii="Times New Roman" w:cs="Times New Roman" w:eastAsia="Times New Roman" w:hAnsi="Times New Roman"/>
          <w:sz w:val="19"/>
          <w:szCs w:val="19"/>
          <w:u w:val="single" w:color="auto"/>
          <w:color w:val="0070C0"/>
        </w:rPr>
        <w:t>BMO CAPITAL MARKETS CORP. and MANUFACTURERS AND TRADERS TRUST COMPANY, as Joint Lead Arrangers for the Revolving Credit Facility</w:t>
      </w:r>
    </w:p>
    <w:p>
      <w:pPr>
        <w:spacing w:after="0" w:line="138"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u w:val="single" w:color="auto"/>
          <w:color w:val="0070C0"/>
        </w:rPr>
        <w:t xml:space="preserve">WELLS FARGO SECURITIES, LLC, </w:t>
      </w:r>
      <w:r>
        <w:rPr>
          <w:rFonts w:ascii="Times New Roman" w:cs="Times New Roman" w:eastAsia="Times New Roman" w:hAnsi="Times New Roman"/>
          <w:sz w:val="20"/>
          <w:szCs w:val="20"/>
          <w:u w:val="single" w:color="auto"/>
          <w:color w:val="00B050"/>
        </w:rPr>
        <w:t>JPMORGAN CHASE BANK, N.A.,</w:t>
      </w:r>
    </w:p>
    <w:p>
      <w:pPr>
        <w:spacing w:after="0" w:line="2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DEUTSCHE BANK SECURITIES INC. and TD BANK, N.A.</w:t>
      </w:r>
    </w:p>
    <w:p>
      <w:pPr>
        <w:spacing w:after="0" w:line="6" w:lineRule="exact"/>
        <w:rPr>
          <w:sz w:val="20"/>
          <w:szCs w:val="20"/>
          <w:color w:val="auto"/>
        </w:rPr>
      </w:pPr>
    </w:p>
    <w:p>
      <w:pPr>
        <w:ind w:left="3500" w:right="180"/>
        <w:spacing w:after="0" w:line="253" w:lineRule="auto"/>
        <w:rPr>
          <w:sz w:val="20"/>
          <w:szCs w:val="20"/>
          <w:color w:val="auto"/>
        </w:rPr>
      </w:pPr>
      <w:r>
        <w:rPr>
          <w:rFonts w:ascii="Times New Roman" w:cs="Times New Roman" w:eastAsia="Times New Roman" w:hAnsi="Times New Roman"/>
          <w:sz w:val="20"/>
          <w:szCs w:val="20"/>
          <w:color w:val="auto"/>
        </w:rPr>
        <w:t xml:space="preserve">as Joint Lead Arrangers and Joint Bookrunners for the </w:t>
      </w:r>
      <w:r>
        <w:rPr>
          <w:rFonts w:ascii="Times New Roman" w:cs="Times New Roman" w:eastAsia="Times New Roman" w:hAnsi="Times New Roman"/>
          <w:sz w:val="20"/>
          <w:szCs w:val="20"/>
          <w:color w:val="FF0000"/>
          <w:strike w:val="1"/>
        </w:rPr>
        <w:t>Revolving Credit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Term A Loan Facility,</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BOFA SECURITIES, INC., BMO CAPITAL MARKETS CORP. and THE BANK OF NEW YORK MELLON</w:t>
      </w:r>
    </w:p>
    <w:p>
      <w:pPr>
        <w:spacing w:after="0" w:line="28" w:lineRule="exact"/>
        <w:rPr>
          <w:sz w:val="20"/>
          <w:szCs w:val="20"/>
          <w:color w:val="auto"/>
        </w:rPr>
      </w:pPr>
    </w:p>
    <w:p>
      <w:pPr>
        <w:ind w:left="3500" w:right="580"/>
        <w:spacing w:after="0" w:line="253" w:lineRule="auto"/>
        <w:rPr>
          <w:sz w:val="20"/>
          <w:szCs w:val="20"/>
          <w:color w:val="auto"/>
        </w:rPr>
      </w:pPr>
      <w:r>
        <w:rPr>
          <w:rFonts w:ascii="Times New Roman" w:cs="Times New Roman" w:eastAsia="Times New Roman" w:hAnsi="Times New Roman"/>
          <w:sz w:val="20"/>
          <w:szCs w:val="20"/>
          <w:color w:val="auto"/>
        </w:rPr>
        <w:t xml:space="preserve">as Joint Lead Arrangers for the </w:t>
      </w:r>
      <w:r>
        <w:rPr>
          <w:rFonts w:ascii="Times New Roman" w:cs="Times New Roman" w:eastAsia="Times New Roman" w:hAnsi="Times New Roman"/>
          <w:sz w:val="20"/>
          <w:szCs w:val="20"/>
          <w:color w:val="FF0000"/>
          <w:strike w:val="1"/>
        </w:rPr>
        <w:t>Revolving Credit Facility and</w:t>
      </w:r>
      <w:r>
        <w:rPr>
          <w:rFonts w:ascii="Times New Roman" w:cs="Times New Roman" w:eastAsia="Times New Roman" w:hAnsi="Times New Roman"/>
          <w:sz w:val="20"/>
          <w:szCs w:val="20"/>
          <w:color w:val="auto"/>
        </w:rPr>
        <w:t xml:space="preserve"> Term A Loan Facility,</w:t>
      </w:r>
    </w:p>
    <w:p>
      <w:pPr>
        <w:sectPr>
          <w:pgSz w:w="11900" w:h="16838" w:orient="portrait"/>
          <w:cols w:equalWidth="0" w:num="1">
            <w:col w:w="10060"/>
          </w:cols>
          <w:pgMar w:left="1440" w:top="157" w:right="399" w:bottom="1440" w:gutter="0" w:footer="0" w:header="0"/>
        </w:sectPr>
      </w:pPr>
    </w:p>
    <w:bookmarkStart w:id="331" w:name="page332"/>
    <w:bookmarkEnd w:id="3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Syndication Agent for the Revolving Credit Facility and Term A Loan Facility,</w:t>
      </w:r>
    </w:p>
    <w:p>
      <w:pPr>
        <w:spacing w:after="0" w:line="20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u w:val="single" w:color="auto"/>
          <w:color w:val="0070C0"/>
        </w:rPr>
        <w:t xml:space="preserve">TD BANK, N.A., </w:t>
      </w:r>
      <w:r>
        <w:rPr>
          <w:rFonts w:ascii="Times New Roman" w:cs="Times New Roman" w:eastAsia="Times New Roman" w:hAnsi="Times New Roman"/>
          <w:sz w:val="20"/>
          <w:szCs w:val="20"/>
          <w:u w:val="single" w:color="auto"/>
          <w:color w:val="00B050"/>
        </w:rPr>
        <w:t>BANK OF AMERICA, N.A.,</w:t>
      </w:r>
      <w:r>
        <w:rPr>
          <w:rFonts w:ascii="Times New Roman" w:cs="Times New Roman" w:eastAsia="Times New Roman" w:hAnsi="Times New Roman"/>
          <w:sz w:val="20"/>
          <w:szCs w:val="20"/>
          <w:u w:val="single" w:color="auto"/>
          <w:color w:val="0070C0"/>
        </w:rPr>
        <w:t xml:space="preserve"> BANK OF MONTREAL</w:t>
      </w:r>
    </w:p>
    <w:p>
      <w:pPr>
        <w:spacing w:after="0" w:line="2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u w:val="single" w:color="auto"/>
          <w:color w:val="0070C0"/>
        </w:rPr>
        <w:t>and MANUFACTURERS AND TRADERS TRUST COMPANY,</w:t>
      </w:r>
    </w:p>
    <w:p>
      <w:pPr>
        <w:spacing w:after="0" w:line="1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u w:val="single" w:color="auto"/>
          <w:color w:val="0070C0"/>
        </w:rPr>
        <w:t>as Documentation Agents for the Revolving Credit Facility</w:t>
      </w:r>
    </w:p>
    <w:p>
      <w:pPr>
        <w:spacing w:after="0" w:line="20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DEUTSCHE BANK SECURITIES INC., TD BANK, N.A.,</w:t>
      </w:r>
    </w:p>
    <w:p>
      <w:pPr>
        <w:spacing w:after="0" w:line="2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9"/>
          <w:szCs w:val="19"/>
          <w:color w:val="auto"/>
        </w:rPr>
        <w:t>BANK OF AMERICA, N.A., BANK OF MONTREAL and THE BANK OF NEW YORK MELLON</w:t>
      </w:r>
    </w:p>
    <w:p>
      <w:pPr>
        <w:spacing w:after="0" w:line="18" w:lineRule="exact"/>
        <w:rPr>
          <w:sz w:val="20"/>
          <w:szCs w:val="20"/>
          <w:color w:val="auto"/>
        </w:rPr>
      </w:pPr>
    </w:p>
    <w:p>
      <w:pPr>
        <w:ind w:left="3500" w:right="340"/>
        <w:spacing w:after="0" w:line="260" w:lineRule="auto"/>
        <w:rPr>
          <w:sz w:val="20"/>
          <w:szCs w:val="20"/>
          <w:color w:val="auto"/>
        </w:rPr>
      </w:pPr>
      <w:r>
        <w:rPr>
          <w:rFonts w:ascii="Times New Roman" w:cs="Times New Roman" w:eastAsia="Times New Roman" w:hAnsi="Times New Roman"/>
          <w:sz w:val="20"/>
          <w:szCs w:val="20"/>
          <w:color w:val="auto"/>
        </w:rPr>
        <w:t xml:space="preserve">as Documentation Agents for the </w:t>
      </w:r>
      <w:r>
        <w:rPr>
          <w:rFonts w:ascii="Times New Roman" w:cs="Times New Roman" w:eastAsia="Times New Roman" w:hAnsi="Times New Roman"/>
          <w:sz w:val="20"/>
          <w:szCs w:val="20"/>
          <w:color w:val="FF0000"/>
          <w:strike w:val="1"/>
        </w:rPr>
        <w:t>Revolving Credit Facility and</w:t>
      </w:r>
      <w:r>
        <w:rPr>
          <w:rFonts w:ascii="Times New Roman" w:cs="Times New Roman" w:eastAsia="Times New Roman" w:hAnsi="Times New Roman"/>
          <w:sz w:val="20"/>
          <w:szCs w:val="20"/>
          <w:color w:val="auto"/>
        </w:rPr>
        <w:t xml:space="preserve"> Term A Loan Facility,</w:t>
      </w:r>
    </w:p>
    <w:p>
      <w:pPr>
        <w:spacing w:after="0" w:line="1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FF0000"/>
          <w:strike w:val="1"/>
        </w:rPr>
        <w:t>WELLS FARGO SECURITIES, LLC, and U.S. BANK NATIONAL ASSOCIATION,</w:t>
      </w:r>
    </w:p>
    <w:p>
      <w:pPr>
        <w:spacing w:after="0" w:line="2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00B050"/>
          <w:strike w:val="1"/>
        </w:rPr>
        <w:t xml:space="preserve">as Joint Lead Arrangers and Joint Bookrunners for the </w:t>
      </w:r>
      <w:r>
        <w:rPr>
          <w:rFonts w:ascii="Times New Roman" w:cs="Times New Roman" w:eastAsia="Times New Roman" w:hAnsi="Times New Roman"/>
          <w:sz w:val="20"/>
          <w:szCs w:val="20"/>
          <w:color w:val="FF0000"/>
          <w:strike w:val="1"/>
        </w:rPr>
        <w:t>Term B Loan Facility</w:t>
      </w:r>
    </w:p>
    <w:p>
      <w:pPr>
        <w:spacing w:after="0" w:line="2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FF0000"/>
          <w:strike w:val="1"/>
        </w:rPr>
        <w:t>U.S. BANK NATIONAL ASSOCIATION,</w:t>
      </w:r>
    </w:p>
    <w:p>
      <w:pPr>
        <w:spacing w:after="0" w:line="2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FF0000"/>
          <w:strike w:val="1"/>
        </w:rPr>
        <w:t>as Syndication Agent for the Term B Loan Facility and</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WELLS FARGO BANK, NATIONAL ASSOCIATION, as Sustainability </w:t>
      </w:r>
      <w:r>
        <w:rPr>
          <w:rFonts w:ascii="Times New Roman" w:cs="Times New Roman" w:eastAsia="Times New Roman" w:hAnsi="Times New Roman"/>
          <w:sz w:val="20"/>
          <w:szCs w:val="20"/>
          <w:u w:val="single" w:color="auto"/>
          <w:color w:val="0070C0"/>
        </w:rPr>
        <w:t>Structuring</w:t>
      </w:r>
      <w:r>
        <w:rPr>
          <w:rFonts w:ascii="Times New Roman" w:cs="Times New Roman" w:eastAsia="Times New Roman" w:hAnsi="Times New Roman"/>
          <w:sz w:val="20"/>
          <w:szCs w:val="20"/>
          <w:color w:val="auto"/>
        </w:rPr>
        <w:t xml:space="preser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980"/>
          </w:cols>
          <w:pgMar w:left="1440" w:top="1440" w:right="479" w:bottom="1440" w:gutter="0" w:footer="0" w:header="0"/>
        </w:sectPr>
      </w:pPr>
    </w:p>
    <w:bookmarkStart w:id="332" w:name="page333"/>
    <w:bookmarkEnd w:id="332"/>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40" w:type="dxa"/>
            <w:vAlign w:val="bottom"/>
            <w:gridSpan w:val="3"/>
          </w:tcPr>
          <w:p>
            <w:pPr>
              <w:jc w:val="right"/>
              <w:ind w:right="1781"/>
              <w:spacing w:after="0"/>
              <w:rPr>
                <w:sz w:val="20"/>
                <w:szCs w:val="20"/>
                <w:color w:val="auto"/>
              </w:rPr>
            </w:pPr>
            <w:r>
              <w:rPr>
                <w:rFonts w:ascii="Times New Roman" w:cs="Times New Roman" w:eastAsia="Times New Roman" w:hAnsi="Times New Roman"/>
                <w:sz w:val="20"/>
                <w:szCs w:val="20"/>
                <w:color w:val="auto"/>
              </w:rPr>
              <w:t>TABLE OF CONTENTS</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73"/>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w:t>
            </w: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Definitions</w:t>
            </w:r>
          </w:p>
        </w:tc>
        <w:tc>
          <w:tcPr>
            <w:tcW w:w="3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1.2.</w:t>
            </w:r>
          </w:p>
        </w:tc>
        <w:tc>
          <w:tcPr>
            <w:tcW w:w="290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7"/>
              </w:rPr>
              <w:t>General; References to Eastern Time</w:t>
            </w:r>
          </w:p>
        </w:tc>
        <w:tc>
          <w:tcPr>
            <w:tcW w:w="6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45</w:t>
            </w:r>
          </w:p>
        </w:tc>
        <w:tc>
          <w:tcPr>
            <w:tcW w:w="3100" w:type="dxa"/>
            <w:vAlign w:val="bottom"/>
          </w:tcPr>
          <w:p>
            <w:pPr>
              <w:spacing w:after="0"/>
              <w:rPr>
                <w:sz w:val="23"/>
                <w:szCs w:val="23"/>
                <w:color w:val="auto"/>
              </w:rPr>
            </w:pP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1.3.</w:t>
            </w: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Divisions</w:t>
            </w:r>
          </w:p>
        </w:tc>
        <w:tc>
          <w:tcPr>
            <w:tcW w:w="3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w w:val="89"/>
              </w:rPr>
              <w:t>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1.4.</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Rates</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1.5.</w:t>
            </w:r>
          </w:p>
        </w:tc>
        <w:tc>
          <w:tcPr>
            <w:tcW w:w="66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Financial Attributes of Unconsolidated Affiliates  47</w:t>
            </w:r>
          </w:p>
        </w:tc>
      </w:tr>
      <w:tr>
        <w:trPr>
          <w:trHeight w:val="44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II. Credit Facility  47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84"/>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w:t>
            </w:r>
          </w:p>
        </w:tc>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Revolving Loans</w:t>
            </w:r>
          </w:p>
        </w:tc>
        <w:tc>
          <w:tcPr>
            <w:tcW w:w="78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color w:val="auto"/>
              </w:rPr>
              <w:t>47</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w:t>
            </w: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4"/>
              </w:rPr>
              <w:t>Term Loans</w:t>
            </w:r>
          </w:p>
        </w:tc>
        <w:tc>
          <w:tcPr>
            <w:tcW w:w="20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49</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2.3.</w:t>
            </w:r>
          </w:p>
        </w:tc>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Bid Rate Loans</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50</w:t>
            </w: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2.4.</w:t>
            </w:r>
          </w:p>
        </w:tc>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Letters of Credit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12"/>
        </w:trPr>
        <w:tc>
          <w:tcPr>
            <w:tcW w:w="182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Section 2.5.</w:t>
            </w:r>
          </w:p>
        </w:tc>
        <w:tc>
          <w:tcPr>
            <w:tcW w:w="132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FF0000"/>
                <w:strike w:val="1"/>
                <w:w w:val="96"/>
              </w:rPr>
              <w:t>Swingline Loans</w:t>
            </w:r>
          </w:p>
        </w:tc>
        <w:tc>
          <w:tcPr>
            <w:tcW w:w="880" w:type="dxa"/>
            <w:vAlign w:val="bottom"/>
            <w:tcBorders>
              <w:bottom w:val="single" w:sz="8" w:color="0070C0"/>
            </w:tcBorders>
            <w:gridSpan w:val="3"/>
          </w:tcPr>
          <w:p>
            <w:pPr>
              <w:spacing w:after="0" w:line="212" w:lineRule="exact"/>
              <w:rPr>
                <w:sz w:val="20"/>
                <w:szCs w:val="20"/>
                <w:color w:val="auto"/>
              </w:rPr>
            </w:pPr>
            <w:r>
              <w:rPr>
                <w:rFonts w:ascii="Times New Roman" w:cs="Times New Roman" w:eastAsia="Times New Roman" w:hAnsi="Times New Roman"/>
                <w:sz w:val="20"/>
                <w:szCs w:val="20"/>
                <w:color w:val="0070C0"/>
                <w:w w:val="97"/>
              </w:rPr>
              <w:t>[Reserved]</w:t>
            </w:r>
          </w:p>
        </w:tc>
        <w:tc>
          <w:tcPr>
            <w:tcW w:w="40" w:type="dxa"/>
            <w:vAlign w:val="bottom"/>
          </w:tcPr>
          <w:p>
            <w:pPr>
              <w:spacing w:after="0"/>
              <w:rPr>
                <w:sz w:val="18"/>
                <w:szCs w:val="18"/>
                <w:color w:val="auto"/>
              </w:rPr>
            </w:pPr>
          </w:p>
        </w:tc>
        <w:tc>
          <w:tcPr>
            <w:tcW w:w="660" w:type="dxa"/>
            <w:vAlign w:val="bottom"/>
          </w:tcPr>
          <w:p>
            <w:pPr>
              <w:jc w:val="right"/>
              <w:ind w:right="201"/>
              <w:spacing w:after="0" w:line="212" w:lineRule="exact"/>
              <w:rPr>
                <w:sz w:val="20"/>
                <w:szCs w:val="20"/>
                <w:color w:val="auto"/>
              </w:rPr>
            </w:pPr>
            <w:r>
              <w:rPr>
                <w:rFonts w:ascii="Times New Roman" w:cs="Times New Roman" w:eastAsia="Times New Roman" w:hAnsi="Times New Roman"/>
                <w:sz w:val="20"/>
                <w:szCs w:val="20"/>
                <w:color w:val="auto"/>
              </w:rPr>
              <w:t>58</w:t>
            </w:r>
          </w:p>
        </w:tc>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95"/>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2.6.</w:t>
            </w:r>
          </w:p>
        </w:tc>
        <w:tc>
          <w:tcPr>
            <w:tcW w:w="35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Rates and Payment of Interest on Loans  60</w:t>
            </w:r>
          </w:p>
        </w:tc>
        <w:tc>
          <w:tcPr>
            <w:tcW w:w="3100" w:type="dxa"/>
            <w:vAlign w:val="bottom"/>
          </w:tcPr>
          <w:p>
            <w:pPr>
              <w:spacing w:after="0"/>
              <w:rPr>
                <w:sz w:val="24"/>
                <w:szCs w:val="24"/>
                <w:color w:val="auto"/>
              </w:rPr>
            </w:pP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2.7.</w:t>
            </w:r>
          </w:p>
        </w:tc>
        <w:tc>
          <w:tcPr>
            <w:tcW w:w="22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Number of Interest Periods</w:t>
            </w: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61</w:t>
            </w: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2.8.</w:t>
            </w:r>
          </w:p>
        </w:tc>
        <w:tc>
          <w:tcPr>
            <w:tcW w:w="17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Repayment of Loans</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61</w:t>
            </w: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2.9.</w:t>
            </w:r>
          </w:p>
        </w:tc>
        <w:tc>
          <w:tcPr>
            <w:tcW w:w="1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Prepayments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2.10.</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7"/>
              </w:rPr>
              <w:t>Continuation</w:t>
            </w: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62</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2.11.</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Conversion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2.12.</w:t>
            </w:r>
          </w:p>
        </w:tc>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4"/>
              </w:rPr>
              <w:t>Notes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2.13.</w:t>
            </w:r>
          </w:p>
        </w:tc>
        <w:tc>
          <w:tcPr>
            <w:tcW w:w="66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Voluntary Reductions of the Revolving Commitment  63</w:t>
            </w: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2.14.</w:t>
            </w:r>
          </w:p>
        </w:tc>
        <w:tc>
          <w:tcPr>
            <w:tcW w:w="358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Extension of Revolving Termination Date</w:t>
            </w:r>
          </w:p>
        </w:tc>
        <w:tc>
          <w:tcPr>
            <w:tcW w:w="3100" w:type="dxa"/>
            <w:vAlign w:val="bottom"/>
          </w:tcPr>
          <w:p>
            <w:pPr>
              <w:jc w:val="right"/>
              <w:ind w:right="2781"/>
              <w:spacing w:after="0"/>
              <w:rPr>
                <w:sz w:val="20"/>
                <w:szCs w:val="20"/>
                <w:color w:val="auto"/>
              </w:rPr>
            </w:pPr>
            <w:r>
              <w:rPr>
                <w:rFonts w:ascii="Times New Roman" w:cs="Times New Roman" w:eastAsia="Times New Roman" w:hAnsi="Times New Roman"/>
                <w:sz w:val="20"/>
                <w:szCs w:val="20"/>
                <w:color w:val="auto"/>
                <w:w w:val="99"/>
              </w:rPr>
              <w:t>64</w:t>
            </w: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2.15.</w:t>
            </w:r>
          </w:p>
        </w:tc>
        <w:tc>
          <w:tcPr>
            <w:tcW w:w="66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w w:val="99"/>
              </w:rPr>
              <w:t>Expiration Date of Letters of Credit Past Revolving Commitment Termination  64</w:t>
            </w: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2.16.</w:t>
            </w:r>
          </w:p>
        </w:tc>
        <w:tc>
          <w:tcPr>
            <w:tcW w:w="358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w w:val="98"/>
              </w:rPr>
              <w:t>Joint and Several Liability of the Borrowers</w:t>
            </w:r>
          </w:p>
        </w:tc>
        <w:tc>
          <w:tcPr>
            <w:tcW w:w="3100" w:type="dxa"/>
            <w:vAlign w:val="bottom"/>
          </w:tcPr>
          <w:p>
            <w:pPr>
              <w:jc w:val="right"/>
              <w:ind w:right="2601"/>
              <w:spacing w:after="0"/>
              <w:rPr>
                <w:sz w:val="20"/>
                <w:szCs w:val="20"/>
                <w:color w:val="auto"/>
              </w:rPr>
            </w:pPr>
            <w:r>
              <w:rPr>
                <w:rFonts w:ascii="Times New Roman" w:cs="Times New Roman" w:eastAsia="Times New Roman" w:hAnsi="Times New Roman"/>
                <w:sz w:val="20"/>
                <w:szCs w:val="20"/>
                <w:color w:val="auto"/>
              </w:rPr>
              <w:t>65</w:t>
            </w: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2.17.</w:t>
            </w:r>
          </w:p>
        </w:tc>
        <w:tc>
          <w:tcPr>
            <w:tcW w:w="224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Borrower Representative</w:t>
            </w: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66</w:t>
            </w: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2.18.</w:t>
            </w:r>
          </w:p>
        </w:tc>
        <w:tc>
          <w:tcPr>
            <w:tcW w:w="17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w w:val="98"/>
              </w:rPr>
              <w:t>Amount Limitations</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w:t>
            </w: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2.19.</w:t>
            </w:r>
          </w:p>
        </w:tc>
        <w:tc>
          <w:tcPr>
            <w:tcW w:w="224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Increase in Commitments</w:t>
            </w:r>
          </w:p>
        </w:tc>
        <w:tc>
          <w:tcPr>
            <w:tcW w:w="66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66</w:t>
            </w: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2.20.</w:t>
            </w:r>
          </w:p>
        </w:tc>
        <w:tc>
          <w:tcPr>
            <w:tcW w:w="29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Funds Transfer Disbursements  68</w:t>
            </w: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459"/>
        </w:trPr>
        <w:tc>
          <w:tcPr>
            <w:tcW w:w="472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Article III. Payments, Fees and Other General Provisions</w:t>
            </w:r>
          </w:p>
        </w:tc>
        <w:tc>
          <w:tcPr>
            <w:tcW w:w="6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69</w:t>
            </w:r>
          </w:p>
        </w:tc>
        <w:tc>
          <w:tcPr>
            <w:tcW w:w="3100" w:type="dxa"/>
            <w:vAlign w:val="bottom"/>
          </w:tcPr>
          <w:p>
            <w:pPr>
              <w:spacing w:after="0"/>
              <w:rPr>
                <w:sz w:val="24"/>
                <w:szCs w:val="24"/>
                <w:color w:val="auto"/>
              </w:rPr>
            </w:pPr>
          </w:p>
        </w:tc>
      </w:tr>
      <w:tr>
        <w:trPr>
          <w:trHeight w:val="472"/>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w:t>
            </w: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Payments</w:t>
            </w: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99"/>
              </w:rPr>
              <w:t>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w:t>
            </w:r>
          </w:p>
        </w:tc>
        <w:tc>
          <w:tcPr>
            <w:tcW w:w="17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Pro Rata Treatment</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89"/>
              </w:rPr>
              <w:t>70</w:t>
            </w: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58"/>
        </w:trPr>
        <w:tc>
          <w:tcPr>
            <w:tcW w:w="4720" w:type="dxa"/>
            <w:vAlign w:val="bottom"/>
            <w:gridSpan w:val="10"/>
          </w:tcPr>
          <w:p>
            <w:pPr>
              <w:ind w:left="660"/>
              <w:spacing w:after="0"/>
              <w:rPr>
                <w:sz w:val="20"/>
                <w:szCs w:val="20"/>
                <w:color w:val="auto"/>
              </w:rPr>
            </w:pPr>
            <w:r>
              <w:rPr>
                <w:rFonts w:ascii="Times New Roman" w:cs="Times New Roman" w:eastAsia="Times New Roman" w:hAnsi="Times New Roman"/>
                <w:sz w:val="20"/>
                <w:szCs w:val="20"/>
                <w:color w:val="auto"/>
              </w:rPr>
              <w:t>Section 3.3.  Sharing of Payments, Etc.  70</w:t>
            </w: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3.4.</w:t>
            </w:r>
          </w:p>
        </w:tc>
        <w:tc>
          <w:tcPr>
            <w:tcW w:w="17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Several Obligations</w:t>
            </w:r>
          </w:p>
        </w:tc>
        <w:tc>
          <w:tcPr>
            <w:tcW w:w="4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71</w:t>
            </w: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3.5.</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Fees</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71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3.6.</w:t>
            </w:r>
          </w:p>
        </w:tc>
        <w:tc>
          <w:tcPr>
            <w:tcW w:w="11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Computations</w:t>
            </w:r>
          </w:p>
        </w:tc>
        <w:tc>
          <w:tcPr>
            <w:tcW w:w="58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72</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6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3.7.</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Usury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58"/>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3.8.</w:t>
            </w:r>
          </w:p>
        </w:tc>
        <w:tc>
          <w:tcPr>
            <w:tcW w:w="22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Statements of Account  73</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3.9.</w:t>
            </w:r>
          </w:p>
        </w:tc>
        <w:tc>
          <w:tcPr>
            <w:tcW w:w="17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Defaulting Lenders</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89"/>
              </w:rPr>
              <w:t>73</w:t>
            </w: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r>
        <w:trPr>
          <w:trHeight w:val="27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3.10.</w:t>
            </w:r>
          </w:p>
        </w:tc>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2"/>
              </w:rPr>
              <w:t>Taxes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i -</w:t>
      </w:r>
    </w:p>
    <w:p>
      <w:pPr>
        <w:sectPr>
          <w:pgSz w:w="11900" w:h="16838" w:orient="portrait"/>
          <w:cols w:equalWidth="0" w:num="1">
            <w:col w:w="10139"/>
          </w:cols>
          <w:pgMar w:left="320" w:top="1440" w:right="1440" w:bottom="1440" w:gutter="0" w:footer="0" w:header="0"/>
          <w:type w:val="continuous"/>
        </w:sectPr>
      </w:pPr>
    </w:p>
    <w:bookmarkStart w:id="333" w:name="page334"/>
    <w:bookmarkEnd w:id="333"/>
    <w:tbl>
      <w:tblPr>
        <w:tblLayout w:type="fixed"/>
        <w:tblInd w:w="0" w:type="dxa"/>
        <w:tblCellMar>
          <w:top w:w="0" w:type="dxa"/>
          <w:left w:w="0" w:type="dxa"/>
          <w:bottom w:w="0" w:type="dxa"/>
          <w:right w:w="0" w:type="dxa"/>
        </w:tblCellMar>
      </w:tblPr>
      <w:tr>
        <w:trPr>
          <w:trHeight w:val="22"/>
        </w:trPr>
        <w:tc>
          <w:tcPr>
            <w:tcW w:w="660" w:type="dxa"/>
            <w:vAlign w:val="bottom"/>
          </w:tcPr>
          <w:p>
            <w:pPr>
              <w:spacing w:after="0" w:line="20" w:lineRule="exact"/>
              <w:rPr>
                <w:sz w:val="1"/>
                <w:szCs w:val="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20"/>
                <w:szCs w:val="20"/>
                <w:color w:val="FF0000"/>
                <w:strike w:val="1"/>
              </w:rPr>
              <w:t>Section 3.11.</w:t>
            </w:r>
          </w:p>
        </w:tc>
        <w:tc>
          <w:tcPr>
            <w:tcW w:w="1880" w:type="dxa"/>
            <w:vAlign w:val="bottom"/>
            <w:gridSpan w:val="5"/>
            <w:vMerge w:val="restart"/>
          </w:tcPr>
          <w:p>
            <w:pPr>
              <w:ind w:left="140"/>
              <w:spacing w:after="0"/>
              <w:rPr>
                <w:sz w:val="20"/>
                <w:szCs w:val="20"/>
                <w:color w:val="auto"/>
              </w:rPr>
            </w:pPr>
            <w:r>
              <w:rPr>
                <w:rFonts w:ascii="Times New Roman" w:cs="Times New Roman" w:eastAsia="Times New Roman" w:hAnsi="Times New Roman"/>
                <w:sz w:val="20"/>
                <w:szCs w:val="20"/>
                <w:color w:val="FF0000"/>
                <w:strike w:val="1"/>
                <w:w w:val="99"/>
              </w:rPr>
              <w:t>Sustainability Pricing</w:t>
            </w:r>
          </w:p>
        </w:tc>
        <w:tc>
          <w:tcPr>
            <w:tcW w:w="1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80</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88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IV. Yield Protection, Etc.  81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4.1.</w:t>
            </w:r>
          </w:p>
        </w:tc>
        <w:tc>
          <w:tcPr>
            <w:tcW w:w="306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Additional Costs; Capital Adequacy</w:t>
            </w:r>
          </w:p>
        </w:tc>
        <w:tc>
          <w:tcPr>
            <w:tcW w:w="142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rPr>
              <w:t>81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4.2.</w:t>
            </w:r>
          </w:p>
        </w:tc>
        <w:tc>
          <w:tcPr>
            <w:tcW w:w="448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auto"/>
              </w:rPr>
              <w:t>Suspension of SOFR Loans and SOFR Margin Loans</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82</w:t>
            </w: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4.3.</w:t>
            </w:r>
          </w:p>
        </w:tc>
        <w:tc>
          <w:tcPr>
            <w:tcW w:w="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Illegality</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4.4.</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Compensation</w:t>
            </w:r>
          </w:p>
        </w:tc>
        <w:tc>
          <w:tcPr>
            <w:tcW w:w="4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4.5.</w:t>
            </w:r>
          </w:p>
        </w:tc>
        <w:tc>
          <w:tcPr>
            <w:tcW w:w="306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Treatment of Affected Loans  86</w:t>
            </w: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4.6.</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Affected Lenders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4.7.</w:t>
            </w:r>
          </w:p>
        </w:tc>
        <w:tc>
          <w:tcPr>
            <w:tcW w:w="23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Change of Lending 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87</w:t>
            </w: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V. Conditions Precedent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5.1.</w:t>
            </w:r>
          </w:p>
        </w:tc>
        <w:tc>
          <w:tcPr>
            <w:tcW w:w="23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w w:val="98"/>
              </w:rPr>
              <w:t>Initial Conditions Precedent</w:t>
            </w:r>
          </w:p>
        </w:tc>
        <w:tc>
          <w:tcPr>
            <w:tcW w:w="76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88</w:t>
            </w: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5.2.</w:t>
            </w:r>
          </w:p>
        </w:tc>
        <w:tc>
          <w:tcPr>
            <w:tcW w:w="448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auto"/>
                <w:w w:val="98"/>
              </w:rPr>
              <w:t>Conditions Precedent to All Loans and Letters of Credit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446"/>
        </w:trPr>
        <w:tc>
          <w:tcPr>
            <w:tcW w:w="346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Article VI. Representations and Warranties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6.1.</w:t>
            </w:r>
          </w:p>
        </w:tc>
        <w:tc>
          <w:tcPr>
            <w:tcW w:w="26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w w:val="99"/>
              </w:rPr>
              <w:t>Representations and Warranties</w:t>
            </w: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90</w:t>
            </w: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5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Section 6.2.  Survival of Representations and Warranties, Etc.  97</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VII. Affirmative Covenants</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97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7.1.</w:t>
            </w:r>
          </w:p>
        </w:tc>
        <w:tc>
          <w:tcPr>
            <w:tcW w:w="448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auto"/>
              </w:rPr>
              <w:t>Preservation of Existence and Similar Matters  97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7.2.</w:t>
            </w:r>
          </w:p>
        </w:tc>
        <w:tc>
          <w:tcPr>
            <w:tcW w:w="448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auto"/>
              </w:rPr>
              <w:t>Compliance with Applicable Law  97</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7.3.</w:t>
            </w:r>
          </w:p>
        </w:tc>
        <w:tc>
          <w:tcPr>
            <w:tcW w:w="20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Maintenance of Property</w:t>
            </w:r>
          </w:p>
        </w:tc>
        <w:tc>
          <w:tcPr>
            <w:tcW w:w="56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rPr>
              <w:t>97</w:t>
            </w: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7.4.</w:t>
            </w: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7"/>
              </w:rPr>
              <w:t>Conduct of Business</w:t>
            </w:r>
          </w:p>
        </w:tc>
        <w:tc>
          <w:tcPr>
            <w:tcW w:w="180" w:type="dxa"/>
            <w:vAlign w:val="bottom"/>
          </w:tcPr>
          <w:p>
            <w:pPr>
              <w:spacing w:after="0"/>
              <w:rPr>
                <w:sz w:val="22"/>
                <w:szCs w:val="22"/>
                <w:color w:val="auto"/>
              </w:rPr>
            </w:pP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89"/>
              </w:rPr>
              <w:t>98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7.5.</w:t>
            </w:r>
          </w:p>
        </w:tc>
        <w:tc>
          <w:tcPr>
            <w:tcW w:w="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Insurance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7.6.</w:t>
            </w:r>
          </w:p>
        </w:tc>
        <w:tc>
          <w:tcPr>
            <w:tcW w:w="26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Payment of Taxes and Claims</w:t>
            </w: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9"/>
              </w:rPr>
              <w:t>98</w:t>
            </w: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7.7.</w:t>
            </w:r>
          </w:p>
        </w:tc>
        <w:tc>
          <w:tcPr>
            <w:tcW w:w="26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w w:val="97"/>
              </w:rPr>
              <w:t>Books and Records; Inspections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7.8.</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3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w w:val="99"/>
              </w:rPr>
              <w:t>98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7.9.</w:t>
            </w:r>
          </w:p>
        </w:tc>
        <w:tc>
          <w:tcPr>
            <w:tcW w:w="18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7"/>
              </w:rPr>
              <w:t>Environmental Matters</w:t>
            </w:r>
          </w:p>
        </w:tc>
        <w:tc>
          <w:tcPr>
            <w:tcW w:w="160" w:type="dxa"/>
            <w:vAlign w:val="bottom"/>
          </w:tcPr>
          <w:p>
            <w:pPr>
              <w:spacing w:after="0"/>
              <w:rPr>
                <w:sz w:val="22"/>
                <w:szCs w:val="22"/>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9"/>
              </w:rPr>
              <w:t>99</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7.10.</w:t>
            </w: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8"/>
              </w:rPr>
              <w:t>Further Assurances</w:t>
            </w:r>
          </w:p>
        </w:tc>
        <w:tc>
          <w:tcPr>
            <w:tcW w:w="180" w:type="dxa"/>
            <w:vAlign w:val="bottom"/>
          </w:tcPr>
          <w:p>
            <w:pPr>
              <w:spacing w:after="0"/>
              <w:rPr>
                <w:sz w:val="23"/>
                <w:szCs w:val="23"/>
                <w:color w:val="auto"/>
              </w:rPr>
            </w:pP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89"/>
              </w:rPr>
              <w:t>99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7.11.</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REIT Status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7.12.</w:t>
            </w: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Exchange Listing</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VIII. Information  100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8.1.</w:t>
            </w:r>
          </w:p>
        </w:tc>
        <w:tc>
          <w:tcPr>
            <w:tcW w:w="26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Quarterly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8.2.</w:t>
            </w:r>
          </w:p>
        </w:tc>
        <w:tc>
          <w:tcPr>
            <w:tcW w:w="18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Year-End Statements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100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8.3.</w:t>
            </w:r>
          </w:p>
        </w:tc>
        <w:tc>
          <w:tcPr>
            <w:tcW w:w="20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Compliance Certificate</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8.4.</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Other Information</w:t>
            </w:r>
          </w:p>
        </w:tc>
        <w:tc>
          <w:tcPr>
            <w:tcW w:w="180" w:type="dxa"/>
            <w:vAlign w:val="bottom"/>
          </w:tcPr>
          <w:p>
            <w:pPr>
              <w:spacing w:after="0"/>
              <w:rPr>
                <w:sz w:val="23"/>
                <w:szCs w:val="2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101</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8.5.</w:t>
            </w:r>
          </w:p>
        </w:tc>
        <w:tc>
          <w:tcPr>
            <w:tcW w:w="448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auto"/>
              </w:rPr>
              <w:t>Electronic Delivery of Certain Information  103</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8.6.</w:t>
            </w:r>
          </w:p>
        </w:tc>
        <w:tc>
          <w:tcPr>
            <w:tcW w:w="23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Public/Private Information</w:t>
            </w:r>
          </w:p>
        </w:tc>
        <w:tc>
          <w:tcPr>
            <w:tcW w:w="76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103</w:t>
            </w: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Section 8.7.</w:t>
            </w:r>
          </w:p>
        </w:tc>
        <w:tc>
          <w:tcPr>
            <w:tcW w:w="306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USA Patriot Act Notice; Compliance</w:t>
            </w:r>
          </w:p>
        </w:tc>
        <w:tc>
          <w:tcPr>
            <w:tcW w:w="1420" w:type="dxa"/>
            <w:vAlign w:val="bottom"/>
          </w:tcPr>
          <w:p>
            <w:pPr>
              <w:jc w:val="right"/>
              <w:ind w:right="881"/>
              <w:spacing w:after="0"/>
              <w:rPr>
                <w:sz w:val="20"/>
                <w:szCs w:val="20"/>
                <w:color w:val="auto"/>
              </w:rPr>
            </w:pPr>
            <w:r>
              <w:rPr>
                <w:rFonts w:ascii="Times New Roman" w:cs="Times New Roman" w:eastAsia="Times New Roman" w:hAnsi="Times New Roman"/>
                <w:sz w:val="20"/>
                <w:szCs w:val="20"/>
                <w:color w:val="auto"/>
              </w:rPr>
              <w:t>103</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 ii -</w:t>
      </w:r>
    </w:p>
    <w:p>
      <w:pPr>
        <w:sectPr>
          <w:pgSz w:w="11900" w:h="16838" w:orient="portrait"/>
          <w:cols w:equalWidth="0" w:num="1">
            <w:col w:w="10139"/>
          </w:cols>
          <w:pgMar w:left="320" w:top="1440" w:right="1440" w:bottom="1440" w:gutter="0" w:footer="0" w:header="0"/>
          <w:type w:val="continuous"/>
        </w:sectPr>
      </w:pPr>
    </w:p>
    <w:bookmarkStart w:id="334" w:name="page335"/>
    <w:bookmarkEnd w:id="334"/>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7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IX. Negative Covenants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3"/>
              </w:rPr>
              <w:t>104</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84"/>
        </w:trPr>
        <w:tc>
          <w:tcPr>
            <w:tcW w:w="6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9.1.</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Financial Covenants</w:t>
            </w: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104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9.2.</w:t>
            </w: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Liens; Negative Pledge</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9.3.</w:t>
            </w:r>
          </w:p>
        </w:tc>
        <w:tc>
          <w:tcPr>
            <w:tcW w:w="7000" w:type="dxa"/>
            <w:vAlign w:val="bottom"/>
            <w:gridSpan w:val="13"/>
          </w:tcPr>
          <w:p>
            <w:pPr>
              <w:ind w:left="20"/>
              <w:spacing w:after="0"/>
              <w:rPr>
                <w:sz w:val="20"/>
                <w:szCs w:val="20"/>
                <w:color w:val="auto"/>
              </w:rPr>
            </w:pPr>
            <w:r>
              <w:rPr>
                <w:rFonts w:ascii="Times New Roman" w:cs="Times New Roman" w:eastAsia="Times New Roman" w:hAnsi="Times New Roman"/>
                <w:sz w:val="20"/>
                <w:szCs w:val="20"/>
                <w:color w:val="auto"/>
              </w:rPr>
              <w:t>Merger, Consolidation, Sales of Assets and Other Arrangements  106</w:t>
            </w: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9.4.</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Plans</w:t>
            </w:r>
          </w:p>
        </w:tc>
        <w:tc>
          <w:tcPr>
            <w:tcW w:w="88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106</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0"/>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9.5.</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3"/>
              </w:rPr>
              <w:t>Fiscal Year</w:t>
            </w: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107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9.6.</w:t>
            </w:r>
          </w:p>
        </w:tc>
        <w:tc>
          <w:tcPr>
            <w:tcW w:w="3520" w:type="dxa"/>
            <w:vAlign w:val="bottom"/>
            <w:gridSpan w:val="11"/>
          </w:tcPr>
          <w:p>
            <w:pPr>
              <w:ind w:left="20"/>
              <w:spacing w:after="0"/>
              <w:rPr>
                <w:sz w:val="20"/>
                <w:szCs w:val="20"/>
                <w:color w:val="auto"/>
              </w:rPr>
            </w:pPr>
            <w:r>
              <w:rPr>
                <w:rFonts w:ascii="Times New Roman" w:cs="Times New Roman" w:eastAsia="Times New Roman" w:hAnsi="Times New Roman"/>
                <w:sz w:val="20"/>
                <w:szCs w:val="20"/>
                <w:color w:val="auto"/>
                <w:w w:val="98"/>
              </w:rPr>
              <w:t>Modifications of Organizational Documents</w:t>
            </w:r>
          </w:p>
        </w:tc>
        <w:tc>
          <w:tcPr>
            <w:tcW w:w="2980" w:type="dxa"/>
            <w:vAlign w:val="bottom"/>
          </w:tcPr>
          <w:p>
            <w:pPr>
              <w:jc w:val="right"/>
              <w:ind w:right="2401"/>
              <w:spacing w:after="0"/>
              <w:rPr>
                <w:sz w:val="20"/>
                <w:szCs w:val="20"/>
                <w:color w:val="auto"/>
              </w:rPr>
            </w:pPr>
            <w:r>
              <w:rPr>
                <w:rFonts w:ascii="Times New Roman" w:cs="Times New Roman" w:eastAsia="Times New Roman" w:hAnsi="Times New Roman"/>
                <w:sz w:val="20"/>
                <w:szCs w:val="20"/>
                <w:color w:val="auto"/>
              </w:rPr>
              <w:t>107</w:t>
            </w:r>
          </w:p>
        </w:tc>
        <w:tc>
          <w:tcPr>
            <w:tcW w:w="50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814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Section 9.7.  Restrictions on Activities of SL Green Management Corp.  107</w:t>
            </w: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9.8.</w:t>
            </w: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107</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9.9.</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8"/>
              </w:rPr>
              <w:t>Derivatives Contracts</w:t>
            </w:r>
          </w:p>
        </w:tc>
        <w:tc>
          <w:tcPr>
            <w:tcW w:w="6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107</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23"/>
        </w:trPr>
        <w:tc>
          <w:tcPr>
            <w:tcW w:w="660" w:type="dxa"/>
            <w:vAlign w:val="bottom"/>
          </w:tcPr>
          <w:p>
            <w:pPr>
              <w:spacing w:after="0"/>
              <w:rPr>
                <w:sz w:val="19"/>
                <w:szCs w:val="19"/>
                <w:color w:val="auto"/>
              </w:rPr>
            </w:pPr>
          </w:p>
        </w:tc>
        <w:tc>
          <w:tcPr>
            <w:tcW w:w="1140" w:type="dxa"/>
            <w:vAlign w:val="bottom"/>
            <w:tcBorders>
              <w:bottom w:val="single" w:sz="8" w:color="0070C0"/>
            </w:tcBorders>
          </w:tcPr>
          <w:p>
            <w:pPr>
              <w:spacing w:after="0" w:line="224" w:lineRule="exact"/>
              <w:rPr>
                <w:sz w:val="20"/>
                <w:szCs w:val="20"/>
                <w:color w:val="auto"/>
              </w:rPr>
            </w:pPr>
            <w:r>
              <w:rPr>
                <w:rFonts w:ascii="Times New Roman" w:cs="Times New Roman" w:eastAsia="Times New Roman" w:hAnsi="Times New Roman"/>
                <w:sz w:val="20"/>
                <w:szCs w:val="20"/>
                <w:color w:val="0070C0"/>
              </w:rPr>
              <w:t>Section 9.10.</w:t>
            </w:r>
          </w:p>
        </w:tc>
        <w:tc>
          <w:tcPr>
            <w:tcW w:w="2380" w:type="dxa"/>
            <w:vAlign w:val="bottom"/>
            <w:tcBorders>
              <w:bottom w:val="single" w:sz="8" w:color="0070C0"/>
            </w:tcBorders>
            <w:gridSpan w:val="6"/>
          </w:tcPr>
          <w:p>
            <w:pPr>
              <w:ind w:left="120"/>
              <w:spacing w:after="0" w:line="224" w:lineRule="exact"/>
              <w:rPr>
                <w:sz w:val="20"/>
                <w:szCs w:val="20"/>
                <w:color w:val="auto"/>
              </w:rPr>
            </w:pPr>
            <w:r>
              <w:rPr>
                <w:rFonts w:ascii="Times New Roman" w:cs="Times New Roman" w:eastAsia="Times New Roman" w:hAnsi="Times New Roman"/>
                <w:sz w:val="20"/>
                <w:szCs w:val="20"/>
                <w:color w:val="0070C0"/>
                <w:w w:val="98"/>
              </w:rPr>
              <w:t>Outbound Investment Status</w:t>
            </w:r>
          </w:p>
        </w:tc>
        <w:tc>
          <w:tcPr>
            <w:tcW w:w="480" w:type="dxa"/>
            <w:vAlign w:val="bottom"/>
            <w:tcBorders>
              <w:bottom w:val="single" w:sz="8" w:color="0070C0"/>
            </w:tcBorders>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0070C0"/>
              </w:rPr>
              <w:t>108</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86"/>
        </w:trPr>
        <w:tc>
          <w:tcPr>
            <w:tcW w:w="2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X. Default  108</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Events of Default  108</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29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3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111</w:t>
            </w: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7"/>
              </w:rPr>
              <w:t>Remedies Upon Default</w:t>
            </w:r>
          </w:p>
        </w:tc>
        <w:tc>
          <w:tcPr>
            <w:tcW w:w="7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112</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0"/>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29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Marshaling; Payments Set Aside</w:t>
            </w: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112</w:t>
            </w: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10.5.</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Allocation of Proceeds</w:t>
            </w: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112</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29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w w:val="98"/>
              </w:rPr>
              <w:t>Letter of Credit Collateral Account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113</w:t>
            </w: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10.7.</w:t>
            </w:r>
          </w:p>
        </w:tc>
        <w:tc>
          <w:tcPr>
            <w:tcW w:w="700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Performance by Administrative Agent  115</w:t>
            </w: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Rights Cumulative</w:t>
            </w:r>
          </w:p>
        </w:tc>
        <w:tc>
          <w:tcPr>
            <w:tcW w:w="62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w w:val="99"/>
              </w:rPr>
              <w:t>115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59"/>
        </w:trPr>
        <w:tc>
          <w:tcPr>
            <w:tcW w:w="31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Article XI. The Administrative Agent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115</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11.1.</w:t>
            </w:r>
          </w:p>
        </w:tc>
        <w:tc>
          <w:tcPr>
            <w:tcW w:w="352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Appointment and Authorization  115</w:t>
            </w:r>
          </w:p>
        </w:tc>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11.2.</w:t>
            </w: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Wells Fargo as Lender</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11.3.</w:t>
            </w: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Approvals of Lenders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117</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11.4.</w:t>
            </w:r>
          </w:p>
        </w:tc>
        <w:tc>
          <w:tcPr>
            <w:tcW w:w="23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Notice of Events of Default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117</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11.5.</w:t>
            </w:r>
          </w:p>
        </w:tc>
        <w:tc>
          <w:tcPr>
            <w:tcW w:w="29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Administrative Agent’s Reliance</w:t>
            </w: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11.6.</w:t>
            </w:r>
          </w:p>
        </w:tc>
        <w:tc>
          <w:tcPr>
            <w:tcW w:w="352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Indemnification of Administrative Agent</w:t>
            </w:r>
          </w:p>
        </w:tc>
        <w:tc>
          <w:tcPr>
            <w:tcW w:w="2980" w:type="dxa"/>
            <w:vAlign w:val="bottom"/>
          </w:tcPr>
          <w:p>
            <w:pPr>
              <w:jc w:val="right"/>
              <w:ind w:right="2561"/>
              <w:spacing w:after="0"/>
              <w:rPr>
                <w:sz w:val="20"/>
                <w:szCs w:val="20"/>
                <w:color w:val="auto"/>
              </w:rPr>
            </w:pPr>
            <w:r>
              <w:rPr>
                <w:rFonts w:ascii="Times New Roman" w:cs="Times New Roman" w:eastAsia="Times New Roman" w:hAnsi="Times New Roman"/>
                <w:sz w:val="20"/>
                <w:szCs w:val="20"/>
                <w:color w:val="auto"/>
                <w:w w:val="99"/>
              </w:rPr>
              <w:t>118</w:t>
            </w:r>
          </w:p>
        </w:tc>
        <w:tc>
          <w:tcPr>
            <w:tcW w:w="500" w:type="dxa"/>
            <w:vAlign w:val="bottom"/>
          </w:tcPr>
          <w:p>
            <w:pPr>
              <w:spacing w:after="0"/>
              <w:rPr>
                <w:sz w:val="22"/>
                <w:szCs w:val="22"/>
                <w:color w:val="auto"/>
              </w:rPr>
            </w:pPr>
          </w:p>
        </w:tc>
      </w:tr>
      <w:tr>
        <w:trPr>
          <w:trHeight w:val="270"/>
        </w:trPr>
        <w:tc>
          <w:tcPr>
            <w:tcW w:w="660" w:type="dxa"/>
            <w:vAlign w:val="bottom"/>
          </w:tcPr>
          <w:p>
            <w:pPr>
              <w:spacing w:after="0"/>
              <w:rPr>
                <w:sz w:val="23"/>
                <w:szCs w:val="23"/>
                <w:color w:val="auto"/>
              </w:rPr>
            </w:pPr>
          </w:p>
        </w:tc>
        <w:tc>
          <w:tcPr>
            <w:tcW w:w="40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Section 11.7.  Lender Credit Decision, Etc.  119</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23"/>
        </w:trPr>
        <w:tc>
          <w:tcPr>
            <w:tcW w:w="660" w:type="dxa"/>
            <w:vAlign w:val="bottom"/>
          </w:tcPr>
          <w:p>
            <w:pPr>
              <w:spacing w:after="0"/>
              <w:rPr>
                <w:sz w:val="19"/>
                <w:szCs w:val="19"/>
                <w:color w:val="auto"/>
              </w:rPr>
            </w:pPr>
          </w:p>
        </w:tc>
        <w:tc>
          <w:tcPr>
            <w:tcW w:w="114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Section 11.8.</w:t>
            </w:r>
          </w:p>
        </w:tc>
        <w:tc>
          <w:tcPr>
            <w:tcW w:w="7000" w:type="dxa"/>
            <w:vAlign w:val="bottom"/>
            <w:gridSpan w:val="13"/>
          </w:tcPr>
          <w:p>
            <w:pPr>
              <w:ind w:left="100"/>
              <w:spacing w:after="0" w:line="224" w:lineRule="exact"/>
              <w:rPr>
                <w:sz w:val="20"/>
                <w:szCs w:val="20"/>
                <w:color w:val="auto"/>
              </w:rPr>
            </w:pPr>
            <w:r>
              <w:rPr>
                <w:rFonts w:ascii="Times New Roman" w:cs="Times New Roman" w:eastAsia="Times New Roman" w:hAnsi="Times New Roman"/>
                <w:sz w:val="20"/>
                <w:szCs w:val="20"/>
                <w:color w:val="auto"/>
              </w:rPr>
              <w:t>Successor Administrative Agent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70C0"/>
              </w:rPr>
              <w:t>and Successor Sustainability Structuring Agent</w:t>
            </w:r>
            <w:r>
              <w:rPr>
                <w:rFonts w:ascii="Times New Roman" w:cs="Times New Roman" w:eastAsia="Times New Roman" w:hAnsi="Times New Roman"/>
                <w:sz w:val="20"/>
                <w:szCs w:val="20"/>
                <w:color w:val="auto"/>
              </w:rPr>
              <w:t xml:space="preserve">  120</w:t>
            </w:r>
          </w:p>
        </w:tc>
      </w:tr>
      <w:tr>
        <w:trPr>
          <w:trHeight w:val="283"/>
        </w:trPr>
        <w:tc>
          <w:tcPr>
            <w:tcW w:w="6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11.9.</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Titled Agents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0070C0"/>
            </w:tcBorders>
          </w:tcPr>
          <w:p>
            <w:pPr>
              <w:spacing w:after="0"/>
              <w:rPr>
                <w:sz w:val="24"/>
                <w:szCs w:val="24"/>
                <w:color w:val="auto"/>
              </w:rPr>
            </w:pPr>
          </w:p>
        </w:tc>
        <w:tc>
          <w:tcPr>
            <w:tcW w:w="40" w:type="dxa"/>
            <w:vAlign w:val="bottom"/>
            <w:tcBorders>
              <w:top w:val="single" w:sz="8" w:color="0070C0"/>
            </w:tcBorders>
          </w:tcPr>
          <w:p>
            <w:pPr>
              <w:spacing w:after="0"/>
              <w:rPr>
                <w:sz w:val="24"/>
                <w:szCs w:val="24"/>
                <w:color w:val="auto"/>
              </w:rPr>
            </w:pPr>
          </w:p>
        </w:tc>
        <w:tc>
          <w:tcPr>
            <w:tcW w:w="360" w:type="dxa"/>
            <w:vAlign w:val="bottom"/>
            <w:tcBorders>
              <w:top w:val="single" w:sz="8" w:color="0070C0"/>
            </w:tcBorders>
          </w:tcPr>
          <w:p>
            <w:pPr>
              <w:spacing w:after="0"/>
              <w:rPr>
                <w:sz w:val="24"/>
                <w:szCs w:val="24"/>
                <w:color w:val="auto"/>
              </w:rPr>
            </w:pPr>
          </w:p>
        </w:tc>
        <w:tc>
          <w:tcPr>
            <w:tcW w:w="260" w:type="dxa"/>
            <w:vAlign w:val="bottom"/>
            <w:tcBorders>
              <w:top w:val="single" w:sz="8" w:color="0070C0"/>
            </w:tcBorders>
          </w:tcPr>
          <w:p>
            <w:pPr>
              <w:spacing w:after="0"/>
              <w:rPr>
                <w:sz w:val="24"/>
                <w:szCs w:val="24"/>
                <w:color w:val="auto"/>
              </w:rPr>
            </w:pPr>
          </w:p>
        </w:tc>
        <w:tc>
          <w:tcPr>
            <w:tcW w:w="2980" w:type="dxa"/>
            <w:vAlign w:val="bottom"/>
            <w:tcBorders>
              <w:top w:val="single" w:sz="8" w:color="0070C0"/>
            </w:tcBorders>
          </w:tcPr>
          <w:p>
            <w:pPr>
              <w:spacing w:after="0"/>
              <w:rPr>
                <w:sz w:val="24"/>
                <w:szCs w:val="24"/>
                <w:color w:val="auto"/>
              </w:rPr>
            </w:pPr>
          </w:p>
        </w:tc>
        <w:tc>
          <w:tcPr>
            <w:tcW w:w="500" w:type="dxa"/>
            <w:vAlign w:val="bottom"/>
          </w:tcPr>
          <w:p>
            <w:pPr>
              <w:spacing w:after="0"/>
              <w:rPr>
                <w:sz w:val="24"/>
                <w:szCs w:val="24"/>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w w:val="97"/>
              </w:rPr>
              <w:t>Section 11.10.</w:t>
            </w:r>
          </w:p>
        </w:tc>
        <w:tc>
          <w:tcPr>
            <w:tcW w:w="29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Specified Derivatives Contracts</w:t>
            </w:r>
          </w:p>
        </w:tc>
        <w:tc>
          <w:tcPr>
            <w:tcW w:w="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121</w:t>
            </w: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w w:val="97"/>
              </w:rPr>
              <w:t>Section 11.11.</w:t>
            </w: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Erroneous Payments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121</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23"/>
        </w:trPr>
        <w:tc>
          <w:tcPr>
            <w:tcW w:w="660" w:type="dxa"/>
            <w:vAlign w:val="bottom"/>
          </w:tcPr>
          <w:p>
            <w:pPr>
              <w:spacing w:after="0"/>
              <w:rPr>
                <w:sz w:val="19"/>
                <w:szCs w:val="19"/>
                <w:color w:val="auto"/>
              </w:rPr>
            </w:pPr>
          </w:p>
        </w:tc>
        <w:tc>
          <w:tcPr>
            <w:tcW w:w="1140" w:type="dxa"/>
            <w:vAlign w:val="bottom"/>
            <w:tcBorders>
              <w:bottom w:val="single" w:sz="8" w:color="0070C0"/>
            </w:tcBorders>
          </w:tcPr>
          <w:p>
            <w:pPr>
              <w:spacing w:after="0" w:line="224" w:lineRule="exact"/>
              <w:rPr>
                <w:sz w:val="20"/>
                <w:szCs w:val="20"/>
                <w:color w:val="auto"/>
              </w:rPr>
            </w:pPr>
            <w:r>
              <w:rPr>
                <w:rFonts w:ascii="Times New Roman" w:cs="Times New Roman" w:eastAsia="Times New Roman" w:hAnsi="Times New Roman"/>
                <w:sz w:val="20"/>
                <w:szCs w:val="20"/>
                <w:color w:val="0070C0"/>
                <w:w w:val="97"/>
              </w:rPr>
              <w:t>Section 11.12.</w:t>
            </w:r>
          </w:p>
        </w:tc>
        <w:tc>
          <w:tcPr>
            <w:tcW w:w="2900" w:type="dxa"/>
            <w:vAlign w:val="bottom"/>
            <w:tcBorders>
              <w:bottom w:val="single" w:sz="8" w:color="0070C0"/>
            </w:tcBorders>
            <w:gridSpan w:val="9"/>
          </w:tcPr>
          <w:p>
            <w:pPr>
              <w:ind w:left="200"/>
              <w:spacing w:after="0" w:line="224" w:lineRule="exact"/>
              <w:rPr>
                <w:sz w:val="20"/>
                <w:szCs w:val="20"/>
                <w:color w:val="auto"/>
              </w:rPr>
            </w:pPr>
            <w:r>
              <w:rPr>
                <w:rFonts w:ascii="Times New Roman" w:cs="Times New Roman" w:eastAsia="Times New Roman" w:hAnsi="Times New Roman"/>
                <w:sz w:val="20"/>
                <w:szCs w:val="20"/>
                <w:color w:val="0070C0"/>
              </w:rPr>
              <w:t>Sustainability Structuring Agent</w:t>
            </w:r>
          </w:p>
        </w:tc>
        <w:tc>
          <w:tcPr>
            <w:tcW w:w="360" w:type="dxa"/>
            <w:vAlign w:val="bottom"/>
            <w:tcBorders>
              <w:bottom w:val="single" w:sz="8" w:color="0070C0"/>
            </w:tcBorders>
          </w:tcPr>
          <w:p>
            <w:pPr>
              <w:ind w:left="60"/>
              <w:spacing w:after="0" w:line="224" w:lineRule="exact"/>
              <w:rPr>
                <w:sz w:val="20"/>
                <w:szCs w:val="20"/>
                <w:color w:val="auto"/>
              </w:rPr>
            </w:pPr>
            <w:r>
              <w:rPr>
                <w:rFonts w:ascii="Times New Roman" w:cs="Times New Roman" w:eastAsia="Times New Roman" w:hAnsi="Times New Roman"/>
                <w:sz w:val="20"/>
                <w:szCs w:val="20"/>
                <w:color w:val="0070C0"/>
                <w:w w:val="93"/>
              </w:rPr>
              <w:t>123</w:t>
            </w:r>
          </w:p>
        </w:tc>
        <w:tc>
          <w:tcPr>
            <w:tcW w:w="2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85"/>
        </w:trPr>
        <w:tc>
          <w:tcPr>
            <w:tcW w:w="2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XII. Miscellaneous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12.1.</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Notices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3"/>
              </w:rPr>
              <w:t>123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8"/>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12.2.</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Expenses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12.3.</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Setoff  127</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0"/>
        </w:trPr>
        <w:tc>
          <w:tcPr>
            <w:tcW w:w="6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12.4.</w:t>
            </w:r>
          </w:p>
        </w:tc>
        <w:tc>
          <w:tcPr>
            <w:tcW w:w="700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Litigation; Jurisdiction; Other Matters; Waivers  127</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 iii -</w:t>
      </w:r>
    </w:p>
    <w:p>
      <w:pPr>
        <w:sectPr>
          <w:pgSz w:w="11900" w:h="16838" w:orient="portrait"/>
          <w:cols w:equalWidth="0" w:num="1">
            <w:col w:w="10139"/>
          </w:cols>
          <w:pgMar w:left="320" w:top="1440" w:right="1440" w:bottom="1440" w:gutter="0" w:footer="0" w:header="0"/>
          <w:type w:val="continuous"/>
        </w:sectPr>
      </w:pPr>
    </w:p>
    <w:bookmarkStart w:id="335" w:name="page336"/>
    <w:bookmarkEnd w:id="335"/>
    <w:tbl>
      <w:tblPr>
        <w:tblLayout w:type="fixed"/>
        <w:tblInd w:w="0" w:type="dxa"/>
        <w:tblCellMar>
          <w:top w:w="0" w:type="dxa"/>
          <w:left w:w="0" w:type="dxa"/>
          <w:bottom w:w="0" w:type="dxa"/>
          <w:right w:w="0" w:type="dxa"/>
        </w:tblCellMar>
      </w:tblPr>
      <w:tr>
        <w:trPr>
          <w:trHeight w:val="258"/>
        </w:trPr>
        <w:tc>
          <w:tcPr>
            <w:tcW w:w="66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12.5.</w:t>
            </w:r>
          </w:p>
        </w:tc>
        <w:tc>
          <w:tcPr>
            <w:tcW w:w="60" w:type="dxa"/>
            <w:vAlign w:val="bottom"/>
          </w:tcPr>
          <w:p>
            <w:pPr>
              <w:spacing w:after="0"/>
              <w:rPr>
                <w:sz w:val="22"/>
                <w:szCs w:val="22"/>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Successors and Assigns</w:t>
            </w:r>
          </w:p>
        </w:tc>
        <w:tc>
          <w:tcPr>
            <w:tcW w:w="1280" w:type="dxa"/>
            <w:vAlign w:val="bottom"/>
            <w:gridSpan w:val="2"/>
          </w:tcPr>
          <w:p>
            <w:pPr>
              <w:jc w:val="right"/>
              <w:ind w:right="721"/>
              <w:spacing w:after="0"/>
              <w:rPr>
                <w:sz w:val="20"/>
                <w:szCs w:val="20"/>
                <w:color w:val="auto"/>
              </w:rPr>
            </w:pPr>
            <w:r>
              <w:rPr>
                <w:rFonts w:ascii="Times New Roman" w:cs="Times New Roman" w:eastAsia="Times New Roman" w:hAnsi="Times New Roman"/>
                <w:sz w:val="20"/>
                <w:szCs w:val="20"/>
                <w:color w:val="auto"/>
              </w:rPr>
              <w:t>128</w:t>
            </w: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68"/>
        </w:trPr>
        <w:tc>
          <w:tcPr>
            <w:tcW w:w="66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12.6.</w:t>
            </w:r>
          </w:p>
        </w:tc>
        <w:tc>
          <w:tcPr>
            <w:tcW w:w="60" w:type="dxa"/>
            <w:vAlign w:val="bottom"/>
          </w:tcPr>
          <w:p>
            <w:pPr>
              <w:spacing w:after="0"/>
              <w:rPr>
                <w:sz w:val="23"/>
                <w:szCs w:val="23"/>
                <w:color w:val="auto"/>
              </w:rPr>
            </w:pPr>
          </w:p>
        </w:tc>
        <w:tc>
          <w:tcPr>
            <w:tcW w:w="33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Amendments and Waivers  137</w:t>
            </w: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12.7.</w:t>
            </w:r>
          </w:p>
        </w:tc>
        <w:tc>
          <w:tcPr>
            <w:tcW w:w="60" w:type="dxa"/>
            <w:vAlign w:val="bottom"/>
          </w:tcPr>
          <w:p>
            <w:pPr>
              <w:spacing w:after="0"/>
              <w:rPr>
                <w:sz w:val="22"/>
                <w:szCs w:val="22"/>
                <w:color w:val="auto"/>
              </w:rPr>
            </w:pPr>
          </w:p>
        </w:tc>
        <w:tc>
          <w:tcPr>
            <w:tcW w:w="79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w w:val="99"/>
              </w:rPr>
              <w:t>Nonliability of Administrative Agent and Lenders; No Advisory or Fiduciary Responsibility  140</w:t>
            </w:r>
          </w:p>
        </w:tc>
      </w:tr>
      <w:tr>
        <w:trPr>
          <w:trHeight w:val="268"/>
        </w:trPr>
        <w:tc>
          <w:tcPr>
            <w:tcW w:w="66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12.8.</w:t>
            </w:r>
          </w:p>
        </w:tc>
        <w:tc>
          <w:tcPr>
            <w:tcW w:w="60" w:type="dxa"/>
            <w:vAlign w:val="bottom"/>
          </w:tcPr>
          <w:p>
            <w:pPr>
              <w:spacing w:after="0"/>
              <w:rPr>
                <w:sz w:val="23"/>
                <w:szCs w:val="23"/>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Confidentiality</w:t>
            </w: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141</w:t>
            </w: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12.9.</w:t>
            </w:r>
          </w:p>
        </w:tc>
        <w:tc>
          <w:tcPr>
            <w:tcW w:w="60" w:type="dxa"/>
            <w:vAlign w:val="bottom"/>
          </w:tcPr>
          <w:p>
            <w:pPr>
              <w:spacing w:after="0"/>
              <w:rPr>
                <w:sz w:val="22"/>
                <w:szCs w:val="22"/>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Indemnification</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142</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70"/>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12.10.</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Termination; Survival</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68"/>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12.11.</w:t>
            </w:r>
          </w:p>
        </w:tc>
        <w:tc>
          <w:tcPr>
            <w:tcW w:w="24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Severability of Provisions</w:t>
            </w:r>
          </w:p>
        </w:tc>
        <w:tc>
          <w:tcPr>
            <w:tcW w:w="86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w w:val="99"/>
              </w:rPr>
              <w:t>144</w:t>
            </w: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12.12.</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GOVERNING LAW</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68"/>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12.13.</w:t>
            </w:r>
          </w:p>
        </w:tc>
        <w:tc>
          <w:tcPr>
            <w:tcW w:w="1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Counterparts</w:t>
            </w: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145</w:t>
            </w: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12.14.</w:t>
            </w:r>
          </w:p>
        </w:tc>
        <w:tc>
          <w:tcPr>
            <w:tcW w:w="792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Obligations with Respect to Loan Parties and Subsidiaries  145</w:t>
            </w:r>
          </w:p>
        </w:tc>
      </w:tr>
      <w:tr>
        <w:trPr>
          <w:trHeight w:val="270"/>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12.15.</w:t>
            </w:r>
          </w:p>
        </w:tc>
        <w:tc>
          <w:tcPr>
            <w:tcW w:w="24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9"/>
              </w:rPr>
              <w:t>Independence of Covenants</w:t>
            </w: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145</w:t>
            </w: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68"/>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12.16.</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Limitation of Liability</w:t>
            </w:r>
          </w:p>
        </w:tc>
        <w:tc>
          <w:tcPr>
            <w:tcW w:w="1280" w:type="dxa"/>
            <w:vAlign w:val="bottom"/>
            <w:gridSpan w:val="2"/>
          </w:tcPr>
          <w:p>
            <w:pPr>
              <w:jc w:val="right"/>
              <w:ind w:right="721"/>
              <w:spacing w:after="0"/>
              <w:rPr>
                <w:sz w:val="20"/>
                <w:szCs w:val="20"/>
                <w:color w:val="auto"/>
              </w:rPr>
            </w:pPr>
            <w:r>
              <w:rPr>
                <w:rFonts w:ascii="Times New Roman" w:cs="Times New Roman" w:eastAsia="Times New Roman" w:hAnsi="Times New Roman"/>
                <w:sz w:val="20"/>
                <w:szCs w:val="20"/>
                <w:color w:val="auto"/>
              </w:rPr>
              <w:t>145</w:t>
            </w: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12.17.</w:t>
            </w:r>
          </w:p>
        </w:tc>
        <w:tc>
          <w:tcPr>
            <w:tcW w:w="24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Entire Agreement  145</w:t>
            </w: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68"/>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12.18.</w:t>
            </w:r>
          </w:p>
        </w:tc>
        <w:tc>
          <w:tcPr>
            <w:tcW w:w="1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Construction</w:t>
            </w: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146</w:t>
            </w: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12.19.</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Headings  146</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70"/>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12.20.</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New York Mortgages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68"/>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12.21.</w:t>
            </w:r>
          </w:p>
        </w:tc>
        <w:tc>
          <w:tcPr>
            <w:tcW w:w="330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Effect on Existing Credit Agreement</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147</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8"/>
        </w:trPr>
        <w:tc>
          <w:tcPr>
            <w:tcW w:w="66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12.22.</w:t>
            </w:r>
          </w:p>
        </w:tc>
        <w:tc>
          <w:tcPr>
            <w:tcW w:w="792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  148</w:t>
            </w:r>
          </w:p>
        </w:tc>
      </w:tr>
      <w:tr>
        <w:trPr>
          <w:trHeight w:val="268"/>
        </w:trPr>
        <w:tc>
          <w:tcPr>
            <w:tcW w:w="6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Section 12.23.</w:t>
            </w:r>
          </w:p>
        </w:tc>
        <w:tc>
          <w:tcPr>
            <w:tcW w:w="448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3020" w:type="dxa"/>
            <w:vAlign w:val="bottom"/>
          </w:tcPr>
          <w:p>
            <w:pPr>
              <w:spacing w:after="0"/>
              <w:rPr>
                <w:sz w:val="23"/>
                <w:szCs w:val="23"/>
                <w:color w:val="auto"/>
              </w:rPr>
            </w:pPr>
          </w:p>
        </w:tc>
      </w:tr>
      <w:tr>
        <w:trPr>
          <w:trHeight w:val="212"/>
        </w:trPr>
        <w:tc>
          <w:tcPr>
            <w:tcW w:w="660" w:type="dxa"/>
            <w:vAlign w:val="bottom"/>
          </w:tcPr>
          <w:p>
            <w:pPr>
              <w:spacing w:after="0"/>
              <w:rPr>
                <w:sz w:val="18"/>
                <w:szCs w:val="18"/>
                <w:color w:val="auto"/>
              </w:rPr>
            </w:pPr>
          </w:p>
        </w:tc>
        <w:tc>
          <w:tcPr>
            <w:tcW w:w="114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70C0"/>
                <w:w w:val="97"/>
              </w:rPr>
              <w:t>Section 12.24.</w:t>
            </w:r>
          </w:p>
        </w:tc>
        <w:tc>
          <w:tcPr>
            <w:tcW w:w="4480" w:type="dxa"/>
            <w:vAlign w:val="bottom"/>
            <w:gridSpan w:val="6"/>
          </w:tcPr>
          <w:p>
            <w:pPr>
              <w:ind w:left="200"/>
              <w:spacing w:after="0" w:line="212" w:lineRule="exact"/>
              <w:rPr>
                <w:sz w:val="20"/>
                <w:szCs w:val="20"/>
                <w:color w:val="auto"/>
              </w:rPr>
            </w:pPr>
            <w:r>
              <w:rPr>
                <w:rFonts w:ascii="Times New Roman" w:cs="Times New Roman" w:eastAsia="Times New Roman" w:hAnsi="Times New Roman"/>
                <w:sz w:val="20"/>
                <w:szCs w:val="20"/>
                <w:color w:val="0070C0"/>
              </w:rPr>
              <w:t>KPI Metrics; Sustainability Structuring Agent Rights</w:t>
            </w:r>
          </w:p>
        </w:tc>
        <w:tc>
          <w:tcPr>
            <w:tcW w:w="3440" w:type="dxa"/>
            <w:vAlign w:val="bottom"/>
            <w:gridSpan w:val="2"/>
          </w:tcPr>
          <w:p>
            <w:pPr>
              <w:jc w:val="right"/>
              <w:ind w:right="3020"/>
              <w:spacing w:after="0" w:line="212" w:lineRule="exact"/>
              <w:rPr>
                <w:sz w:val="20"/>
                <w:szCs w:val="20"/>
                <w:color w:val="auto"/>
              </w:rPr>
            </w:pPr>
            <w:r>
              <w:rPr>
                <w:rFonts w:ascii="Times New Roman" w:cs="Times New Roman" w:eastAsia="Times New Roman" w:hAnsi="Times New Roman"/>
                <w:sz w:val="20"/>
                <w:szCs w:val="20"/>
                <w:color w:val="0070C0"/>
              </w:rPr>
              <w:t>149</w:t>
            </w:r>
          </w:p>
        </w:tc>
      </w:tr>
      <w:tr>
        <w:trPr>
          <w:trHeight w:val="250"/>
        </w:trPr>
        <w:tc>
          <w:tcPr>
            <w:tcW w:w="660" w:type="dxa"/>
            <w:vAlign w:val="bottom"/>
          </w:tcPr>
          <w:p>
            <w:pPr>
              <w:spacing w:after="0"/>
              <w:rPr>
                <w:sz w:val="21"/>
                <w:szCs w:val="21"/>
                <w:color w:val="auto"/>
              </w:rPr>
            </w:pPr>
          </w:p>
        </w:tc>
        <w:tc>
          <w:tcPr>
            <w:tcW w:w="1140" w:type="dxa"/>
            <w:vAlign w:val="bottom"/>
            <w:tcBorders>
              <w:top w:val="single" w:sz="8" w:color="0070C0"/>
              <w:bottom w:val="single" w:sz="8" w:color="0070C0"/>
            </w:tcBorders>
            <w:gridSpan w:val="2"/>
          </w:tcPr>
          <w:p>
            <w:pPr>
              <w:spacing w:after="0"/>
              <w:rPr>
                <w:sz w:val="20"/>
                <w:szCs w:val="20"/>
                <w:color w:val="auto"/>
              </w:rPr>
            </w:pPr>
            <w:r>
              <w:rPr>
                <w:rFonts w:ascii="Times New Roman" w:cs="Times New Roman" w:eastAsia="Times New Roman" w:hAnsi="Times New Roman"/>
                <w:sz w:val="20"/>
                <w:szCs w:val="20"/>
                <w:color w:val="0070C0"/>
                <w:w w:val="97"/>
              </w:rPr>
              <w:t>Section 12.25.</w:t>
            </w:r>
          </w:p>
        </w:tc>
        <w:tc>
          <w:tcPr>
            <w:tcW w:w="3300" w:type="dxa"/>
            <w:vAlign w:val="bottom"/>
            <w:tcBorders>
              <w:top w:val="single" w:sz="8" w:color="0070C0"/>
              <w:bottom w:val="single" w:sz="8" w:color="0070C0"/>
            </w:tcBorders>
            <w:gridSpan w:val="4"/>
          </w:tcPr>
          <w:p>
            <w:pPr>
              <w:ind w:left="200"/>
              <w:spacing w:after="0"/>
              <w:rPr>
                <w:sz w:val="20"/>
                <w:szCs w:val="20"/>
                <w:color w:val="auto"/>
              </w:rPr>
            </w:pPr>
            <w:r>
              <w:rPr>
                <w:rFonts w:ascii="Times New Roman" w:cs="Times New Roman" w:eastAsia="Times New Roman" w:hAnsi="Times New Roman"/>
                <w:sz w:val="20"/>
                <w:szCs w:val="20"/>
                <w:color w:val="0070C0"/>
                <w:w w:val="99"/>
              </w:rPr>
              <w:t>Revolving Facility Amend and Extend</w:t>
            </w:r>
          </w:p>
        </w:tc>
        <w:tc>
          <w:tcPr>
            <w:tcW w:w="460" w:type="dxa"/>
            <w:vAlign w:val="bottom"/>
            <w:tcBorders>
              <w:top w:val="single" w:sz="8" w:color="0070C0"/>
              <w:bottom w:val="single" w:sz="8" w:color="0070C0"/>
            </w:tcBorders>
          </w:tcPr>
          <w:p>
            <w:pPr>
              <w:jc w:val="right"/>
              <w:spacing w:after="0"/>
              <w:rPr>
                <w:sz w:val="20"/>
                <w:szCs w:val="20"/>
                <w:color w:val="auto"/>
              </w:rPr>
            </w:pPr>
            <w:r>
              <w:rPr>
                <w:rFonts w:ascii="Times New Roman" w:cs="Times New Roman" w:eastAsia="Times New Roman" w:hAnsi="Times New Roman"/>
                <w:sz w:val="20"/>
                <w:szCs w:val="20"/>
                <w:color w:val="0070C0"/>
              </w:rPr>
              <w:t>151</w:t>
            </w:r>
          </w:p>
        </w:tc>
        <w:tc>
          <w:tcPr>
            <w:tcW w:w="720" w:type="dxa"/>
            <w:vAlign w:val="bottom"/>
            <w:tcBorders>
              <w:top w:val="single" w:sz="8" w:color="0070C0"/>
            </w:tcBorders>
          </w:tcPr>
          <w:p>
            <w:pPr>
              <w:spacing w:after="0"/>
              <w:rPr>
                <w:sz w:val="21"/>
                <w:szCs w:val="21"/>
                <w:color w:val="auto"/>
              </w:rPr>
            </w:pPr>
          </w:p>
        </w:tc>
        <w:tc>
          <w:tcPr>
            <w:tcW w:w="420" w:type="dxa"/>
            <w:vAlign w:val="bottom"/>
            <w:tcBorders>
              <w:top w:val="single" w:sz="8" w:color="0070C0"/>
            </w:tcBorders>
          </w:tcPr>
          <w:p>
            <w:pPr>
              <w:spacing w:after="0"/>
              <w:rPr>
                <w:sz w:val="21"/>
                <w:szCs w:val="21"/>
                <w:color w:val="auto"/>
              </w:rPr>
            </w:pPr>
          </w:p>
        </w:tc>
        <w:tc>
          <w:tcPr>
            <w:tcW w:w="3020" w:type="dxa"/>
            <w:vAlign w:val="bottom"/>
          </w:tcPr>
          <w:p>
            <w:pPr>
              <w:spacing w:after="0"/>
              <w:rPr>
                <w:sz w:val="21"/>
                <w:szCs w:val="21"/>
                <w:color w:val="auto"/>
              </w:rPr>
            </w:pPr>
          </w:p>
        </w:tc>
      </w:tr>
      <w:tr>
        <w:trPr>
          <w:trHeight w:val="484"/>
        </w:trPr>
        <w:tc>
          <w:tcPr>
            <w:tcW w:w="62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SCHEDULE I  Revolving Commitments; Term A Loans; Term B Loans</w:t>
            </w:r>
          </w:p>
        </w:tc>
        <w:tc>
          <w:tcPr>
            <w:tcW w:w="4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43"/>
        </w:trPr>
        <w:tc>
          <w:tcPr>
            <w:tcW w:w="38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SCHEDULE 1.1.  New York Mortgages</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29"/>
        </w:trPr>
        <w:tc>
          <w:tcPr>
            <w:tcW w:w="38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SCHEDULE 2.4.(l)  Existing Letters of Credit</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43"/>
        </w:trPr>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6.1.(b)</w:t>
            </w:r>
          </w:p>
        </w:tc>
        <w:tc>
          <w:tcPr>
            <w:tcW w:w="6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Ownership Structure</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29"/>
        </w:trPr>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6.1.(f)</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Properties</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43"/>
        </w:trPr>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6.1.(g)</w:t>
            </w:r>
          </w:p>
        </w:tc>
        <w:tc>
          <w:tcPr>
            <w:tcW w:w="6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Existing Indebtedness</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43"/>
        </w:trPr>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6.1.(i)</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Litigation</w:t>
            </w: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51"/>
        </w:trPr>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6.1.(r)</w:t>
            </w: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Affiliate Transactions</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20" w:type="dxa"/>
            <w:vAlign w:val="bottom"/>
          </w:tcPr>
          <w:p>
            <w:pPr>
              <w:spacing w:after="0"/>
              <w:rPr>
                <w:sz w:val="21"/>
                <w:szCs w:val="21"/>
                <w:color w:val="auto"/>
              </w:rPr>
            </w:pPr>
          </w:p>
        </w:tc>
      </w:tr>
    </w:tbl>
    <w:p>
      <w:pPr>
        <w:spacing w:after="0"/>
        <w:tabs>
          <w:tab w:leader="none" w:pos="1780" w:val="left"/>
        </w:tabs>
        <w:rPr>
          <w:sz w:val="20"/>
          <w:szCs w:val="20"/>
          <w:color w:val="auto"/>
        </w:rPr>
      </w:pPr>
      <w:r>
        <w:rPr>
          <w:rFonts w:ascii="Times New Roman" w:cs="Times New Roman" w:eastAsia="Times New Roman" w:hAnsi="Times New Roman"/>
          <w:sz w:val="20"/>
          <w:szCs w:val="20"/>
          <w:color w:val="auto"/>
        </w:rPr>
        <w:t>SCHEDULE 6.1.(z)</w:t>
      </w:r>
      <w:r>
        <w:rPr>
          <w:sz w:val="20"/>
          <w:szCs w:val="20"/>
          <w:color w:val="auto"/>
        </w:rPr>
        <w:tab/>
      </w:r>
      <w:r>
        <w:rPr>
          <w:rFonts w:ascii="Times New Roman" w:cs="Times New Roman" w:eastAsia="Times New Roman" w:hAnsi="Times New Roman"/>
          <w:sz w:val="19"/>
          <w:szCs w:val="19"/>
          <w:color w:val="auto"/>
        </w:rPr>
        <w:t>Eligible Properties</w:t>
      </w:r>
      <w:r>
        <w:rPr>
          <w:rFonts w:ascii="Times New Roman" w:cs="Times New Roman" w:eastAsia="Times New Roman" w:hAnsi="Times New Roman"/>
          <w:sz w:val="19"/>
          <w:szCs w:val="19"/>
          <w:u w:val="single" w:color="auto"/>
          <w:color w:val="0070C0"/>
        </w:rPr>
        <w:t>, Fund Investments</w:t>
      </w:r>
      <w:r>
        <w:rPr>
          <w:rFonts w:ascii="Times New Roman" w:cs="Times New Roman" w:eastAsia="Times New Roman" w:hAnsi="Times New Roman"/>
          <w:sz w:val="19"/>
          <w:szCs w:val="19"/>
          <w:color w:val="auto"/>
        </w:rPr>
        <w:t xml:space="preserve"> and Structured Finance Investments</w:t>
      </w:r>
    </w:p>
    <w:p>
      <w:pPr>
        <w:spacing w:after="0" w:line="207" w:lineRule="exact"/>
        <w:rPr>
          <w:sz w:val="20"/>
          <w:szCs w:val="20"/>
          <w:color w:val="auto"/>
        </w:rPr>
      </w:pPr>
    </w:p>
    <w:p>
      <w:pPr>
        <w:ind w:right="5059"/>
        <w:spacing w:after="0" w:line="254" w:lineRule="auto"/>
        <w:rPr>
          <w:sz w:val="20"/>
          <w:szCs w:val="20"/>
          <w:color w:val="auto"/>
        </w:rPr>
      </w:pPr>
      <w:r>
        <w:rPr>
          <w:rFonts w:ascii="Times New Roman" w:cs="Times New Roman" w:eastAsia="Times New Roman" w:hAnsi="Times New Roman"/>
          <w:sz w:val="20"/>
          <w:szCs w:val="20"/>
          <w:color w:val="auto"/>
        </w:rPr>
        <w:t>EXHIBIT A Form of Assignment and Assumption Agreement EXHIBIT B Form of Bid Rate Note</w:t>
      </w:r>
    </w:p>
    <w:p>
      <w:pPr>
        <w:spacing w:after="0" w:line="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Designation Agreement</w:t>
      </w:r>
    </w:p>
    <w:p>
      <w:pPr>
        <w:spacing w:after="0" w:line="1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Notice of Continuation</w:t>
      </w:r>
    </w:p>
    <w:p>
      <w:pPr>
        <w:spacing w:after="0" w:line="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Notice of Conversion</w:t>
      </w:r>
    </w:p>
    <w:p>
      <w:pPr>
        <w:spacing w:after="0" w:line="6" w:lineRule="exact"/>
        <w:rPr>
          <w:sz w:val="20"/>
          <w:szCs w:val="20"/>
          <w:color w:val="auto"/>
        </w:rPr>
      </w:pPr>
    </w:p>
    <w:p>
      <w:pPr>
        <w:ind w:right="4879"/>
        <w:spacing w:after="0" w:line="248" w:lineRule="auto"/>
        <w:rPr>
          <w:sz w:val="20"/>
          <w:szCs w:val="20"/>
          <w:color w:val="auto"/>
        </w:rPr>
      </w:pPr>
      <w:r>
        <w:rPr>
          <w:rFonts w:ascii="Times New Roman" w:cs="Times New Roman" w:eastAsia="Times New Roman" w:hAnsi="Times New Roman"/>
          <w:sz w:val="20"/>
          <w:szCs w:val="20"/>
          <w:color w:val="auto"/>
        </w:rPr>
        <w:t xml:space="preserve">EXHIBIT G </w:t>
      </w:r>
      <w:r>
        <w:rPr>
          <w:rFonts w:ascii="Times New Roman" w:cs="Times New Roman" w:eastAsia="Times New Roman" w:hAnsi="Times New Roman"/>
          <w:sz w:val="20"/>
          <w:szCs w:val="20"/>
          <w:color w:val="FF0000"/>
          <w:strike w:val="1"/>
        </w:rPr>
        <w:t>Form of Notice of Swingline Borrowing</w:t>
      </w:r>
      <w:r>
        <w:rPr>
          <w:rFonts w:ascii="Times New Roman" w:cs="Times New Roman" w:eastAsia="Times New Roman" w:hAnsi="Times New Roman"/>
          <w:sz w:val="20"/>
          <w:szCs w:val="20"/>
          <w:u w:val="single" w:color="auto"/>
          <w:color w:val="0070C0"/>
        </w:rPr>
        <w:t>[Reserved]</w:t>
      </w:r>
      <w:r>
        <w:rPr>
          <w:rFonts w:ascii="Times New Roman" w:cs="Times New Roman" w:eastAsia="Times New Roman" w:hAnsi="Times New Roman"/>
          <w:sz w:val="20"/>
          <w:szCs w:val="20"/>
          <w:color w:val="auto"/>
        </w:rPr>
        <w:t xml:space="preserve"> EXHIBIT H Form of Revolving Note EXHIBIT I </w:t>
      </w:r>
      <w:r>
        <w:rPr>
          <w:rFonts w:ascii="Times New Roman" w:cs="Times New Roman" w:eastAsia="Times New Roman" w:hAnsi="Times New Roman"/>
          <w:sz w:val="20"/>
          <w:szCs w:val="20"/>
          <w:color w:val="FF0000"/>
          <w:strike w:val="1"/>
        </w:rPr>
        <w:t>Form of Swingline Note</w:t>
      </w:r>
      <w:r>
        <w:rPr>
          <w:rFonts w:ascii="Times New Roman" w:cs="Times New Roman" w:eastAsia="Times New Roman" w:hAnsi="Times New Roman"/>
          <w:sz w:val="20"/>
          <w:szCs w:val="20"/>
          <w:u w:val="single" w:color="auto"/>
          <w:color w:val="0070C0"/>
        </w:rPr>
        <w:t>[Reserved]</w:t>
      </w:r>
    </w:p>
    <w:p>
      <w:pPr>
        <w:spacing w:after="0" w:line="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EXHIBIT J-1</w:t>
      </w:r>
      <w:r>
        <w:rPr>
          <w:sz w:val="20"/>
          <w:szCs w:val="20"/>
          <w:color w:val="auto"/>
        </w:rPr>
        <w:tab/>
      </w:r>
      <w:r>
        <w:rPr>
          <w:rFonts w:ascii="Times New Roman" w:cs="Times New Roman" w:eastAsia="Times New Roman" w:hAnsi="Times New Roman"/>
          <w:sz w:val="19"/>
          <w:szCs w:val="19"/>
          <w:color w:val="auto"/>
        </w:rPr>
        <w:t>Form of Term A Loan Note</w:t>
      </w:r>
    </w:p>
    <w:p>
      <w:pPr>
        <w:spacing w:after="0" w:line="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EXHIBIT J-2</w:t>
      </w:r>
      <w:r>
        <w:rPr>
          <w:sz w:val="20"/>
          <w:szCs w:val="20"/>
          <w:color w:val="auto"/>
        </w:rPr>
        <w:tab/>
      </w:r>
      <w:r>
        <w:rPr>
          <w:rFonts w:ascii="Times New Roman" w:cs="Times New Roman" w:eastAsia="Times New Roman" w:hAnsi="Times New Roman"/>
          <w:sz w:val="19"/>
          <w:szCs w:val="19"/>
          <w:color w:val="auto"/>
        </w:rPr>
        <w:t>Form of Term B Loan Note</w:t>
      </w:r>
    </w:p>
    <w:p>
      <w:pPr>
        <w:spacing w:after="0" w:line="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Form of Bid Rate Quote Request</w:t>
      </w:r>
    </w:p>
    <w:p>
      <w:pPr>
        <w:spacing w:after="0" w:line="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L</w:t>
      </w:r>
      <w:r>
        <w:rPr>
          <w:sz w:val="20"/>
          <w:szCs w:val="20"/>
          <w:color w:val="auto"/>
        </w:rPr>
        <w:tab/>
      </w:r>
      <w:r>
        <w:rPr>
          <w:rFonts w:ascii="Times New Roman" w:cs="Times New Roman" w:eastAsia="Times New Roman" w:hAnsi="Times New Roman"/>
          <w:sz w:val="19"/>
          <w:szCs w:val="19"/>
          <w:color w:val="auto"/>
        </w:rPr>
        <w:t>Form of Bid Rate Quote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iv -</w:t>
      </w:r>
    </w:p>
    <w:p>
      <w:pPr>
        <w:sectPr>
          <w:pgSz w:w="11900" w:h="16838" w:orient="portrait"/>
          <w:cols w:equalWidth="0" w:num="1">
            <w:col w:w="10139"/>
          </w:cols>
          <w:pgMar w:left="320" w:top="1440" w:right="1440" w:bottom="1440" w:gutter="0" w:footer="0" w:header="0"/>
          <w:type w:val="continuous"/>
        </w:sectPr>
      </w:pPr>
    </w:p>
    <w:bookmarkStart w:id="336" w:name="page337"/>
    <w:bookmarkEnd w:id="336"/>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M</w:t>
      </w:r>
      <w:r>
        <w:rPr>
          <w:sz w:val="20"/>
          <w:szCs w:val="20"/>
          <w:color w:val="auto"/>
        </w:rPr>
        <w:tab/>
      </w:r>
      <w:r>
        <w:rPr>
          <w:rFonts w:ascii="Times New Roman" w:cs="Times New Roman" w:eastAsia="Times New Roman" w:hAnsi="Times New Roman"/>
          <w:sz w:val="19"/>
          <w:szCs w:val="19"/>
          <w:color w:val="auto"/>
        </w:rPr>
        <w:t>Form of Bid Rate Quote Acceptance</w:t>
      </w:r>
    </w:p>
    <w:p>
      <w:pPr>
        <w:spacing w:after="0" w:line="2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N</w:t>
      </w:r>
      <w:r>
        <w:rPr>
          <w:sz w:val="20"/>
          <w:szCs w:val="20"/>
          <w:color w:val="auto"/>
        </w:rPr>
        <w:tab/>
      </w:r>
      <w:r>
        <w:rPr>
          <w:rFonts w:ascii="Times New Roman" w:cs="Times New Roman" w:eastAsia="Times New Roman" w:hAnsi="Times New Roman"/>
          <w:sz w:val="19"/>
          <w:szCs w:val="19"/>
          <w:color w:val="auto"/>
        </w:rPr>
        <w:t>Form of Opinion of Counsel</w:t>
      </w:r>
    </w:p>
    <w:p>
      <w:pPr>
        <w:spacing w:after="0" w:line="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O</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P</w:t>
      </w:r>
      <w:r>
        <w:rPr>
          <w:sz w:val="20"/>
          <w:szCs w:val="20"/>
          <w:color w:val="auto"/>
        </w:rPr>
        <w:tab/>
      </w:r>
      <w:r>
        <w:rPr>
          <w:rFonts w:ascii="Times New Roman" w:cs="Times New Roman" w:eastAsia="Times New Roman" w:hAnsi="Times New Roman"/>
          <w:sz w:val="19"/>
          <w:szCs w:val="19"/>
          <w:color w:val="FF0000"/>
          <w:strike w:val="1"/>
        </w:rPr>
        <w:t>Form of Unrestricted Subsidiary Purchase Procedure</w:t>
      </w:r>
      <w:r>
        <w:rPr>
          <w:rFonts w:ascii="Times New Roman" w:cs="Times New Roman" w:eastAsia="Times New Roman" w:hAnsi="Times New Roman"/>
          <w:sz w:val="19"/>
          <w:szCs w:val="19"/>
          <w:u w:val="single" w:color="auto"/>
          <w:color w:val="0070C0"/>
          <w:strike w:val="1"/>
        </w:rPr>
        <w:t>[Reserved]</w:t>
      </w:r>
    </w:p>
    <w:p>
      <w:pPr>
        <w:spacing w:after="0" w:line="6" w:lineRule="exact"/>
        <w:rPr>
          <w:sz w:val="20"/>
          <w:szCs w:val="20"/>
          <w:color w:val="auto"/>
        </w:rPr>
      </w:pPr>
    </w:p>
    <w:p>
      <w:pPr>
        <w:ind w:right="2259"/>
        <w:spacing w:after="0" w:line="250" w:lineRule="auto"/>
        <w:rPr>
          <w:sz w:val="20"/>
          <w:szCs w:val="20"/>
          <w:color w:val="auto"/>
        </w:rPr>
      </w:pPr>
      <w:r>
        <w:rPr>
          <w:rFonts w:ascii="Times New Roman" w:cs="Times New Roman" w:eastAsia="Times New Roman" w:hAnsi="Times New Roman"/>
          <w:sz w:val="20"/>
          <w:szCs w:val="20"/>
          <w:color w:val="auto"/>
        </w:rPr>
        <w:t xml:space="preserve">EXHIBIT Q </w:t>
      </w:r>
      <w:r>
        <w:rPr>
          <w:rFonts w:ascii="Times New Roman" w:cs="Times New Roman" w:eastAsia="Times New Roman" w:hAnsi="Times New Roman"/>
          <w:sz w:val="20"/>
          <w:szCs w:val="20"/>
          <w:color w:val="FF0000"/>
          <w:strike w:val="1"/>
        </w:rPr>
        <w:t>Form of Unrestricted Subsidiary Assignment and Assumption Agreement</w:t>
      </w:r>
      <w:r>
        <w:rPr>
          <w:rFonts w:ascii="Times New Roman" w:cs="Times New Roman" w:eastAsia="Times New Roman" w:hAnsi="Times New Roman"/>
          <w:sz w:val="20"/>
          <w:szCs w:val="20"/>
          <w:u w:val="single" w:color="auto"/>
          <w:color w:val="0070C0"/>
        </w:rPr>
        <w:t>[Reserved]</w:t>
      </w:r>
      <w:r>
        <w:rPr>
          <w:rFonts w:ascii="Times New Roman" w:cs="Times New Roman" w:eastAsia="Times New Roman" w:hAnsi="Times New Roman"/>
          <w:sz w:val="20"/>
          <w:szCs w:val="20"/>
          <w:color w:val="auto"/>
        </w:rPr>
        <w:t xml:space="preserve"> EXHIBIT R Form of Notice of an Offer to Purchase</w:t>
      </w:r>
    </w:p>
    <w:p>
      <w:pPr>
        <w:ind w:right="4819"/>
        <w:spacing w:after="0" w:line="253" w:lineRule="auto"/>
        <w:rPr>
          <w:sz w:val="20"/>
          <w:szCs w:val="20"/>
          <w:color w:val="auto"/>
        </w:rPr>
      </w:pPr>
      <w:r>
        <w:rPr>
          <w:rFonts w:ascii="Times New Roman" w:cs="Times New Roman" w:eastAsia="Times New Roman" w:hAnsi="Times New Roman"/>
          <w:sz w:val="20"/>
          <w:szCs w:val="20"/>
          <w:color w:val="auto"/>
        </w:rPr>
        <w:t>EXHIBIT S Form of Disbursement Instruction Agreement EXHIBITS T-1 – T-4 Forms of U.S.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v -</w:t>
      </w:r>
    </w:p>
    <w:p>
      <w:pPr>
        <w:sectPr>
          <w:pgSz w:w="11900" w:h="16838" w:orient="portrait"/>
          <w:cols w:equalWidth="0" w:num="1">
            <w:col w:w="10139"/>
          </w:cols>
          <w:pgMar w:left="320" w:top="1413" w:right="1440" w:bottom="1440" w:gutter="0" w:footer="0" w:header="0"/>
        </w:sectPr>
      </w:pPr>
    </w:p>
    <w:bookmarkStart w:id="337" w:name="page338"/>
    <w:bookmarkEnd w:id="337"/>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THIS THIRD AMENDED AND RESTATED CREDIT AGREEMENT (this “Agreement”) dated as of December 6, 2021 by and among SL GREEN REALTY CORP., a corporation formed under the laws of the State of Maryland (the “Parent”) and SL GREEN OPERATING PARTNERSHIP L.P., a limited partnership formed under the laws of the State of Delaware (“SLGOP”; together with the Parent, each individually a “Borrower” and collectively, the “Borrowers”), each of the financial institutions initially a signatory hereto together with their successors and assignees under Section </w:t>
      </w:r>
      <w:r>
        <w:rPr>
          <w:rFonts w:ascii="Times New Roman" w:cs="Times New Roman" w:eastAsia="Times New Roman" w:hAnsi="Times New Roman"/>
          <w:sz w:val="20"/>
          <w:szCs w:val="20"/>
          <w:color w:val="0070C0"/>
        </w:rPr>
        <w:t>12.5</w:t>
      </w:r>
      <w:r>
        <w:rPr>
          <w:rFonts w:ascii="Times New Roman" w:cs="Times New Roman" w:eastAsia="Times New Roman" w:hAnsi="Times New Roman"/>
          <w:sz w:val="20"/>
          <w:szCs w:val="20"/>
          <w:color w:val="auto"/>
        </w:rPr>
        <w:t xml:space="preserve">. (the “Lenders”), </w:t>
      </w:r>
      <w:r>
        <w:rPr>
          <w:rFonts w:ascii="Times New Roman" w:cs="Times New Roman" w:eastAsia="Times New Roman" w:hAnsi="Times New Roman"/>
          <w:sz w:val="20"/>
          <w:szCs w:val="20"/>
          <w:color w:val="0070C0"/>
        </w:rPr>
        <w:t>WELLS FARGO BANK, NATIONAL ASSOCIATION</w:t>
      </w:r>
      <w:r>
        <w:rPr>
          <w:rFonts w:ascii="Times New Roman" w:cs="Times New Roman" w:eastAsia="Times New Roman" w:hAnsi="Times New Roman"/>
          <w:sz w:val="20"/>
          <w:szCs w:val="20"/>
          <w:color w:val="auto"/>
        </w:rPr>
        <w:t xml:space="preserve">, as Administrative Agent (the “Administrative Agent”), with WELLS FARGO SECURITIES, LLC, JPMORGAN CHASE BANK, N.A., </w:t>
      </w:r>
      <w:r>
        <w:rPr>
          <w:rFonts w:ascii="Times New Roman" w:cs="Times New Roman" w:eastAsia="Times New Roman" w:hAnsi="Times New Roman"/>
          <w:sz w:val="20"/>
          <w:szCs w:val="20"/>
          <w:color w:val="0070C0"/>
        </w:rPr>
        <w:t>T</w:t>
      </w:r>
      <w:r>
        <w:rPr>
          <w:rFonts w:ascii="Times New Roman" w:cs="Times New Roman" w:eastAsia="Times New Roman" w:hAnsi="Times New Roman"/>
          <w:sz w:val="20"/>
          <w:szCs w:val="20"/>
          <w:u w:val="single" w:color="auto"/>
          <w:color w:val="0070C0"/>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SECURTITES (USA) LLC, BOFA SECURITIES, INC., BMO CAPITAL MARKETS CORP, and MANUFACTURERS AND TRADERS TRUST COMPANY, as Lead Arrangers for the Revolving Credit Facility (the “Revolving Credit Facility Lead Arrangers”), WELLS FARGO SECURITIES, LLC, JPMORGAN CHASE BANK, N.A</w:t>
      </w:r>
      <w:r>
        <w:rPr>
          <w:rFonts w:ascii="Times New Roman" w:cs="Times New Roman" w:eastAsia="Times New Roman" w:hAnsi="Times New Roman"/>
          <w:sz w:val="20"/>
          <w:szCs w:val="20"/>
          <w:color w:val="0070C0"/>
        </w:rPr>
        <w:t>.</w:t>
      </w:r>
      <w:r>
        <w:rPr>
          <w:rFonts w:ascii="Times New Roman" w:cs="Times New Roman" w:eastAsia="Times New Roman" w:hAnsi="Times New Roman"/>
          <w:sz w:val="20"/>
          <w:szCs w:val="20"/>
          <w:u w:val="single" w:color="auto"/>
          <w:color w:val="000000"/>
        </w:rPr>
        <w: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DEUTSCHE BANK SECURITIES INC., TD BANK, N.A., BOFA</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SECURITIES, INC., BMO CAPITAL MARKETS CORP., and THE BANK OF NEW YORK MELLON as the Lead Arrangers for the </w:t>
      </w:r>
      <w:r>
        <w:rPr>
          <w:rFonts w:ascii="Times New Roman" w:cs="Times New Roman" w:eastAsia="Times New Roman" w:hAnsi="Times New Roman"/>
          <w:sz w:val="20"/>
          <w:szCs w:val="20"/>
          <w:color w:val="FF0000"/>
          <w:strike w:val="1"/>
        </w:rPr>
        <w:t>Revolving Credit Facility and Term A Loan</w:t>
      </w:r>
      <w:r>
        <w:rPr>
          <w:rFonts w:ascii="Times New Roman" w:cs="Times New Roman" w:eastAsia="Times New Roman" w:hAnsi="Times New Roman"/>
          <w:sz w:val="20"/>
          <w:szCs w:val="20"/>
          <w:u w:val="single" w:color="auto"/>
          <w:color w:val="000000"/>
          <w:strike w:val="1"/>
        </w:rPr>
        <w:t>T</w:t>
      </w:r>
      <w:r>
        <w:rPr>
          <w:rFonts w:ascii="Times New Roman" w:cs="Times New Roman" w:eastAsia="Times New Roman" w:hAnsi="Times New Roman"/>
          <w:sz w:val="20"/>
          <w:szCs w:val="20"/>
          <w:u w:val="single" w:color="auto"/>
          <w:color w:val="0070C0"/>
          <w:strike w:val="1"/>
        </w:rPr>
        <w:t>erm A Loan Facility (together with the Revolving Credit Facility Lead Arrangers,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70C0"/>
          <w:strike w:val="1"/>
        </w:rPr>
        <w:t>“Arrangers”), WELLS FARGO SECURITIES, LLC, JPMORGAN CHASE BANK, N.A., TD SECURTITES (USA) LLC, and BOFA SECURITIES, INC., as the Joint Bookrunners for the Revolving Credit</w:t>
      </w:r>
      <w:r>
        <w:rPr>
          <w:rFonts w:ascii="Times New Roman" w:cs="Times New Roman" w:eastAsia="Times New Roman" w:hAnsi="Times New Roman"/>
          <w:sz w:val="20"/>
          <w:szCs w:val="20"/>
          <w:color w:val="0070C0"/>
          <w:strike w:val="1"/>
        </w:rPr>
        <w:t xml:space="preserve"> </w:t>
      </w:r>
      <w:r>
        <w:rPr>
          <w:rFonts w:ascii="Times New Roman" w:cs="Times New Roman" w:eastAsia="Times New Roman" w:hAnsi="Times New Roman"/>
          <w:sz w:val="20"/>
          <w:szCs w:val="20"/>
          <w:color w:val="000000"/>
          <w:strike w:val="1"/>
        </w:rPr>
        <w:t>Facility (the “Revolving Credit Facility</w:t>
      </w:r>
      <w:r>
        <w:rPr>
          <w:rFonts w:ascii="Times New Roman" w:cs="Times New Roman" w:eastAsia="Times New Roman" w:hAnsi="Times New Roman"/>
          <w:sz w:val="20"/>
          <w:szCs w:val="20"/>
          <w:color w:val="0070C0"/>
          <w:strike w:val="1"/>
        </w:rPr>
        <w:t xml:space="preserve"> </w:t>
      </w:r>
      <w:r>
        <w:rPr>
          <w:rFonts w:ascii="Times New Roman" w:cs="Times New Roman" w:eastAsia="Times New Roman" w:hAnsi="Times New Roman"/>
          <w:sz w:val="20"/>
          <w:szCs w:val="20"/>
          <w:color w:val="FF0000"/>
          <w:strike w:val="1"/>
        </w:rPr>
        <w:t>and TAL Lead</w:t>
      </w:r>
      <w:r>
        <w:rPr>
          <w:rFonts w:ascii="Times New Roman" w:cs="Times New Roman" w:eastAsia="Times New Roman" w:hAnsi="Times New Roman"/>
          <w:sz w:val="20"/>
          <w:szCs w:val="20"/>
          <w:color w:val="0070C0"/>
          <w:strike w:val="1"/>
        </w:rPr>
        <w:t xml:space="preserve"> </w:t>
      </w:r>
      <w:r>
        <w:rPr>
          <w:rFonts w:ascii="Times New Roman" w:cs="Times New Roman" w:eastAsia="Times New Roman" w:hAnsi="Times New Roman"/>
          <w:sz w:val="20"/>
          <w:szCs w:val="20"/>
          <w:color w:val="FF0000"/>
          <w:strike w:val="1"/>
        </w:rPr>
        <w:t>Arrangers</w:t>
      </w:r>
      <w:r>
        <w:rPr>
          <w:rFonts w:ascii="Times New Roman" w:cs="Times New Roman" w:eastAsia="Times New Roman" w:hAnsi="Times New Roman"/>
          <w:sz w:val="20"/>
          <w:szCs w:val="20"/>
          <w:u w:val="single" w:color="auto"/>
          <w:color w:val="0070C0"/>
          <w:strike w:val="1"/>
        </w:rPr>
        <w:t>Joint Bookrunners</w:t>
      </w:r>
      <w:r>
        <w:rPr>
          <w:rFonts w:ascii="Times New Roman" w:cs="Times New Roman" w:eastAsia="Times New Roman" w:hAnsi="Times New Roman"/>
          <w:sz w:val="20"/>
          <w:szCs w:val="20"/>
          <w:color w:val="000000"/>
          <w:strike w:val="1"/>
        </w:rPr>
        <w:t>”), WELLS FARGO SECURITIES, LLC, JPMORGAN CHASE BANK, N.A., DEUTSCHE BANK</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SECURITIES, INC., and TD BANK, N.A., as the Joint Bookrunners for the </w:t>
      </w:r>
      <w:r>
        <w:rPr>
          <w:rFonts w:ascii="Times New Roman" w:cs="Times New Roman" w:eastAsia="Times New Roman" w:hAnsi="Times New Roman"/>
          <w:sz w:val="20"/>
          <w:szCs w:val="20"/>
          <w:color w:val="FF0000"/>
          <w:strike w:val="1"/>
        </w:rPr>
        <w:t>Revolving Credit Facility and</w:t>
      </w:r>
      <w:r>
        <w:rPr>
          <w:rFonts w:ascii="Times New Roman" w:cs="Times New Roman" w:eastAsia="Times New Roman" w:hAnsi="Times New Roman"/>
          <w:sz w:val="20"/>
          <w:szCs w:val="20"/>
          <w:color w:val="000000"/>
          <w:strike w:val="1"/>
        </w:rPr>
        <w:t xml:space="preserve"> Term A Loan Facility (</w:t>
      </w:r>
      <w:r>
        <w:rPr>
          <w:rFonts w:ascii="Times New Roman" w:cs="Times New Roman" w:eastAsia="Times New Roman" w:hAnsi="Times New Roman"/>
          <w:sz w:val="20"/>
          <w:szCs w:val="20"/>
          <w:u w:val="single" w:color="auto"/>
          <w:color w:val="0070C0"/>
          <w:strike w:val="1"/>
        </w:rPr>
        <w:t>together</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70C0"/>
          <w:strike w:val="1"/>
        </w:rPr>
        <w:t>with</w:t>
      </w:r>
      <w:r>
        <w:rPr>
          <w:rFonts w:ascii="Times New Roman" w:cs="Times New Roman" w:eastAsia="Times New Roman" w:hAnsi="Times New Roman"/>
          <w:sz w:val="20"/>
          <w:szCs w:val="20"/>
          <w:color w:val="0070C0"/>
          <w:strike w:val="1"/>
        </w:rPr>
        <w:t xml:space="preserve"> </w:t>
      </w:r>
      <w:r>
        <w:rPr>
          <w:rFonts w:ascii="Times New Roman" w:cs="Times New Roman" w:eastAsia="Times New Roman" w:hAnsi="Times New Roman"/>
          <w:sz w:val="20"/>
          <w:szCs w:val="20"/>
          <w:color w:val="000000"/>
          <w:strike w:val="1"/>
        </w:rPr>
        <w:t>the</w:t>
      </w:r>
      <w:r>
        <w:rPr>
          <w:rFonts w:ascii="Times New Roman" w:cs="Times New Roman" w:eastAsia="Times New Roman" w:hAnsi="Times New Roman"/>
          <w:sz w:val="20"/>
          <w:szCs w:val="20"/>
          <w:color w:val="0070C0"/>
          <w:strike w:val="1"/>
        </w:rPr>
        <w:t xml:space="preserve">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strike w:val="1"/>
        </w:rPr>
        <w:t>Revolving Credit Facility and TAL Facility</w:t>
      </w:r>
      <w:r>
        <w:rPr>
          <w:rFonts w:ascii="Times New Roman" w:cs="Times New Roman" w:eastAsia="Times New Roman" w:hAnsi="Times New Roman"/>
          <w:sz w:val="20"/>
          <w:szCs w:val="20"/>
          <w:color w:val="0070C0"/>
          <w:strike w:val="1"/>
        </w:rPr>
        <w:t xml:space="preserve"> </w:t>
      </w:r>
      <w:r>
        <w:rPr>
          <w:rFonts w:ascii="Times New Roman" w:cs="Times New Roman" w:eastAsia="Times New Roman" w:hAnsi="Times New Roman"/>
          <w:sz w:val="20"/>
          <w:szCs w:val="20"/>
          <w:u w:val="single" w:color="auto"/>
          <w:color w:val="0070C0"/>
          <w:strike w:val="1"/>
        </w:rPr>
        <w:t>Joint Bookrunners, the “</w:t>
      </w:r>
      <w:r>
        <w:rPr>
          <w:rFonts w:ascii="Times New Roman" w:cs="Times New Roman" w:eastAsia="Times New Roman" w:hAnsi="Times New Roman"/>
          <w:sz w:val="20"/>
          <w:szCs w:val="20"/>
          <w:color w:val="000000"/>
          <w:strike w:val="1"/>
        </w:rPr>
        <w:t>Joint Bookrunners”), JPMORGAN CHASE BANK, N.A., as</w:t>
      </w:r>
      <w:r>
        <w:rPr>
          <w:rFonts w:ascii="Times New Roman" w:cs="Times New Roman" w:eastAsia="Times New Roman" w:hAnsi="Times New Roman"/>
          <w:sz w:val="20"/>
          <w:szCs w:val="20"/>
          <w:color w:val="0070C0"/>
          <w:strike w:val="1"/>
        </w:rPr>
        <w:t xml:space="preserve"> </w:t>
      </w:r>
      <w:r>
        <w:rPr>
          <w:rFonts w:ascii="Times New Roman" w:cs="Times New Roman" w:eastAsia="Times New Roman" w:hAnsi="Times New Roman"/>
          <w:sz w:val="20"/>
          <w:szCs w:val="20"/>
          <w:color w:val="000000"/>
          <w:strike w:val="1"/>
        </w:rPr>
        <w:t>Syndication Agent for the Revolving Credit Facility and Term A Loan Facility (the “</w:t>
      </w:r>
      <w:r>
        <w:rPr>
          <w:rFonts w:ascii="Times New Roman" w:cs="Times New Roman" w:eastAsia="Times New Roman" w:hAnsi="Times New Roman"/>
          <w:sz w:val="20"/>
          <w:szCs w:val="20"/>
          <w:color w:val="FF0000"/>
          <w:strike w:val="1"/>
        </w:rPr>
        <w:t>Revolving Credit Facility and TAL Facility</w:t>
      </w:r>
      <w:r>
        <w:rPr>
          <w:rFonts w:ascii="Times New Roman" w:cs="Times New Roman" w:eastAsia="Times New Roman" w:hAnsi="Times New Roman"/>
          <w:sz w:val="20"/>
          <w:szCs w:val="20"/>
          <w:color w:val="000000"/>
          <w:strike w:val="1"/>
        </w:rPr>
        <w:t xml:space="preserve"> Syndication Agent”),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000000"/>
          <w:strike w:val="1"/>
        </w:rPr>
        <w:t xml:space="preserve"> TD BANK, N.A.</w:t>
      </w:r>
      <w:r>
        <w:rPr>
          <w:rFonts w:ascii="Times New Roman" w:cs="Times New Roman" w:eastAsia="Times New Roman" w:hAnsi="Times New Roman"/>
          <w:sz w:val="20"/>
          <w:szCs w:val="20"/>
          <w:u w:val="single" w:color="auto"/>
          <w:color w:val="0070C0"/>
          <w:strike w:val="1"/>
        </w:rPr>
        <w:t>, BANK OF AMERICA, N.A., BANK OF MONTREAL and MANUFACTURERS AND TRADERS TRUST</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70C0"/>
          <w:strike w:val="1"/>
        </w:rPr>
        <w:t>COMPANY, as Documentation Agents for the Revolving Credit Facility (the “Revolving Credit Facility Documentation Agents”), TD BANK, N.A.</w:t>
      </w:r>
      <w:r>
        <w:rPr>
          <w:rFonts w:ascii="Times New Roman" w:cs="Times New Roman" w:eastAsia="Times New Roman" w:hAnsi="Times New Roman"/>
          <w:sz w:val="20"/>
          <w:szCs w:val="20"/>
          <w:color w:val="000000"/>
          <w:strike w:val="1"/>
        </w:rPr>
        <w:t>, DEUTSCHE BANK SECURITIES INC., BANK OF AMERICA, N.A., BANK OF MONTREAL and THE BANK OF NEW</w:t>
      </w:r>
      <w:r>
        <w:rPr>
          <w:rFonts w:ascii="Times New Roman" w:cs="Times New Roman" w:eastAsia="Times New Roman" w:hAnsi="Times New Roman"/>
          <w:sz w:val="20"/>
          <w:szCs w:val="20"/>
          <w:color w:val="0070C0"/>
          <w:strike w:val="1"/>
        </w:rPr>
        <w:t xml:space="preserve"> </w:t>
      </w:r>
      <w:r>
        <w:rPr>
          <w:rFonts w:ascii="Times New Roman" w:cs="Times New Roman" w:eastAsia="Times New Roman" w:hAnsi="Times New Roman"/>
          <w:sz w:val="20"/>
          <w:szCs w:val="20"/>
          <w:color w:val="000000"/>
          <w:strike w:val="1"/>
        </w:rPr>
        <w:t xml:space="preserve">YORK MELLON, as the Documentation Agents for the </w:t>
      </w:r>
      <w:r>
        <w:rPr>
          <w:rFonts w:ascii="Times New Roman" w:cs="Times New Roman" w:eastAsia="Times New Roman" w:hAnsi="Times New Roman"/>
          <w:sz w:val="20"/>
          <w:szCs w:val="20"/>
          <w:color w:val="FF0000"/>
          <w:strike w:val="1"/>
        </w:rPr>
        <w:t>Revolving Credit Facility and Term A Loan Facility (the “Documentation Agents”),</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WELLS FARGO SECURITIES, LLC, and U.S. BANK NATIONAL ASSOCIATION, as the Lead Arrangers for the Term B</w:t>
      </w:r>
      <w:r>
        <w:rPr>
          <w:rFonts w:ascii="Times New Roman" w:cs="Times New Roman" w:eastAsia="Times New Roman" w:hAnsi="Times New Roman"/>
          <w:sz w:val="20"/>
          <w:szCs w:val="20"/>
          <w:u w:val="single" w:color="auto"/>
          <w:color w:val="0070C0"/>
          <w:strike w:val="1"/>
        </w:rPr>
        <w:t>Term A</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Loan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Facility (together with the Revolving Credit Facility </w:t>
      </w:r>
      <w:r>
        <w:rPr>
          <w:rFonts w:ascii="Times New Roman" w:cs="Times New Roman" w:eastAsia="Times New Roman" w:hAnsi="Times New Roman"/>
          <w:sz w:val="20"/>
          <w:szCs w:val="20"/>
          <w:color w:val="FF0000"/>
          <w:strike w:val="1"/>
        </w:rPr>
        <w:t>and TAL Facility Lead Arrangers, the “Lead Arrangers”), WELLS FARGO</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SECURITIES, LLC, and U.S. BANK NATIONAL ASSOCIATION, as the Joint Bookrunners for the Term B Loan Facility (together with the Revolving Credit Facility and TAL Facility Joint Bookrunners, the “Joint Bookrunners”), U.S. BANK NATIONAL ASSOCIATION, as the Syndication Agent for the Term B Loan Facility (together with the Revolving Credit Facility and TAL Facility Syndication Agent, the “Syndication</w:t>
      </w:r>
      <w:r>
        <w:rPr>
          <w:rFonts w:ascii="Times New Roman" w:cs="Times New Roman" w:eastAsia="Times New Roman" w:hAnsi="Times New Roman"/>
          <w:sz w:val="20"/>
          <w:szCs w:val="20"/>
          <w:u w:val="single" w:color="auto"/>
          <w:color w:val="0070C0"/>
          <w:strike w:val="1"/>
        </w:rPr>
        <w:t>Documentation Agents, the “Documentation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Agents”)</w:t>
      </w:r>
      <w:r>
        <w:rPr>
          <w:rFonts w:ascii="Times New Roman" w:cs="Times New Roman" w:eastAsia="Times New Roman" w:hAnsi="Times New Roman"/>
          <w:sz w:val="20"/>
          <w:szCs w:val="20"/>
          <w:u w:val="single" w:color="auto"/>
          <w:color w:val="0070C0"/>
          <w:strike w:val="1"/>
        </w:rPr>
        <w: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and WELLS FARGO BANK, NATIONAL ASSOCIATION, as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Sustainability </w:t>
      </w:r>
      <w:r>
        <w:rPr>
          <w:rFonts w:ascii="Times New Roman" w:cs="Times New Roman" w:eastAsia="Times New Roman" w:hAnsi="Times New Roman"/>
          <w:sz w:val="20"/>
          <w:szCs w:val="20"/>
          <w:u w:val="single" w:color="auto"/>
          <w:color w:val="0070C0"/>
          <w:strike w:val="1"/>
        </w:rPr>
        <w:t>Structuring</w:t>
      </w:r>
      <w:r>
        <w:rPr>
          <w:rFonts w:ascii="Times New Roman" w:cs="Times New Roman" w:eastAsia="Times New Roman" w:hAnsi="Times New Roman"/>
          <w:sz w:val="20"/>
          <w:szCs w:val="20"/>
          <w:color w:val="000000"/>
          <w:strike w:val="1"/>
        </w:rPr>
        <w:t xml:space="preserve"> Agent.</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certain of the Lenders and other financial institutions made available to the Borrowers a credit facility in the amount of $3,000,000,000, which included a $1,300,000,000 term loan facility, a $200,000,000 term loan facility and a $1,500,000,000 revolving credit facility with a $200,000,000 swingline subfacility and a $200,000,000 letter of credit subfacility, in each case, on the terms and conditions contained in that certain Second Amended and Restated Credit Agreement dated as of November 21, 2017 (as amended, supplemented or otherwise modified and in effect immediately prior to the date hereof, the “Existing Credit Agreement”) by and among the Borrowers, such Lenders, such other financial institutions, the Administrative Agent and the other parties thereto; and</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Administrative Agent, the Issuing Banks and the Lenders desire to amend and restate the terms of the Existing Credit Agreement to make available to the Borrowers a credit facility in</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initial amount</w:t>
      </w:r>
      <w:r>
        <w:rPr>
          <w:rFonts w:ascii="Times New Roman" w:cs="Times New Roman" w:eastAsia="Times New Roman" w:hAnsi="Times New Roman"/>
          <w:sz w:val="20"/>
          <w:szCs w:val="20"/>
          <w:u w:val="single" w:color="auto"/>
          <w:color w:val="0070C0"/>
        </w:rPr>
        <w:t>, as of the Effective Date,</w:t>
      </w:r>
      <w:r>
        <w:rPr>
          <w:rFonts w:ascii="Times New Roman" w:cs="Times New Roman" w:eastAsia="Times New Roman" w:hAnsi="Times New Roman"/>
          <w:sz w:val="20"/>
          <w:szCs w:val="20"/>
          <w:color w:val="auto"/>
        </w:rPr>
        <w:t xml:space="preserve"> of $2,500,000,000, which will include the $1,050,000,000 term loan facility outstanding under the Existing Credit Agreement, the $200,000,000 term loan facility outstanding under the Existing Credit Agreement and a $1,250,000,000 revolving credit facility with a $200,000,000 </w:t>
      </w:r>
      <w:r>
        <w:rPr>
          <w:rFonts w:ascii="Times New Roman" w:cs="Times New Roman" w:eastAsia="Times New Roman" w:hAnsi="Times New Roman"/>
          <w:sz w:val="20"/>
          <w:szCs w:val="20"/>
          <w:color w:val="FF0000"/>
          <w:strike w:val="1"/>
        </w:rPr>
        <w:t>swingline subfacility and a $200,000,000</w:t>
      </w:r>
      <w:r>
        <w:rPr>
          <w:rFonts w:ascii="Times New Roman" w:cs="Times New Roman" w:eastAsia="Times New Roman" w:hAnsi="Times New Roman"/>
          <w:sz w:val="20"/>
          <w:szCs w:val="20"/>
          <w:color w:val="auto"/>
        </w:rPr>
        <w:t xml:space="preserve"> letter of credit subfacility, on the terms and conditions contained herein.</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by the parties hereto, the parties hereto agree that the Existing Credit Agreement is amended and restated in its entirety as follows: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DEFINITIONS</w:t>
      </w:r>
    </w:p>
    <w:p>
      <w:pPr>
        <w:spacing w:after="0" w:line="21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to terms defined elsewhere herein, the following terms shall have the following meanings for the purposes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1031 Property</w:t>
      </w:r>
      <w:r>
        <w:rPr>
          <w:rFonts w:ascii="Times New Roman" w:cs="Times New Roman" w:eastAsia="Times New Roman" w:hAnsi="Times New Roman"/>
          <w:sz w:val="20"/>
          <w:szCs w:val="20"/>
          <w:color w:val="auto"/>
        </w:rPr>
        <w:t>” means property held by a “qualified intermediary” (a “QI”), as defined in the Treasury Regulations promulgated pursuant to Section 1031 of the Internal Revenue Code, or an “exchange accommodation titleholder” (an “EAT”), as defined in Internal Revenue Service Revenue Procedure 2000-37, as modified by Internal Revenue Procedure 2004-51, (or in either case, by one or more Wholly Owned Subsidiaries thereof, singly or as tenants in common) which is a single purpose entity and has entered into an “exchange agreement” or a “qualified exchange accommodation agreement” with a Borrower or a Wholly Owned Subsidiary in connection with the acquisition (or possible disposition) of such property by a Borrower or a Wholly Owned Subsidiary pursuant to, and qualifying for tax treatment under, Section 1031 of the Internal Revenue Code.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Absolute Rate</w:t>
      </w:r>
      <w:r>
        <w:rPr>
          <w:rFonts w:ascii="Times New Roman" w:cs="Times New Roman" w:eastAsia="Times New Roman" w:hAnsi="Times New Roman"/>
          <w:sz w:val="20"/>
          <w:szCs w:val="20"/>
          <w:color w:val="auto"/>
        </w:rPr>
        <w:t>” has the meaning given that term in Section 2.3.(c)(ii)(C).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Absolute Rate Auction</w:t>
      </w:r>
      <w:r>
        <w:rPr>
          <w:rFonts w:ascii="Times New Roman" w:cs="Times New Roman" w:eastAsia="Times New Roman" w:hAnsi="Times New Roman"/>
          <w:sz w:val="20"/>
          <w:szCs w:val="20"/>
          <w:color w:val="auto"/>
        </w:rPr>
        <w:t>” means a solicitation of Bid Rate Quotes setting forth Absolute Rates pursuant to Section 2.3.</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Absolute Rate Loan</w:t>
      </w:r>
      <w:r>
        <w:rPr>
          <w:rFonts w:ascii="Times New Roman" w:cs="Times New Roman" w:eastAsia="Times New Roman" w:hAnsi="Times New Roman"/>
          <w:sz w:val="20"/>
          <w:szCs w:val="20"/>
          <w:color w:val="auto"/>
        </w:rPr>
        <w:t>” means a Bid Rate Loan, the interest rate on which is determined on the basis of an Absolute Rate pursuant to an Absolute Rate Auction.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Costs</w:t>
      </w:r>
      <w:r>
        <w:rPr>
          <w:rFonts w:ascii="Times New Roman" w:cs="Times New Roman" w:eastAsia="Times New Roman" w:hAnsi="Times New Roman"/>
          <w:sz w:val="20"/>
          <w:szCs w:val="20"/>
          <w:color w:val="auto"/>
        </w:rPr>
        <w:t>” has the meaning given that term in Section 4.1.(b).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b w:val="1"/>
          <w:bCs w:val="1"/>
          <w:color w:val="FF0000"/>
          <w:strike w:val="1"/>
        </w:rPr>
        <w:t>Additional Term Loans</w:t>
      </w:r>
      <w:r>
        <w:rPr>
          <w:rFonts w:ascii="Times New Roman" w:cs="Times New Roman" w:eastAsia="Times New Roman" w:hAnsi="Times New Roman"/>
          <w:sz w:val="20"/>
          <w:szCs w:val="20"/>
          <w:color w:val="00B050"/>
          <w:strike w:val="1"/>
        </w:rPr>
        <w:t>” has the meaning given that term in Section</w:t>
      </w:r>
      <w:r>
        <w:rPr>
          <w:rFonts w:ascii="Times New Roman" w:cs="Times New Roman" w:eastAsia="Times New Roman" w:hAnsi="Times New Roman"/>
          <w:sz w:val="20"/>
          <w:szCs w:val="20"/>
          <w:color w:val="FF0000"/>
          <w:strike w:val="1"/>
        </w:rPr>
        <w:t xml:space="preserve"> 2.19.</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xml:space="preserve">” means, with respect to a Person for any given period, </w:t>
      </w:r>
      <w:r>
        <w:rPr>
          <w:rFonts w:ascii="Times New Roman" w:cs="Times New Roman" w:eastAsia="Times New Roman" w:hAnsi="Times New Roman"/>
          <w:sz w:val="20"/>
          <w:szCs w:val="20"/>
          <w:color w:val="auto"/>
          <w:strike w:val="1"/>
        </w:rPr>
        <w:t>(a)</w:t>
      </w:r>
      <w:r>
        <w:rPr>
          <w:rFonts w:ascii="Times New Roman" w:cs="Times New Roman" w:eastAsia="Times New Roman" w:hAnsi="Times New Roman"/>
          <w:sz w:val="20"/>
          <w:szCs w:val="20"/>
          <w:color w:val="auto"/>
        </w:rPr>
        <w:t xml:space="preserve"> the EBITDA of such Person and its Subsidiaries determined on a consolidated basis for such period</w:t>
      </w:r>
      <w:r>
        <w:rPr>
          <w:rFonts w:ascii="Times New Roman" w:cs="Times New Roman" w:eastAsia="Times New Roman" w:hAnsi="Times New Roman"/>
          <w:sz w:val="20"/>
          <w:szCs w:val="20"/>
          <w:color w:val="FF0000"/>
          <w:strike w:val="1"/>
        </w:rPr>
        <w:t>, minus (b) Capital Reserves of all Properties of such Person and its Subsidiaries.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purposes of determination of Adjusted EBITDA (a) EBITDA shall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adjusted to remove any impact from straight line rent leveling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adjustments required under GAAP </w:t>
      </w:r>
      <w:r>
        <w:rPr>
          <w:rFonts w:ascii="Times New Roman" w:cs="Times New Roman" w:eastAsia="Times New Roman" w:hAnsi="Times New Roman"/>
          <w:sz w:val="20"/>
          <w:szCs w:val="20"/>
          <w:color w:val="FF0000"/>
          <w:strike w:val="1"/>
        </w:rPr>
        <w:t>and (b) in the case of the Parent if a Change of Control has occurred, EBITDA shall be determined only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with respect to EBITDA attributable to Properties owned or leased by the Parent and its Subsidiaries</w:t>
      </w:r>
      <w:r>
        <w:rPr>
          <w:rFonts w:ascii="Times New Roman" w:cs="Times New Roman" w:eastAsia="Times New Roman" w:hAnsi="Times New Roman"/>
          <w:sz w:val="20"/>
          <w:szCs w:val="20"/>
          <w:color w:val="000000"/>
        </w:rPr>
        <w:t>.</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Term SOFR</w:t>
      </w:r>
      <w:r>
        <w:rPr>
          <w:rFonts w:ascii="Times New Roman" w:cs="Times New Roman" w:eastAsia="Times New Roman" w:hAnsi="Times New Roman"/>
          <w:sz w:val="20"/>
          <w:szCs w:val="20"/>
          <w:color w:val="auto"/>
        </w:rPr>
        <w:t>” means, for purposes of any calculation, the rate per annum equal to (a) Term SOFR for such calculation plus (b) the Term SOFR Adjustment; provided that if Adjusted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as so determined shall ever be less than the Floor, then Adjusted Term SOFR shall be deemed to be the Floor.</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means Wells Fargo Bank, National Association as contractual representative of the Lenders under this Agreement, or any successor Administrative Agent appointed pursuant to Section 11.8.</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Questionnaire</w:t>
      </w:r>
      <w:r>
        <w:rPr>
          <w:rFonts w:ascii="Times New Roman" w:cs="Times New Roman" w:eastAsia="Times New Roman" w:hAnsi="Times New Roman"/>
          <w:sz w:val="20"/>
          <w:szCs w:val="20"/>
          <w:color w:val="auto"/>
        </w:rPr>
        <w:t>” means the Administrative Questionnaire completed by each Lender and delivered to the Administrative Agent in a form supplied by the Administrative Agent to the Lenders from time to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Lender</w:t>
      </w:r>
      <w:r>
        <w:rPr>
          <w:rFonts w:ascii="Times New Roman" w:cs="Times New Roman" w:eastAsia="Times New Roman" w:hAnsi="Times New Roman"/>
          <w:sz w:val="20"/>
          <w:szCs w:val="20"/>
          <w:color w:val="auto"/>
        </w:rPr>
        <w:t>” has the meaning given that term in Section 4.6.</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has the meaning given that term in the introductory paragraph 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 Date</w:t>
      </w:r>
      <w:r>
        <w:rPr>
          <w:rFonts w:ascii="Times New Roman" w:cs="Times New Roman" w:eastAsia="Times New Roman" w:hAnsi="Times New Roman"/>
          <w:sz w:val="20"/>
          <w:szCs w:val="20"/>
          <w:color w:val="auto"/>
        </w:rPr>
        <w:t>” means the date as of which this Agreement is dated.</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Annualization Period</w:t>
      </w:r>
      <w:r>
        <w:rPr>
          <w:rFonts w:ascii="Times New Roman" w:cs="Times New Roman" w:eastAsia="Times New Roman" w:hAnsi="Times New Roman"/>
          <w:sz w:val="20"/>
          <w:szCs w:val="20"/>
          <w:color w:val="auto"/>
        </w:rPr>
        <w:t>” means the period of three fiscal quarters of the Parent immediately following (a) in the case of a Newly-Acquired Property, the period of six fiscal quarters commencing with the fiscal quarter in which such Newly-Acquired Property was acquired, and (b) in the case of a Transition Asset, the last day of the fiscal quarter in which such Property ceased to be a Transition Asset</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Annualized</w:t>
      </w:r>
      <w:r>
        <w:rPr>
          <w:rFonts w:ascii="Times New Roman" w:cs="Times New Roman" w:eastAsia="Times New Roman" w:hAnsi="Times New Roman"/>
          <w:sz w:val="20"/>
          <w:szCs w:val="20"/>
          <w:color w:val="auto"/>
        </w:rPr>
        <w:t xml:space="preserve">” means, with respect to a Newly-Acquired Property or a Transition Asset, (a) for the first fiscal quarter immediately following the Annualization Period for such Property, Unencumbered Adjusted NOI or EBITDA, as applicable, for such Property for such fiscal quarter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4, (b) for the second fiscal quarter immediately following such Annualization Period, the sum of Unencumbered Adjusted NOI or EBITDA, as applicable, for such Property for such fiscal quarter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fiscal quarter immediately preceding such fiscal quarter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2 and (c) for the third fiscal quarter immediately following such Annualization Period, the sum of Unencumbered Adjusted NOI or EBITDA, as applicable, for such Property for such fiscal quarter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two fiscal quarters immediately preceding such fiscal quarter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4/3rds.</w:t>
      </w:r>
    </w:p>
    <w:p>
      <w:pPr>
        <w:spacing w:after="0" w:line="18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all Applicable Laws of any jurisdiction concerning or relating to bribery or corruption, including without limitation, the Foreign Corrupt Practices Act of 1977.</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means any and all Applicable Laws related to the financing of terrorism or money laundering, including without limitation, any applicable provision of the Patriot Act and The Currency and Foreign Transactions Reporting Act (also known as the “Bank Secrecy Act,” 31 U.S.C. §§ 5311-5330 and 12 U.S.C. §§ 1818(s), 1820(b) and 1951-1959).</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Facility Fee</w:t>
      </w:r>
      <w:r>
        <w:rPr>
          <w:rFonts w:ascii="Times New Roman" w:cs="Times New Roman" w:eastAsia="Times New Roman" w:hAnsi="Times New Roman"/>
          <w:sz w:val="20"/>
          <w:szCs w:val="20"/>
          <w:color w:val="auto"/>
        </w:rPr>
        <w:t>” means the percentage set forth in the table below corresponding to the Level at which the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is determined in accordance with the definition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- 3 -</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3" w:lineRule="exact"/>
        <w:rPr>
          <w:sz w:val="20"/>
          <w:szCs w:val="20"/>
          <w:color w:val="auto"/>
        </w:rPr>
      </w:pPr>
    </w:p>
    <w:tbl>
      <w:tblPr>
        <w:tblLayout w:type="fixed"/>
        <w:tblInd w:w="2950" w:type="dxa"/>
        <w:tblCellMar>
          <w:top w:w="0" w:type="dxa"/>
          <w:left w:w="0" w:type="dxa"/>
          <w:bottom w:w="0" w:type="dxa"/>
          <w:right w:w="0" w:type="dxa"/>
        </w:tblCellMar>
      </w:tblPr>
      <w:tr>
        <w:trPr>
          <w:trHeight w:val="270"/>
        </w:trPr>
        <w:tc>
          <w:tcPr>
            <w:tcW w:w="1060" w:type="dxa"/>
            <w:vAlign w:val="bottom"/>
            <w:tcBorders>
              <w:top w:val="single" w:sz="8" w:color="auto"/>
              <w:left w:val="single" w:sz="8" w:color="auto"/>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1500" w:type="dxa"/>
            <w:vAlign w:val="bottom"/>
            <w:tcBorders>
              <w:top w:val="single" w:sz="8" w:color="auto"/>
              <w:bottom w:val="single" w:sz="8" w:color="auto"/>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Facility Fee</w:t>
            </w:r>
          </w:p>
        </w:tc>
      </w:tr>
      <w:tr>
        <w:trPr>
          <w:trHeight w:val="209"/>
        </w:trPr>
        <w:tc>
          <w:tcPr>
            <w:tcW w:w="560" w:type="dxa"/>
            <w:vAlign w:val="bottom"/>
            <w:tcBorders>
              <w:left w:val="single" w:sz="8" w:color="auto"/>
            </w:tcBorders>
            <w:gridSpan w:val="2"/>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w w:val="99"/>
              </w:rPr>
              <w:t>1</w:t>
            </w:r>
          </w:p>
        </w:tc>
        <w:tc>
          <w:tcPr>
            <w:tcW w:w="500" w:type="dxa"/>
            <w:vAlign w:val="bottom"/>
            <w:tcBorders>
              <w:right w:val="single" w:sz="8" w:color="auto"/>
            </w:tcBorders>
          </w:tcPr>
          <w:p>
            <w:pPr>
              <w:spacing w:after="0"/>
              <w:rPr>
                <w:sz w:val="18"/>
                <w:szCs w:val="18"/>
                <w:color w:val="auto"/>
              </w:rPr>
            </w:pPr>
          </w:p>
        </w:tc>
        <w:tc>
          <w:tcPr>
            <w:tcW w:w="66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0.125</w:t>
            </w:r>
          </w:p>
        </w:tc>
        <w:tc>
          <w:tcPr>
            <w:tcW w:w="840" w:type="dxa"/>
            <w:vAlign w:val="bottom"/>
            <w:tcBorders>
              <w:right w:val="single" w:sz="8" w:color="auto"/>
            </w:tcBorders>
            <w:gridSpan w:val="3"/>
          </w:tcPr>
          <w:p>
            <w:pPr>
              <w:jc w:val="right"/>
              <w:ind w:right="240"/>
              <w:spacing w:after="0" w:line="209" w:lineRule="exact"/>
              <w:rPr>
                <w:sz w:val="20"/>
                <w:szCs w:val="20"/>
                <w:color w:val="auto"/>
              </w:rPr>
            </w:pPr>
            <w:r>
              <w:rPr>
                <w:rFonts w:ascii="Times New Roman" w:cs="Times New Roman" w:eastAsia="Times New Roman" w:hAnsi="Times New Roman"/>
                <w:sz w:val="20"/>
                <w:szCs w:val="20"/>
                <w:color w:val="0070C0"/>
                <w:w w:val="93"/>
              </w:rPr>
              <w:t>0.200</w:t>
            </w:r>
            <w:r>
              <w:rPr>
                <w:rFonts w:ascii="Times New Roman" w:cs="Times New Roman" w:eastAsia="Times New Roman" w:hAnsi="Times New Roman"/>
                <w:sz w:val="20"/>
                <w:szCs w:val="20"/>
                <w:color w:val="000000"/>
                <w:w w:val="93"/>
              </w:rPr>
              <w:t>%</w:t>
            </w: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top w:val="single" w:sz="8" w:color="0070C0"/>
              <w:bottom w:val="single" w:sz="8" w:color="auto"/>
            </w:tcBorders>
          </w:tcPr>
          <w:p>
            <w:pPr>
              <w:spacing w:after="0"/>
              <w:rPr>
                <w:sz w:val="5"/>
                <w:szCs w:val="5"/>
                <w:color w:val="auto"/>
              </w:rPr>
            </w:pPr>
          </w:p>
        </w:tc>
        <w:tc>
          <w:tcPr>
            <w:tcW w:w="60" w:type="dxa"/>
            <w:vAlign w:val="bottom"/>
            <w:tcBorders>
              <w:top w:val="single" w:sz="8" w:color="0070C0"/>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r>
      <w:tr>
        <w:trPr>
          <w:trHeight w:val="210"/>
        </w:trPr>
        <w:tc>
          <w:tcPr>
            <w:tcW w:w="560" w:type="dxa"/>
            <w:vAlign w:val="bottom"/>
            <w:tcBorders>
              <w:left w:val="single" w:sz="8" w:color="auto"/>
            </w:tcBorders>
            <w:gridSpan w:val="2"/>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w w:val="99"/>
              </w:rPr>
              <w:t>2</w:t>
            </w:r>
          </w:p>
        </w:tc>
        <w:tc>
          <w:tcPr>
            <w:tcW w:w="500" w:type="dxa"/>
            <w:vAlign w:val="bottom"/>
            <w:tcBorders>
              <w:right w:val="single" w:sz="8" w:color="auto"/>
            </w:tcBorders>
          </w:tcPr>
          <w:p>
            <w:pPr>
              <w:spacing w:after="0"/>
              <w:rPr>
                <w:sz w:val="18"/>
                <w:szCs w:val="18"/>
                <w:color w:val="auto"/>
              </w:rPr>
            </w:pPr>
          </w:p>
        </w:tc>
        <w:tc>
          <w:tcPr>
            <w:tcW w:w="66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0.150</w:t>
            </w:r>
          </w:p>
        </w:tc>
        <w:tc>
          <w:tcPr>
            <w:tcW w:w="840" w:type="dxa"/>
            <w:vAlign w:val="bottom"/>
            <w:tcBorders>
              <w:right w:val="single" w:sz="8" w:color="auto"/>
            </w:tcBorders>
            <w:gridSpan w:val="3"/>
          </w:tcPr>
          <w:p>
            <w:pPr>
              <w:jc w:val="right"/>
              <w:ind w:right="240"/>
              <w:spacing w:after="0" w:line="209" w:lineRule="exact"/>
              <w:rPr>
                <w:sz w:val="20"/>
                <w:szCs w:val="20"/>
                <w:color w:val="auto"/>
              </w:rPr>
            </w:pPr>
            <w:r>
              <w:rPr>
                <w:rFonts w:ascii="Times New Roman" w:cs="Times New Roman" w:eastAsia="Times New Roman" w:hAnsi="Times New Roman"/>
                <w:sz w:val="20"/>
                <w:szCs w:val="20"/>
                <w:color w:val="0070C0"/>
                <w:w w:val="93"/>
              </w:rPr>
              <w:t>0.250</w:t>
            </w:r>
            <w:r>
              <w:rPr>
                <w:rFonts w:ascii="Times New Roman" w:cs="Times New Roman" w:eastAsia="Times New Roman" w:hAnsi="Times New Roman"/>
                <w:sz w:val="20"/>
                <w:szCs w:val="20"/>
                <w:color w:val="000000"/>
                <w:w w:val="93"/>
              </w:rPr>
              <w:t>%</w:t>
            </w: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top w:val="single" w:sz="8" w:color="0070C0"/>
              <w:bottom w:val="single" w:sz="8" w:color="auto"/>
            </w:tcBorders>
          </w:tcPr>
          <w:p>
            <w:pPr>
              <w:spacing w:after="0"/>
              <w:rPr>
                <w:sz w:val="5"/>
                <w:szCs w:val="5"/>
                <w:color w:val="auto"/>
              </w:rPr>
            </w:pPr>
          </w:p>
        </w:tc>
        <w:tc>
          <w:tcPr>
            <w:tcW w:w="60" w:type="dxa"/>
            <w:vAlign w:val="bottom"/>
            <w:tcBorders>
              <w:top w:val="single" w:sz="8" w:color="0070C0"/>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r>
      <w:tr>
        <w:trPr>
          <w:trHeight w:val="209"/>
        </w:trPr>
        <w:tc>
          <w:tcPr>
            <w:tcW w:w="560" w:type="dxa"/>
            <w:vAlign w:val="bottom"/>
            <w:tcBorders>
              <w:left w:val="single" w:sz="8" w:color="auto"/>
            </w:tcBorders>
            <w:gridSpan w:val="2"/>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w w:val="99"/>
              </w:rPr>
              <w:t>3</w:t>
            </w:r>
          </w:p>
        </w:tc>
        <w:tc>
          <w:tcPr>
            <w:tcW w:w="500" w:type="dxa"/>
            <w:vAlign w:val="bottom"/>
            <w:tcBorders>
              <w:right w:val="single" w:sz="8" w:color="auto"/>
            </w:tcBorders>
          </w:tcPr>
          <w:p>
            <w:pPr>
              <w:spacing w:after="0"/>
              <w:rPr>
                <w:sz w:val="18"/>
                <w:szCs w:val="18"/>
                <w:color w:val="auto"/>
              </w:rPr>
            </w:pPr>
          </w:p>
        </w:tc>
        <w:tc>
          <w:tcPr>
            <w:tcW w:w="66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0.200</w:t>
            </w:r>
          </w:p>
        </w:tc>
        <w:tc>
          <w:tcPr>
            <w:tcW w:w="840" w:type="dxa"/>
            <w:vAlign w:val="bottom"/>
            <w:tcBorders>
              <w:right w:val="single" w:sz="8" w:color="auto"/>
            </w:tcBorders>
            <w:gridSpan w:val="3"/>
          </w:tcPr>
          <w:p>
            <w:pPr>
              <w:jc w:val="right"/>
              <w:ind w:right="240"/>
              <w:spacing w:after="0" w:line="209" w:lineRule="exact"/>
              <w:rPr>
                <w:sz w:val="20"/>
                <w:szCs w:val="20"/>
                <w:color w:val="auto"/>
              </w:rPr>
            </w:pPr>
            <w:r>
              <w:rPr>
                <w:rFonts w:ascii="Times New Roman" w:cs="Times New Roman" w:eastAsia="Times New Roman" w:hAnsi="Times New Roman"/>
                <w:sz w:val="20"/>
                <w:szCs w:val="20"/>
                <w:color w:val="0070C0"/>
                <w:w w:val="93"/>
              </w:rPr>
              <w:t>0.300</w:t>
            </w:r>
            <w:r>
              <w:rPr>
                <w:rFonts w:ascii="Times New Roman" w:cs="Times New Roman" w:eastAsia="Times New Roman" w:hAnsi="Times New Roman"/>
                <w:sz w:val="20"/>
                <w:szCs w:val="20"/>
                <w:color w:val="000000"/>
                <w:w w:val="93"/>
              </w:rPr>
              <w:t>%</w:t>
            </w: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top w:val="single" w:sz="8" w:color="0070C0"/>
              <w:bottom w:val="single" w:sz="8" w:color="auto"/>
            </w:tcBorders>
          </w:tcPr>
          <w:p>
            <w:pPr>
              <w:spacing w:after="0"/>
              <w:rPr>
                <w:sz w:val="5"/>
                <w:szCs w:val="5"/>
                <w:color w:val="auto"/>
              </w:rPr>
            </w:pPr>
          </w:p>
        </w:tc>
        <w:tc>
          <w:tcPr>
            <w:tcW w:w="60" w:type="dxa"/>
            <w:vAlign w:val="bottom"/>
            <w:tcBorders>
              <w:top w:val="single" w:sz="8" w:color="0070C0"/>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r>
      <w:tr>
        <w:trPr>
          <w:trHeight w:val="209"/>
        </w:trPr>
        <w:tc>
          <w:tcPr>
            <w:tcW w:w="560" w:type="dxa"/>
            <w:vAlign w:val="bottom"/>
            <w:tcBorders>
              <w:left w:val="single" w:sz="8" w:color="auto"/>
            </w:tcBorders>
            <w:gridSpan w:val="2"/>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w w:val="99"/>
              </w:rPr>
              <w:t>4</w:t>
            </w:r>
          </w:p>
        </w:tc>
        <w:tc>
          <w:tcPr>
            <w:tcW w:w="500" w:type="dxa"/>
            <w:vAlign w:val="bottom"/>
            <w:tcBorders>
              <w:right w:val="single" w:sz="8" w:color="auto"/>
            </w:tcBorders>
          </w:tcPr>
          <w:p>
            <w:pPr>
              <w:spacing w:after="0"/>
              <w:rPr>
                <w:sz w:val="18"/>
                <w:szCs w:val="18"/>
                <w:color w:val="auto"/>
              </w:rPr>
            </w:pPr>
          </w:p>
        </w:tc>
        <w:tc>
          <w:tcPr>
            <w:tcW w:w="66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0.250</w:t>
            </w:r>
          </w:p>
        </w:tc>
        <w:tc>
          <w:tcPr>
            <w:tcW w:w="840" w:type="dxa"/>
            <w:vAlign w:val="bottom"/>
            <w:tcBorders>
              <w:right w:val="single" w:sz="8" w:color="auto"/>
            </w:tcBorders>
            <w:gridSpan w:val="3"/>
          </w:tcPr>
          <w:p>
            <w:pPr>
              <w:jc w:val="right"/>
              <w:ind w:right="240"/>
              <w:spacing w:after="0" w:line="209" w:lineRule="exact"/>
              <w:rPr>
                <w:sz w:val="20"/>
                <w:szCs w:val="20"/>
                <w:color w:val="auto"/>
              </w:rPr>
            </w:pPr>
            <w:r>
              <w:rPr>
                <w:rFonts w:ascii="Times New Roman" w:cs="Times New Roman" w:eastAsia="Times New Roman" w:hAnsi="Times New Roman"/>
                <w:sz w:val="20"/>
                <w:szCs w:val="20"/>
                <w:color w:val="0070C0"/>
                <w:w w:val="93"/>
              </w:rPr>
              <w:t>0.350</w:t>
            </w:r>
            <w:r>
              <w:rPr>
                <w:rFonts w:ascii="Times New Roman" w:cs="Times New Roman" w:eastAsia="Times New Roman" w:hAnsi="Times New Roman"/>
                <w:sz w:val="20"/>
                <w:szCs w:val="20"/>
                <w:color w:val="000000"/>
                <w:w w:val="93"/>
              </w:rPr>
              <w:t>%</w:t>
            </w: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top w:val="single" w:sz="8" w:color="0070C0"/>
              <w:bottom w:val="single" w:sz="8" w:color="auto"/>
            </w:tcBorders>
          </w:tcPr>
          <w:p>
            <w:pPr>
              <w:spacing w:after="0"/>
              <w:rPr>
                <w:sz w:val="5"/>
                <w:szCs w:val="5"/>
                <w:color w:val="auto"/>
              </w:rPr>
            </w:pPr>
          </w:p>
        </w:tc>
        <w:tc>
          <w:tcPr>
            <w:tcW w:w="60" w:type="dxa"/>
            <w:vAlign w:val="bottom"/>
            <w:tcBorders>
              <w:top w:val="single" w:sz="8" w:color="0070C0"/>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r>
      <w:tr>
        <w:trPr>
          <w:trHeight w:val="209"/>
        </w:trPr>
        <w:tc>
          <w:tcPr>
            <w:tcW w:w="560" w:type="dxa"/>
            <w:vAlign w:val="bottom"/>
            <w:tcBorders>
              <w:left w:val="single" w:sz="8" w:color="auto"/>
            </w:tcBorders>
            <w:gridSpan w:val="2"/>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w w:val="99"/>
              </w:rPr>
              <w:t>5</w:t>
            </w:r>
          </w:p>
        </w:tc>
        <w:tc>
          <w:tcPr>
            <w:tcW w:w="500" w:type="dxa"/>
            <w:vAlign w:val="bottom"/>
            <w:tcBorders>
              <w:right w:val="single" w:sz="8" w:color="auto"/>
            </w:tcBorders>
          </w:tcPr>
          <w:p>
            <w:pPr>
              <w:spacing w:after="0"/>
              <w:rPr>
                <w:sz w:val="18"/>
                <w:szCs w:val="18"/>
                <w:color w:val="auto"/>
              </w:rPr>
            </w:pPr>
          </w:p>
        </w:tc>
        <w:tc>
          <w:tcPr>
            <w:tcW w:w="66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0.300</w:t>
            </w:r>
          </w:p>
        </w:tc>
        <w:tc>
          <w:tcPr>
            <w:tcW w:w="840" w:type="dxa"/>
            <w:vAlign w:val="bottom"/>
            <w:tcBorders>
              <w:right w:val="single" w:sz="8" w:color="auto"/>
            </w:tcBorders>
            <w:gridSpan w:val="3"/>
          </w:tcPr>
          <w:p>
            <w:pPr>
              <w:jc w:val="right"/>
              <w:ind w:right="240"/>
              <w:spacing w:after="0" w:line="209" w:lineRule="exact"/>
              <w:rPr>
                <w:sz w:val="20"/>
                <w:szCs w:val="20"/>
                <w:color w:val="auto"/>
              </w:rPr>
            </w:pPr>
            <w:r>
              <w:rPr>
                <w:rFonts w:ascii="Times New Roman" w:cs="Times New Roman" w:eastAsia="Times New Roman" w:hAnsi="Times New Roman"/>
                <w:sz w:val="20"/>
                <w:szCs w:val="20"/>
                <w:color w:val="0070C0"/>
                <w:w w:val="93"/>
              </w:rPr>
              <w:t>0.400</w:t>
            </w:r>
            <w:r>
              <w:rPr>
                <w:rFonts w:ascii="Times New Roman" w:cs="Times New Roman" w:eastAsia="Times New Roman" w:hAnsi="Times New Roman"/>
                <w:sz w:val="20"/>
                <w:szCs w:val="20"/>
                <w:color w:val="000000"/>
                <w:w w:val="93"/>
              </w:rPr>
              <w:t>%</w:t>
            </w: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top w:val="single" w:sz="8" w:color="0070C0"/>
              <w:bottom w:val="single" w:sz="8" w:color="auto"/>
            </w:tcBorders>
          </w:tcPr>
          <w:p>
            <w:pPr>
              <w:spacing w:after="0"/>
              <w:rPr>
                <w:sz w:val="5"/>
                <w:szCs w:val="5"/>
                <w:color w:val="auto"/>
              </w:rPr>
            </w:pPr>
          </w:p>
        </w:tc>
        <w:tc>
          <w:tcPr>
            <w:tcW w:w="60" w:type="dxa"/>
            <w:vAlign w:val="bottom"/>
            <w:tcBorders>
              <w:top w:val="single" w:sz="8" w:color="0070C0"/>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r>
      <w:tr>
        <w:trPr>
          <w:trHeight w:val="196"/>
        </w:trPr>
        <w:tc>
          <w:tcPr>
            <w:tcW w:w="560" w:type="dxa"/>
            <w:vAlign w:val="bottom"/>
            <w:tcBorders>
              <w:left w:val="single" w:sz="8" w:color="auto"/>
            </w:tcBorders>
            <w:gridSpan w:val="2"/>
          </w:tcPr>
          <w:p>
            <w:pPr>
              <w:jc w:val="center"/>
              <w:ind w:left="361"/>
              <w:spacing w:after="0" w:line="196" w:lineRule="exact"/>
              <w:rPr>
                <w:sz w:val="20"/>
                <w:szCs w:val="20"/>
                <w:color w:val="auto"/>
              </w:rPr>
            </w:pPr>
            <w:r>
              <w:rPr>
                <w:rFonts w:ascii="Times New Roman" w:cs="Times New Roman" w:eastAsia="Times New Roman" w:hAnsi="Times New Roman"/>
                <w:sz w:val="20"/>
                <w:szCs w:val="20"/>
                <w:color w:val="0070C0"/>
                <w:w w:val="99"/>
              </w:rPr>
              <w:t>6</w:t>
            </w:r>
          </w:p>
        </w:tc>
        <w:tc>
          <w:tcPr>
            <w:tcW w:w="500" w:type="dxa"/>
            <w:vAlign w:val="bottom"/>
            <w:tcBorders>
              <w:right w:val="single" w:sz="8" w:color="auto"/>
            </w:tcBorders>
          </w:tcPr>
          <w:p>
            <w:pPr>
              <w:spacing w:after="0"/>
              <w:rPr>
                <w:sz w:val="17"/>
                <w:szCs w:val="17"/>
                <w:color w:val="auto"/>
              </w:rPr>
            </w:pPr>
          </w:p>
        </w:tc>
        <w:tc>
          <w:tcPr>
            <w:tcW w:w="11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20"/>
                <w:szCs w:val="20"/>
                <w:color w:val="0070C0"/>
              </w:rPr>
              <w:t>0.450%</w:t>
            </w:r>
          </w:p>
        </w:tc>
        <w:tc>
          <w:tcPr>
            <w:tcW w:w="400" w:type="dxa"/>
            <w:vAlign w:val="bottom"/>
            <w:tcBorders>
              <w:right w:val="single" w:sz="8" w:color="auto"/>
            </w:tcBorders>
          </w:tcPr>
          <w:p>
            <w:pPr>
              <w:spacing w:after="0"/>
              <w:rPr>
                <w:sz w:val="17"/>
                <w:szCs w:val="17"/>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00" w:type="dxa"/>
            <w:vAlign w:val="bottom"/>
            <w:tcBorders>
              <w:top w:val="single" w:sz="8" w:color="0070C0"/>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top w:val="single" w:sz="8" w:color="0070C0"/>
              <w:bottom w:val="single" w:sz="8" w:color="auto"/>
            </w:tcBorders>
          </w:tcPr>
          <w:p>
            <w:pPr>
              <w:spacing w:after="0"/>
              <w:rPr>
                <w:sz w:val="2"/>
                <w:szCs w:val="2"/>
                <w:color w:val="auto"/>
              </w:rPr>
            </w:pPr>
          </w:p>
        </w:tc>
        <w:tc>
          <w:tcPr>
            <w:tcW w:w="380" w:type="dxa"/>
            <w:vAlign w:val="bottom"/>
            <w:tcBorders>
              <w:top w:val="single" w:sz="8" w:color="0070C0"/>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change in the applicable Level at which the Applicable Margins are determined shall result in a corresponding and simultaneous change in the Applicable Facility Fee.</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Margin</w:t>
      </w:r>
      <w:r>
        <w:rPr>
          <w:rFonts w:ascii="Times New Roman" w:cs="Times New Roman" w:eastAsia="Times New Roman" w:hAnsi="Times New Roman"/>
          <w:sz w:val="20"/>
          <w:szCs w:val="20"/>
          <w:color w:val="auto"/>
        </w:rPr>
        <w:t xml:space="preserve">” means the percentage rate set forth in the </w:t>
      </w:r>
      <w:r>
        <w:rPr>
          <w:rFonts w:ascii="Times New Roman" w:cs="Times New Roman" w:eastAsia="Times New Roman" w:hAnsi="Times New Roman"/>
          <w:sz w:val="20"/>
          <w:szCs w:val="20"/>
          <w:color w:val="FF0000"/>
          <w:strike w:val="1"/>
        </w:rPr>
        <w:t>table</w:t>
      </w:r>
      <w:r>
        <w:rPr>
          <w:rFonts w:ascii="Times New Roman" w:cs="Times New Roman" w:eastAsia="Times New Roman" w:hAnsi="Times New Roman"/>
          <w:sz w:val="20"/>
          <w:szCs w:val="20"/>
          <w:u w:val="single" w:color="auto"/>
          <w:color w:val="0070C0"/>
        </w:rPr>
        <w:t>tables</w:t>
      </w:r>
      <w:r>
        <w:rPr>
          <w:rFonts w:ascii="Times New Roman" w:cs="Times New Roman" w:eastAsia="Times New Roman" w:hAnsi="Times New Roman"/>
          <w:sz w:val="20"/>
          <w:szCs w:val="20"/>
          <w:color w:val="auto"/>
        </w:rPr>
        <w:t xml:space="preserve"> below for the applicable Class of Loans corresponding to the level (each a “Level”) into which the Parent’s Credit Rating (or if the Parent shall cease to have a Credit Rating but one of the other Borrowers shall have a Credit Rating, then such other Borrower (the Parent or such other Borrower, as applicable, being referred to as the “Rated Borrower”)) then falls.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0C0"/>
        </w:rPr>
        <w:t>First Amendment</w:t>
      </w:r>
      <w:r>
        <w:rPr>
          <w:rFonts w:ascii="Times New Roman" w:cs="Times New Roman" w:eastAsia="Times New Roman" w:hAnsi="Times New Roman"/>
          <w:sz w:val="20"/>
          <w:szCs w:val="20"/>
          <w:color w:val="auto"/>
        </w:rPr>
        <w:t xml:space="preserve"> Date, the Applicable </w:t>
      </w:r>
      <w:r>
        <w:rPr>
          <w:rFonts w:ascii="Times New Roman" w:cs="Times New Roman" w:eastAsia="Times New Roman" w:hAnsi="Times New Roman"/>
          <w:sz w:val="20"/>
          <w:szCs w:val="20"/>
          <w:color w:val="FF0000"/>
          <w:strike w:val="1"/>
        </w:rPr>
        <w:t>Margins</w:t>
      </w:r>
      <w:r>
        <w:rPr>
          <w:rFonts w:ascii="Times New Roman" w:cs="Times New Roman" w:eastAsia="Times New Roman" w:hAnsi="Times New Roman"/>
          <w:sz w:val="20"/>
          <w:szCs w:val="20"/>
          <w:u w:val="single" w:color="auto"/>
          <w:color w:val="0070C0"/>
        </w:rPr>
        <w:t>Margin for (x) Term A Loans 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determined based on Level 5 and (y) Revolving Loans</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are determined based on Level 3</w:t>
      </w:r>
      <w:r>
        <w:rPr>
          <w:rFonts w:ascii="Times New Roman" w:cs="Times New Roman" w:eastAsia="Times New Roman" w:hAnsi="Times New Roman"/>
          <w:sz w:val="20"/>
          <w:szCs w:val="20"/>
          <w:u w:val="single" w:color="auto"/>
          <w:color w:val="000000"/>
        </w:rPr>
        <w: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70C0"/>
        </w:rPr>
        <w:t>in each case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in the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table set forth below.</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Any change in the applicable Credit Ratings which would cause the Applicable Margins to move to a different Level shall be effective as of the effective date of the change in the Rated Borrower’s Credit Rating. The Rated Borrower shall have not less than two Credit Ratings at all times, one of which shall be from S&amp;P or Moody’s. In the event that the Rated Borrower receives only two Credit Ratings, and such Credit Ratings are not equivalent, the Applicable Margin shall be the higher of the two Credit Ratings. In the event that Rated Borrower receives more than two Credit Ratings, and such Credit Ratings are not all equivalent, the Applicable Margin shall be (A) if the difference between the highest and the lowest such Credit Ratings is one ratings category (e.g. Baa2 by Moody’s and BBB- by S&amp;P or Fitch), the Applicable Margin shall be the rate per annum that would be applicable if the highest of the Credit Ratings were used; and (B) if the difference between the highest and the lowest such Credit Ratings is two ratings categories (e.g. </w:t>
      </w:r>
      <w:r>
        <w:rPr>
          <w:rFonts w:ascii="Times New Roman" w:cs="Times New Roman" w:eastAsia="Times New Roman" w:hAnsi="Times New Roman"/>
          <w:sz w:val="20"/>
          <w:szCs w:val="20"/>
          <w:u w:val="single" w:color="auto"/>
          <w:color w:val="0070C0"/>
        </w:rPr>
        <w:t>with respect to Term A Loans,</w:t>
      </w:r>
      <w:r>
        <w:rPr>
          <w:rFonts w:ascii="Times New Roman" w:cs="Times New Roman" w:eastAsia="Times New Roman" w:hAnsi="Times New Roman"/>
          <w:sz w:val="20"/>
          <w:szCs w:val="20"/>
          <w:color w:val="000000"/>
        </w:rPr>
        <w:t xml:space="preserve"> Baal by Moody’s and BBB- by S&amp;P or Fitch) or more, the Applicable Margin shall be the rate per annum that would be applicable if the average of the two highest Credit Ratings were used, provided that if such average is not a recognized rating category (i.e., the difference between the Credit Ratings is an even number of ratings categories), then the Applicable Margin shall be based on the lower of the two highest Credit Ratings. During any period in which the Rated Borrower does not have at least two Credit Ratings or at least one Credit Rating is not from S&amp;P or Moody’s, the Applicable Margins </w:t>
      </w:r>
      <w:r>
        <w:rPr>
          <w:rFonts w:ascii="Times New Roman" w:cs="Times New Roman" w:eastAsia="Times New Roman" w:hAnsi="Times New Roman"/>
          <w:sz w:val="20"/>
          <w:szCs w:val="20"/>
          <w:u w:val="single" w:color="auto"/>
          <w:color w:val="0070C0"/>
        </w:rPr>
        <w:t>for Term A Loans</w:t>
      </w:r>
      <w:r>
        <w:rPr>
          <w:rFonts w:ascii="Times New Roman" w:cs="Times New Roman" w:eastAsia="Times New Roman" w:hAnsi="Times New Roman"/>
          <w:sz w:val="20"/>
          <w:szCs w:val="20"/>
          <w:color w:val="000000"/>
        </w:rPr>
        <w:t xml:space="preserve"> shall be determined based on Level 5 in the </w:t>
      </w:r>
      <w:r>
        <w:rPr>
          <w:rFonts w:ascii="Times New Roman" w:cs="Times New Roman" w:eastAsia="Times New Roman" w:hAnsi="Times New Roman"/>
          <w:sz w:val="20"/>
          <w:szCs w:val="20"/>
          <w:u w:val="single" w:color="auto"/>
          <w:color w:val="0070C0"/>
        </w:rPr>
        <w:t>first table set forth below and the Applicable Margins for Revolving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0C0"/>
        </w:rPr>
        <w:t>Loans shall be determined based on Level 6 in the second</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table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-2141220</wp:posOffset>
            </wp:positionV>
            <wp:extent cx="31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- 4 -</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20" w:type="dxa"/>
            <w:vAlign w:val="bottom"/>
            <w:tcBorders>
              <w:top w:val="single" w:sz="8" w:color="auto"/>
              <w:left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Level</w:t>
            </w:r>
          </w:p>
        </w:tc>
        <w:tc>
          <w:tcPr>
            <w:tcW w:w="2320" w:type="dxa"/>
            <w:vAlign w:val="bottom"/>
            <w:tcBorders>
              <w:top w:val="single" w:sz="8" w:color="auto"/>
              <w:right w:val="single" w:sz="8" w:color="auto"/>
            </w:tcBorders>
            <w:gridSpan w:val="10"/>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Rated Borrower’s Credit Rating</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7"/>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Applicable Margin</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right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40" w:type="dxa"/>
            <w:vAlign w:val="bottom"/>
            <w:tcBorders>
              <w:top w:val="single" w:sz="8" w:color="auto"/>
              <w:right w:val="single" w:sz="8" w:color="auto"/>
            </w:tcBorders>
            <w:gridSpan w:val="5"/>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Applicabl e</w:t>
            </w:r>
          </w:p>
        </w:tc>
        <w:tc>
          <w:tcPr>
            <w:tcW w:w="136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Applicabl e Margin</w:t>
            </w:r>
          </w:p>
        </w:tc>
        <w:tc>
          <w:tcPr>
            <w:tcW w:w="132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Applicabl e Margin</w:t>
            </w:r>
          </w:p>
        </w:tc>
        <w:tc>
          <w:tcPr>
            <w:tcW w:w="0" w:type="dxa"/>
            <w:vAlign w:val="bottom"/>
          </w:tcPr>
          <w:p>
            <w:pPr>
              <w:spacing w:after="0"/>
              <w:rPr>
                <w:sz w:val="1"/>
                <w:szCs w:val="1"/>
                <w:color w:val="auto"/>
              </w:rPr>
            </w:pPr>
          </w:p>
        </w:tc>
      </w:tr>
      <w:tr>
        <w:trPr>
          <w:trHeight w:val="146"/>
        </w:trPr>
        <w:tc>
          <w:tcPr>
            <w:tcW w:w="820" w:type="dxa"/>
            <w:vAlign w:val="bottom"/>
            <w:tcBorders>
              <w:left w:val="single" w:sz="8" w:color="auto"/>
              <w:right w:val="single" w:sz="8" w:color="auto"/>
            </w:tcBorders>
          </w:tcPr>
          <w:p>
            <w:pPr>
              <w:spacing w:after="0"/>
              <w:rPr>
                <w:sz w:val="12"/>
                <w:szCs w:val="12"/>
                <w:color w:val="auto"/>
              </w:rPr>
            </w:pPr>
          </w:p>
        </w:tc>
        <w:tc>
          <w:tcPr>
            <w:tcW w:w="2320" w:type="dxa"/>
            <w:vAlign w:val="bottom"/>
            <w:tcBorders>
              <w:right w:val="single" w:sz="8" w:color="auto"/>
            </w:tcBorders>
            <w:gridSpan w:val="10"/>
          </w:tcPr>
          <w:p>
            <w:pPr>
              <w:ind w:left="240"/>
              <w:spacing w:after="0" w:line="146" w:lineRule="exact"/>
              <w:rPr>
                <w:sz w:val="20"/>
                <w:szCs w:val="20"/>
                <w:color w:val="auto"/>
              </w:rPr>
            </w:pPr>
            <w:r>
              <w:rPr>
                <w:rFonts w:ascii="Times New Roman" w:cs="Times New Roman" w:eastAsia="Times New Roman" w:hAnsi="Times New Roman"/>
                <w:sz w:val="14"/>
                <w:szCs w:val="14"/>
                <w:b w:val="1"/>
                <w:bCs w:val="1"/>
                <w:color w:val="auto"/>
              </w:rPr>
              <w:t>(S&amp;P/Moody’s or equivalent)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color w:val="FF0000"/>
                <w:strike w:val="1"/>
              </w:rPr>
              <w:t>Applicable</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FF0000"/>
                <w:strike w:val="1"/>
                <w:w w:val="97"/>
              </w:rPr>
              <w:t>Applicabl</w:t>
            </w: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7"/>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Term A Loans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right w:val="single" w:sz="8" w:color="auto"/>
            </w:tcBorders>
            <w:gridSpan w:val="5"/>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Margin for Term</w:t>
            </w:r>
          </w:p>
        </w:tc>
        <w:tc>
          <w:tcPr>
            <w:tcW w:w="13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Term B Loans</w:t>
            </w:r>
          </w:p>
        </w:tc>
        <w:tc>
          <w:tcPr>
            <w:tcW w:w="13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Term B Loans</w:t>
            </w:r>
          </w:p>
        </w:tc>
        <w:tc>
          <w:tcPr>
            <w:tcW w:w="0" w:type="dxa"/>
            <w:vAlign w:val="bottom"/>
          </w:tcPr>
          <w:p>
            <w:pPr>
              <w:spacing w:after="0"/>
              <w:rPr>
                <w:sz w:val="1"/>
                <w:szCs w:val="1"/>
                <w:color w:val="auto"/>
              </w:rPr>
            </w:pPr>
          </w:p>
        </w:tc>
      </w:tr>
      <w:tr>
        <w:trPr>
          <w:trHeight w:val="72"/>
        </w:trPr>
        <w:tc>
          <w:tcPr>
            <w:tcW w:w="820" w:type="dxa"/>
            <w:vAlign w:val="bottom"/>
            <w:tcBorders>
              <w:left w:val="single" w:sz="8" w:color="auto"/>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gridSpan w:val="8"/>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gridSpan w:val="6"/>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7"/>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that are that are</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Borders>
              <w:right w:val="single" w:sz="8" w:color="auto"/>
            </w:tcBorders>
            <w:gridSpan w:val="5"/>
            <w:vMerge w:val="restart"/>
          </w:tcPr>
          <w:p>
            <w:pPr>
              <w:jc w:val="center"/>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A Loans that are</w:t>
            </w:r>
          </w:p>
        </w:tc>
        <w:tc>
          <w:tcPr>
            <w:tcW w:w="1360" w:type="dxa"/>
            <w:vAlign w:val="bottom"/>
            <w:tcBorders>
              <w:right w:val="single" w:sz="8" w:color="auto"/>
            </w:tcBorders>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that are that are</w:t>
            </w:r>
          </w:p>
        </w:tc>
        <w:tc>
          <w:tcPr>
            <w:tcW w:w="1320" w:type="dxa"/>
            <w:vAlign w:val="bottom"/>
            <w:tcBorders>
              <w:right w:val="single" w:sz="8" w:color="auto"/>
            </w:tcBorders>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that are Base Rate</w:t>
            </w:r>
          </w:p>
        </w:tc>
        <w:tc>
          <w:tcPr>
            <w:tcW w:w="0" w:type="dxa"/>
            <w:vAlign w:val="bottom"/>
          </w:tcPr>
          <w:p>
            <w:pPr>
              <w:spacing w:after="0"/>
              <w:rPr>
                <w:sz w:val="1"/>
                <w:szCs w:val="1"/>
                <w:color w:val="auto"/>
              </w:rPr>
            </w:pPr>
          </w:p>
        </w:tc>
      </w:tr>
      <w:tr>
        <w:trPr>
          <w:trHeight w:val="65"/>
        </w:trPr>
        <w:tc>
          <w:tcPr>
            <w:tcW w:w="820" w:type="dxa"/>
            <w:vAlign w:val="bottom"/>
            <w:tcBorders>
              <w:left w:val="single" w:sz="8" w:color="auto"/>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11"/>
            <w:vMerge w:val="restart"/>
          </w:tcPr>
          <w:p>
            <w:pPr>
              <w:jc w:val="center"/>
              <w:spacing w:after="0" w:line="145" w:lineRule="exact"/>
              <w:rPr>
                <w:sz w:val="20"/>
                <w:szCs w:val="20"/>
                <w:color w:val="auto"/>
              </w:rPr>
            </w:pPr>
            <w:r>
              <w:rPr>
                <w:rFonts w:ascii="Times New Roman" w:cs="Times New Roman" w:eastAsia="Times New Roman" w:hAnsi="Times New Roman"/>
                <w:sz w:val="14"/>
                <w:szCs w:val="14"/>
                <w:color w:val="FF0000"/>
                <w:strike w:val="1"/>
              </w:rPr>
              <w:t>Margin for Revolving</w:t>
            </w: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4"/>
            <w:vMerge w:val="restart"/>
          </w:tcPr>
          <w:p>
            <w:pPr>
              <w:jc w:val="center"/>
              <w:spacing w:after="0" w:line="145" w:lineRule="exact"/>
              <w:rPr>
                <w:sz w:val="20"/>
                <w:szCs w:val="20"/>
                <w:color w:val="auto"/>
              </w:rPr>
            </w:pPr>
            <w:r>
              <w:rPr>
                <w:rFonts w:ascii="Times New Roman" w:cs="Times New Roman" w:eastAsia="Times New Roman" w:hAnsi="Times New Roman"/>
                <w:sz w:val="14"/>
                <w:szCs w:val="14"/>
                <w:color w:val="FF0000"/>
                <w:strike w:val="1"/>
              </w:rPr>
              <w:t>e Margin for</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Borders>
              <w:right w:val="single" w:sz="8" w:color="auto"/>
            </w:tcBorders>
            <w:gridSpan w:val="5"/>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20" w:type="dxa"/>
            <w:vAlign w:val="bottom"/>
            <w:tcBorders>
              <w:left w:val="single" w:sz="8" w:color="auto"/>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11"/>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7"/>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Adjusted Term</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Borders>
              <w:right w:val="single" w:sz="8" w:color="auto"/>
            </w:tcBorders>
            <w:gridSpan w:val="5"/>
            <w:vMerge w:val="restart"/>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Base Rate Loans</w:t>
            </w:r>
          </w:p>
        </w:tc>
        <w:tc>
          <w:tcPr>
            <w:tcW w:w="136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Adjusted Term</w:t>
            </w:r>
          </w:p>
        </w:tc>
        <w:tc>
          <w:tcPr>
            <w:tcW w:w="132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81"/>
        </w:trPr>
        <w:tc>
          <w:tcPr>
            <w:tcW w:w="82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7"/>
            <w:vMerge w:val="restart"/>
          </w:tcPr>
          <w:p>
            <w:pPr>
              <w:jc w:val="center"/>
              <w:spacing w:after="0" w:line="139" w:lineRule="exact"/>
              <w:rPr>
                <w:sz w:val="20"/>
                <w:szCs w:val="20"/>
                <w:color w:val="auto"/>
              </w:rPr>
            </w:pPr>
            <w:r>
              <w:rPr>
                <w:rFonts w:ascii="Times New Roman" w:cs="Times New Roman" w:eastAsia="Times New Roman" w:hAnsi="Times New Roman"/>
                <w:sz w:val="14"/>
                <w:szCs w:val="14"/>
                <w:color w:val="FF0000"/>
                <w:strike w:val="1"/>
              </w:rPr>
              <w:t>Loans that are</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gridSpan w:val="7"/>
            <w:vMerge w:val="restart"/>
          </w:tcPr>
          <w:p>
            <w:pPr>
              <w:jc w:val="center"/>
              <w:spacing w:after="0" w:line="139" w:lineRule="exact"/>
              <w:rPr>
                <w:sz w:val="20"/>
                <w:szCs w:val="20"/>
                <w:color w:val="auto"/>
              </w:rPr>
            </w:pPr>
            <w:r>
              <w:rPr>
                <w:rFonts w:ascii="Times New Roman" w:cs="Times New Roman" w:eastAsia="Times New Roman" w:hAnsi="Times New Roman"/>
                <w:sz w:val="14"/>
                <w:szCs w:val="14"/>
                <w:color w:val="FF0000"/>
                <w:strike w:val="1"/>
              </w:rPr>
              <w:t>Revolving Loans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auto"/>
            </w:tcBorders>
            <w:gridSpan w:val="5"/>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820" w:type="dxa"/>
            <w:vAlign w:val="bottom"/>
            <w:tcBorders>
              <w:left w:val="single" w:sz="8" w:color="auto"/>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7"/>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SOFR Loans</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SOFR Loans</w:t>
            </w: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82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11"/>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FF0000"/>
                <w:strike w:val="1"/>
              </w:rPr>
              <w:t>Adjusted Term SOFR</w:t>
            </w:r>
          </w:p>
        </w:tc>
        <w:tc>
          <w:tcPr>
            <w:tcW w:w="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8"/>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FF0000"/>
                <w:strike w:val="1"/>
              </w:rPr>
              <w:t>that are Base Rate</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820" w:type="dxa"/>
            <w:vAlign w:val="bottom"/>
            <w:tcBorders>
              <w:left w:val="single" w:sz="8" w:color="auto"/>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11"/>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8"/>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color w:val="FF0000"/>
                <w:strike w:val="1"/>
                <w:w w:val="99"/>
              </w:rPr>
              <w:t>Loans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right w:val="single" w:sz="8" w:color="auto"/>
            </w:tcBorders>
            <w:gridSpan w:val="2"/>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FF0000"/>
                <w:strike w:val="1"/>
                <w:w w:val="99"/>
              </w:rPr>
              <w:t>Loans</w:t>
            </w:r>
          </w:p>
        </w:tc>
        <w:tc>
          <w:tcPr>
            <w:tcW w:w="3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gridSpan w:val="10"/>
          </w:tcPr>
          <w:p>
            <w:pPr>
              <w:spacing w:after="0"/>
              <w:rPr>
                <w:sz w:val="19"/>
                <w:szCs w:val="19"/>
                <w:color w:val="auto"/>
              </w:rPr>
            </w:pPr>
          </w:p>
        </w:tc>
        <w:tc>
          <w:tcPr>
            <w:tcW w:w="1440" w:type="dxa"/>
            <w:vAlign w:val="bottom"/>
            <w:tcBorders>
              <w:bottom w:val="single" w:sz="8" w:color="auto"/>
              <w:right w:val="single" w:sz="8" w:color="auto"/>
            </w:tcBorders>
            <w:gridSpan w:val="13"/>
          </w:tcPr>
          <w:p>
            <w:pPr>
              <w:spacing w:after="0"/>
              <w:rPr>
                <w:sz w:val="19"/>
                <w:szCs w:val="19"/>
                <w:color w:val="auto"/>
              </w:rPr>
            </w:pPr>
          </w:p>
        </w:tc>
        <w:tc>
          <w:tcPr>
            <w:tcW w:w="1380" w:type="dxa"/>
            <w:vAlign w:val="bottom"/>
            <w:tcBorders>
              <w:bottom w:val="single" w:sz="8" w:color="auto"/>
              <w:right w:val="single" w:sz="8" w:color="auto"/>
            </w:tcBorders>
            <w:gridSpan w:val="13"/>
          </w:tcPr>
          <w:p>
            <w:pPr>
              <w:spacing w:after="0"/>
              <w:rPr>
                <w:sz w:val="19"/>
                <w:szCs w:val="19"/>
                <w:color w:val="auto"/>
              </w:rPr>
            </w:pPr>
          </w:p>
        </w:tc>
        <w:tc>
          <w:tcPr>
            <w:tcW w:w="1360" w:type="dxa"/>
            <w:vAlign w:val="bottom"/>
            <w:tcBorders>
              <w:bottom w:val="single" w:sz="8" w:color="auto"/>
              <w:right w:val="single" w:sz="8" w:color="auto"/>
            </w:tcBorders>
            <w:gridSpan w:val="12"/>
          </w:tcPr>
          <w:p>
            <w:pPr>
              <w:spacing w:after="0"/>
              <w:rPr>
                <w:sz w:val="19"/>
                <w:szCs w:val="19"/>
                <w:color w:val="auto"/>
              </w:rPr>
            </w:pPr>
          </w:p>
        </w:tc>
        <w:tc>
          <w:tcPr>
            <w:tcW w:w="1260" w:type="dxa"/>
            <w:vAlign w:val="bottom"/>
            <w:tcBorders>
              <w:bottom w:val="single" w:sz="8" w:color="auto"/>
              <w:right w:val="single" w:sz="8" w:color="auto"/>
            </w:tcBorders>
            <w:gridSpan w:val="6"/>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3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A-/A3 (or equivalent) or better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7"/>
              </w:rPr>
              <w:t>0.725%</w:t>
            </w: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FF0000"/>
                <w:strike w:val="1"/>
                <w:w w:val="97"/>
              </w:rPr>
              <w:t>0.000%</w:t>
            </w:r>
          </w:p>
        </w:tc>
        <w:tc>
          <w:tcPr>
            <w:tcW w:w="100" w:type="dxa"/>
            <w:vAlign w:val="bottom"/>
            <w:tcBorders>
              <w:right w:val="single" w:sz="8" w:color="auto"/>
            </w:tcBorders>
          </w:tcPr>
          <w:p>
            <w:pPr>
              <w:spacing w:after="0"/>
              <w:rPr>
                <w:sz w:val="19"/>
                <w:szCs w:val="19"/>
                <w:color w:val="auto"/>
              </w:rPr>
            </w:pPr>
          </w:p>
        </w:tc>
        <w:tc>
          <w:tcPr>
            <w:tcW w:w="960" w:type="dxa"/>
            <w:vAlign w:val="bottom"/>
            <w:gridSpan w:val="7"/>
          </w:tcPr>
          <w:p>
            <w:pPr>
              <w:jc w:val="center"/>
              <w:ind w:left="273"/>
              <w:spacing w:after="0"/>
              <w:rPr>
                <w:sz w:val="20"/>
                <w:szCs w:val="20"/>
                <w:color w:val="auto"/>
              </w:rPr>
            </w:pPr>
            <w:r>
              <w:rPr>
                <w:rFonts w:ascii="Times New Roman" w:cs="Times New Roman" w:eastAsia="Times New Roman" w:hAnsi="Times New Roman"/>
                <w:sz w:val="18"/>
                <w:szCs w:val="18"/>
                <w:color w:val="auto"/>
              </w:rPr>
              <w:t>0.800%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60" w:type="dxa"/>
            <w:vAlign w:val="bottom"/>
            <w:gridSpan w:val="5"/>
          </w:tcPr>
          <w:p>
            <w:pPr>
              <w:jc w:val="center"/>
              <w:ind w:left="193"/>
              <w:spacing w:after="0"/>
              <w:rPr>
                <w:sz w:val="20"/>
                <w:szCs w:val="20"/>
                <w:color w:val="auto"/>
              </w:rPr>
            </w:pPr>
            <w:r>
              <w:rPr>
                <w:rFonts w:ascii="Times New Roman" w:cs="Times New Roman" w:eastAsia="Times New Roman" w:hAnsi="Times New Roman"/>
                <w:sz w:val="18"/>
                <w:szCs w:val="18"/>
                <w:color w:val="auto"/>
              </w:rPr>
              <w:t>0.000%</w:t>
            </w:r>
          </w:p>
        </w:tc>
        <w:tc>
          <w:tcPr>
            <w:tcW w:w="30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0.850%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1"/>
        </w:trPr>
        <w:tc>
          <w:tcPr>
            <w:tcW w:w="82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gridSpan w:val="3"/>
          </w:tcPr>
          <w:p>
            <w:pPr>
              <w:spacing w:after="0"/>
              <w:rPr>
                <w:sz w:val="18"/>
                <w:szCs w:val="18"/>
                <w:color w:val="auto"/>
              </w:rPr>
            </w:pPr>
          </w:p>
        </w:tc>
        <w:tc>
          <w:tcPr>
            <w:tcW w:w="400" w:type="dxa"/>
            <w:vAlign w:val="bottom"/>
            <w:gridSpan w:val="2"/>
          </w:tcPr>
          <w:p>
            <w:pPr>
              <w:spacing w:after="0"/>
              <w:rPr>
                <w:sz w:val="18"/>
                <w:szCs w:val="18"/>
                <w:color w:val="auto"/>
              </w:rPr>
            </w:pPr>
          </w:p>
        </w:tc>
        <w:tc>
          <w:tcPr>
            <w:tcW w:w="54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6"/>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gridSpan w:val="10"/>
          </w:tcPr>
          <w:p>
            <w:pPr>
              <w:spacing w:after="0"/>
              <w:rPr>
                <w:sz w:val="18"/>
                <w:szCs w:val="18"/>
                <w:color w:val="auto"/>
              </w:rPr>
            </w:pPr>
          </w:p>
        </w:tc>
        <w:tc>
          <w:tcPr>
            <w:tcW w:w="1440" w:type="dxa"/>
            <w:vAlign w:val="bottom"/>
            <w:tcBorders>
              <w:bottom w:val="single" w:sz="8" w:color="auto"/>
              <w:right w:val="single" w:sz="8" w:color="auto"/>
            </w:tcBorders>
            <w:gridSpan w:val="13"/>
          </w:tcPr>
          <w:p>
            <w:pPr>
              <w:spacing w:after="0"/>
              <w:rPr>
                <w:sz w:val="18"/>
                <w:szCs w:val="18"/>
                <w:color w:val="auto"/>
              </w:rPr>
            </w:pPr>
          </w:p>
        </w:tc>
        <w:tc>
          <w:tcPr>
            <w:tcW w:w="1380" w:type="dxa"/>
            <w:vAlign w:val="bottom"/>
            <w:tcBorders>
              <w:bottom w:val="single" w:sz="8" w:color="auto"/>
              <w:right w:val="single" w:sz="8" w:color="auto"/>
            </w:tcBorders>
            <w:gridSpan w:val="13"/>
          </w:tcPr>
          <w:p>
            <w:pPr>
              <w:spacing w:after="0"/>
              <w:rPr>
                <w:sz w:val="18"/>
                <w:szCs w:val="18"/>
                <w:color w:val="auto"/>
              </w:rPr>
            </w:pPr>
          </w:p>
        </w:tc>
        <w:tc>
          <w:tcPr>
            <w:tcW w:w="1360" w:type="dxa"/>
            <w:vAlign w:val="bottom"/>
            <w:tcBorders>
              <w:bottom w:val="single" w:sz="8" w:color="auto"/>
              <w:right w:val="single" w:sz="8" w:color="auto"/>
            </w:tcBorders>
            <w:gridSpan w:val="12"/>
          </w:tcPr>
          <w:p>
            <w:pPr>
              <w:spacing w:after="0"/>
              <w:rPr>
                <w:sz w:val="18"/>
                <w:szCs w:val="18"/>
                <w:color w:val="auto"/>
              </w:rPr>
            </w:pPr>
          </w:p>
        </w:tc>
        <w:tc>
          <w:tcPr>
            <w:tcW w:w="1260" w:type="dxa"/>
            <w:vAlign w:val="bottom"/>
            <w:tcBorders>
              <w:bottom w:val="single" w:sz="8" w:color="auto"/>
              <w:right w:val="single" w:sz="8" w:color="auto"/>
            </w:tcBorders>
            <w:gridSpan w:val="6"/>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3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BBB+/Baa1 (or equivalent)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7"/>
              </w:rPr>
              <w:t>0.775%</w:t>
            </w: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FF0000"/>
                <w:strike w:val="1"/>
                <w:w w:val="97"/>
              </w:rPr>
              <w:t>0.000%</w:t>
            </w:r>
          </w:p>
        </w:tc>
        <w:tc>
          <w:tcPr>
            <w:tcW w:w="100" w:type="dxa"/>
            <w:vAlign w:val="bottom"/>
            <w:tcBorders>
              <w:right w:val="single" w:sz="8" w:color="auto"/>
            </w:tcBorders>
          </w:tcPr>
          <w:p>
            <w:pPr>
              <w:spacing w:after="0"/>
              <w:rPr>
                <w:sz w:val="19"/>
                <w:szCs w:val="19"/>
                <w:color w:val="auto"/>
              </w:rPr>
            </w:pPr>
          </w:p>
        </w:tc>
        <w:tc>
          <w:tcPr>
            <w:tcW w:w="960" w:type="dxa"/>
            <w:vAlign w:val="bottom"/>
            <w:gridSpan w:val="7"/>
          </w:tcPr>
          <w:p>
            <w:pPr>
              <w:jc w:val="center"/>
              <w:ind w:left="273"/>
              <w:spacing w:after="0"/>
              <w:rPr>
                <w:sz w:val="20"/>
                <w:szCs w:val="20"/>
                <w:color w:val="auto"/>
              </w:rPr>
            </w:pPr>
            <w:r>
              <w:rPr>
                <w:rFonts w:ascii="Times New Roman" w:cs="Times New Roman" w:eastAsia="Times New Roman" w:hAnsi="Times New Roman"/>
                <w:sz w:val="18"/>
                <w:szCs w:val="18"/>
                <w:color w:val="auto"/>
              </w:rPr>
              <w:t>0.850%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60" w:type="dxa"/>
            <w:vAlign w:val="bottom"/>
            <w:gridSpan w:val="5"/>
          </w:tcPr>
          <w:p>
            <w:pPr>
              <w:jc w:val="center"/>
              <w:ind w:left="193"/>
              <w:spacing w:after="0"/>
              <w:rPr>
                <w:sz w:val="20"/>
                <w:szCs w:val="20"/>
                <w:color w:val="auto"/>
              </w:rPr>
            </w:pPr>
            <w:r>
              <w:rPr>
                <w:rFonts w:ascii="Times New Roman" w:cs="Times New Roman" w:eastAsia="Times New Roman" w:hAnsi="Times New Roman"/>
                <w:sz w:val="18"/>
                <w:szCs w:val="18"/>
                <w:color w:val="auto"/>
              </w:rPr>
              <w:t>0.000%</w:t>
            </w:r>
          </w:p>
        </w:tc>
        <w:tc>
          <w:tcPr>
            <w:tcW w:w="30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0.900%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1"/>
        </w:trPr>
        <w:tc>
          <w:tcPr>
            <w:tcW w:w="82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gridSpan w:val="3"/>
          </w:tcPr>
          <w:p>
            <w:pPr>
              <w:spacing w:after="0"/>
              <w:rPr>
                <w:sz w:val="18"/>
                <w:szCs w:val="18"/>
                <w:color w:val="auto"/>
              </w:rPr>
            </w:pPr>
          </w:p>
        </w:tc>
        <w:tc>
          <w:tcPr>
            <w:tcW w:w="400" w:type="dxa"/>
            <w:vAlign w:val="bottom"/>
            <w:gridSpan w:val="2"/>
          </w:tcPr>
          <w:p>
            <w:pPr>
              <w:spacing w:after="0"/>
              <w:rPr>
                <w:sz w:val="18"/>
                <w:szCs w:val="18"/>
                <w:color w:val="auto"/>
              </w:rPr>
            </w:pPr>
          </w:p>
        </w:tc>
        <w:tc>
          <w:tcPr>
            <w:tcW w:w="54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6"/>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gridSpan w:val="10"/>
          </w:tcPr>
          <w:p>
            <w:pPr>
              <w:spacing w:after="0"/>
              <w:rPr>
                <w:sz w:val="18"/>
                <w:szCs w:val="18"/>
                <w:color w:val="auto"/>
              </w:rPr>
            </w:pPr>
          </w:p>
        </w:tc>
        <w:tc>
          <w:tcPr>
            <w:tcW w:w="1440" w:type="dxa"/>
            <w:vAlign w:val="bottom"/>
            <w:tcBorders>
              <w:bottom w:val="single" w:sz="8" w:color="auto"/>
              <w:right w:val="single" w:sz="8" w:color="auto"/>
            </w:tcBorders>
            <w:gridSpan w:val="13"/>
          </w:tcPr>
          <w:p>
            <w:pPr>
              <w:spacing w:after="0"/>
              <w:rPr>
                <w:sz w:val="18"/>
                <w:szCs w:val="18"/>
                <w:color w:val="auto"/>
              </w:rPr>
            </w:pPr>
          </w:p>
        </w:tc>
        <w:tc>
          <w:tcPr>
            <w:tcW w:w="1380" w:type="dxa"/>
            <w:vAlign w:val="bottom"/>
            <w:tcBorders>
              <w:bottom w:val="single" w:sz="8" w:color="auto"/>
              <w:right w:val="single" w:sz="8" w:color="auto"/>
            </w:tcBorders>
            <w:gridSpan w:val="13"/>
          </w:tcPr>
          <w:p>
            <w:pPr>
              <w:spacing w:after="0"/>
              <w:rPr>
                <w:sz w:val="18"/>
                <w:szCs w:val="18"/>
                <w:color w:val="auto"/>
              </w:rPr>
            </w:pPr>
          </w:p>
        </w:tc>
        <w:tc>
          <w:tcPr>
            <w:tcW w:w="1360" w:type="dxa"/>
            <w:vAlign w:val="bottom"/>
            <w:tcBorders>
              <w:bottom w:val="single" w:sz="8" w:color="auto"/>
              <w:right w:val="single" w:sz="8" w:color="auto"/>
            </w:tcBorders>
            <w:gridSpan w:val="12"/>
          </w:tcPr>
          <w:p>
            <w:pPr>
              <w:spacing w:after="0"/>
              <w:rPr>
                <w:sz w:val="18"/>
                <w:szCs w:val="18"/>
                <w:color w:val="auto"/>
              </w:rPr>
            </w:pPr>
          </w:p>
        </w:tc>
        <w:tc>
          <w:tcPr>
            <w:tcW w:w="1260" w:type="dxa"/>
            <w:vAlign w:val="bottom"/>
            <w:tcBorders>
              <w:bottom w:val="single" w:sz="8" w:color="auto"/>
              <w:right w:val="single" w:sz="8" w:color="auto"/>
            </w:tcBorders>
            <w:gridSpan w:val="6"/>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BBB/Baa2 (or equivalent)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7"/>
              </w:rPr>
              <w:t>0.850%</w:t>
            </w: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FF0000"/>
                <w:strike w:val="1"/>
                <w:w w:val="97"/>
              </w:rPr>
              <w:t>0.000%</w:t>
            </w:r>
          </w:p>
        </w:tc>
        <w:tc>
          <w:tcPr>
            <w:tcW w:w="100" w:type="dxa"/>
            <w:vAlign w:val="bottom"/>
            <w:tcBorders>
              <w:right w:val="single" w:sz="8" w:color="auto"/>
            </w:tcBorders>
          </w:tcPr>
          <w:p>
            <w:pPr>
              <w:spacing w:after="0"/>
              <w:rPr>
                <w:sz w:val="19"/>
                <w:szCs w:val="19"/>
                <w:color w:val="auto"/>
              </w:rPr>
            </w:pPr>
          </w:p>
        </w:tc>
        <w:tc>
          <w:tcPr>
            <w:tcW w:w="960" w:type="dxa"/>
            <w:vAlign w:val="bottom"/>
            <w:gridSpan w:val="7"/>
          </w:tcPr>
          <w:p>
            <w:pPr>
              <w:jc w:val="center"/>
              <w:ind w:left="273"/>
              <w:spacing w:after="0"/>
              <w:rPr>
                <w:sz w:val="20"/>
                <w:szCs w:val="20"/>
                <w:color w:val="auto"/>
              </w:rPr>
            </w:pPr>
            <w:r>
              <w:rPr>
                <w:rFonts w:ascii="Times New Roman" w:cs="Times New Roman" w:eastAsia="Times New Roman" w:hAnsi="Times New Roman"/>
                <w:sz w:val="18"/>
                <w:szCs w:val="18"/>
                <w:color w:val="auto"/>
              </w:rPr>
              <w:t>0.950%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60" w:type="dxa"/>
            <w:vAlign w:val="bottom"/>
            <w:gridSpan w:val="5"/>
          </w:tcPr>
          <w:p>
            <w:pPr>
              <w:jc w:val="center"/>
              <w:ind w:left="193"/>
              <w:spacing w:after="0"/>
              <w:rPr>
                <w:sz w:val="20"/>
                <w:szCs w:val="20"/>
                <w:color w:val="auto"/>
              </w:rPr>
            </w:pPr>
            <w:r>
              <w:rPr>
                <w:rFonts w:ascii="Times New Roman" w:cs="Times New Roman" w:eastAsia="Times New Roman" w:hAnsi="Times New Roman"/>
                <w:sz w:val="18"/>
                <w:szCs w:val="18"/>
                <w:color w:val="auto"/>
              </w:rPr>
              <w:t>0.000%</w:t>
            </w:r>
          </w:p>
        </w:tc>
        <w:tc>
          <w:tcPr>
            <w:tcW w:w="30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1"/>
        </w:trPr>
        <w:tc>
          <w:tcPr>
            <w:tcW w:w="82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gridSpan w:val="3"/>
          </w:tcPr>
          <w:p>
            <w:pPr>
              <w:spacing w:after="0"/>
              <w:rPr>
                <w:sz w:val="18"/>
                <w:szCs w:val="18"/>
                <w:color w:val="auto"/>
              </w:rPr>
            </w:pPr>
          </w:p>
        </w:tc>
        <w:tc>
          <w:tcPr>
            <w:tcW w:w="400" w:type="dxa"/>
            <w:vAlign w:val="bottom"/>
            <w:gridSpan w:val="2"/>
          </w:tcPr>
          <w:p>
            <w:pPr>
              <w:spacing w:after="0"/>
              <w:rPr>
                <w:sz w:val="18"/>
                <w:szCs w:val="18"/>
                <w:color w:val="auto"/>
              </w:rPr>
            </w:pPr>
          </w:p>
        </w:tc>
        <w:tc>
          <w:tcPr>
            <w:tcW w:w="54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6"/>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gridSpan w:val="10"/>
          </w:tcPr>
          <w:p>
            <w:pPr>
              <w:spacing w:after="0"/>
              <w:rPr>
                <w:sz w:val="18"/>
                <w:szCs w:val="18"/>
                <w:color w:val="auto"/>
              </w:rPr>
            </w:pPr>
          </w:p>
        </w:tc>
        <w:tc>
          <w:tcPr>
            <w:tcW w:w="1440" w:type="dxa"/>
            <w:vAlign w:val="bottom"/>
            <w:tcBorders>
              <w:bottom w:val="single" w:sz="8" w:color="auto"/>
              <w:right w:val="single" w:sz="8" w:color="auto"/>
            </w:tcBorders>
            <w:gridSpan w:val="13"/>
          </w:tcPr>
          <w:p>
            <w:pPr>
              <w:spacing w:after="0"/>
              <w:rPr>
                <w:sz w:val="18"/>
                <w:szCs w:val="18"/>
                <w:color w:val="auto"/>
              </w:rPr>
            </w:pPr>
          </w:p>
        </w:tc>
        <w:tc>
          <w:tcPr>
            <w:tcW w:w="1380" w:type="dxa"/>
            <w:vAlign w:val="bottom"/>
            <w:tcBorders>
              <w:bottom w:val="single" w:sz="8" w:color="auto"/>
              <w:right w:val="single" w:sz="8" w:color="auto"/>
            </w:tcBorders>
            <w:gridSpan w:val="13"/>
          </w:tcPr>
          <w:p>
            <w:pPr>
              <w:spacing w:after="0"/>
              <w:rPr>
                <w:sz w:val="18"/>
                <w:szCs w:val="18"/>
                <w:color w:val="auto"/>
              </w:rPr>
            </w:pPr>
          </w:p>
        </w:tc>
        <w:tc>
          <w:tcPr>
            <w:tcW w:w="1360" w:type="dxa"/>
            <w:vAlign w:val="bottom"/>
            <w:tcBorders>
              <w:bottom w:val="single" w:sz="8" w:color="auto"/>
              <w:right w:val="single" w:sz="8" w:color="auto"/>
            </w:tcBorders>
            <w:gridSpan w:val="12"/>
          </w:tcPr>
          <w:p>
            <w:pPr>
              <w:spacing w:after="0"/>
              <w:rPr>
                <w:sz w:val="18"/>
                <w:szCs w:val="18"/>
                <w:color w:val="auto"/>
              </w:rPr>
            </w:pPr>
          </w:p>
        </w:tc>
        <w:tc>
          <w:tcPr>
            <w:tcW w:w="1260" w:type="dxa"/>
            <w:vAlign w:val="bottom"/>
            <w:tcBorders>
              <w:bottom w:val="single" w:sz="8" w:color="auto"/>
              <w:right w:val="single" w:sz="8" w:color="auto"/>
            </w:tcBorders>
            <w:gridSpan w:val="6"/>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3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BBB-/Baa3 (or equivalent)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7"/>
              </w:rPr>
              <w:t>1.050%</w:t>
            </w: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FF0000"/>
                <w:strike w:val="1"/>
                <w:w w:val="97"/>
              </w:rPr>
              <w:t>0.050%</w:t>
            </w:r>
          </w:p>
        </w:tc>
        <w:tc>
          <w:tcPr>
            <w:tcW w:w="100" w:type="dxa"/>
            <w:vAlign w:val="bottom"/>
            <w:tcBorders>
              <w:right w:val="single" w:sz="8" w:color="auto"/>
            </w:tcBorders>
          </w:tcPr>
          <w:p>
            <w:pPr>
              <w:spacing w:after="0"/>
              <w:rPr>
                <w:sz w:val="19"/>
                <w:szCs w:val="19"/>
                <w:color w:val="auto"/>
              </w:rPr>
            </w:pPr>
          </w:p>
        </w:tc>
        <w:tc>
          <w:tcPr>
            <w:tcW w:w="960" w:type="dxa"/>
            <w:vAlign w:val="bottom"/>
            <w:gridSpan w:val="7"/>
          </w:tcPr>
          <w:p>
            <w:pPr>
              <w:jc w:val="center"/>
              <w:ind w:left="273"/>
              <w:spacing w:after="0"/>
              <w:rPr>
                <w:sz w:val="20"/>
                <w:szCs w:val="20"/>
                <w:color w:val="auto"/>
              </w:rPr>
            </w:pPr>
            <w:r>
              <w:rPr>
                <w:rFonts w:ascii="Times New Roman" w:cs="Times New Roman" w:eastAsia="Times New Roman" w:hAnsi="Times New Roman"/>
                <w:sz w:val="18"/>
                <w:szCs w:val="18"/>
                <w:color w:val="auto"/>
              </w:rPr>
              <w:t>1.200%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60" w:type="dxa"/>
            <w:vAlign w:val="bottom"/>
            <w:gridSpan w:val="5"/>
          </w:tcPr>
          <w:p>
            <w:pPr>
              <w:jc w:val="center"/>
              <w:ind w:left="193"/>
              <w:spacing w:after="0"/>
              <w:rPr>
                <w:sz w:val="20"/>
                <w:szCs w:val="20"/>
                <w:color w:val="auto"/>
              </w:rPr>
            </w:pPr>
            <w:r>
              <w:rPr>
                <w:rFonts w:ascii="Times New Roman" w:cs="Times New Roman" w:eastAsia="Times New Roman" w:hAnsi="Times New Roman"/>
                <w:sz w:val="18"/>
                <w:szCs w:val="18"/>
                <w:color w:val="auto"/>
              </w:rPr>
              <w:t>0.200%</w:t>
            </w:r>
          </w:p>
        </w:tc>
        <w:tc>
          <w:tcPr>
            <w:tcW w:w="30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11"/>
        </w:trPr>
        <w:tc>
          <w:tcPr>
            <w:tcW w:w="82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gridSpan w:val="3"/>
          </w:tcPr>
          <w:p>
            <w:pPr>
              <w:spacing w:after="0"/>
              <w:rPr>
                <w:sz w:val="18"/>
                <w:szCs w:val="18"/>
                <w:color w:val="auto"/>
              </w:rPr>
            </w:pPr>
          </w:p>
        </w:tc>
        <w:tc>
          <w:tcPr>
            <w:tcW w:w="400" w:type="dxa"/>
            <w:vAlign w:val="bottom"/>
            <w:gridSpan w:val="2"/>
          </w:tcPr>
          <w:p>
            <w:pPr>
              <w:spacing w:after="0"/>
              <w:rPr>
                <w:sz w:val="18"/>
                <w:szCs w:val="18"/>
                <w:color w:val="auto"/>
              </w:rPr>
            </w:pPr>
          </w:p>
        </w:tc>
        <w:tc>
          <w:tcPr>
            <w:tcW w:w="54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6"/>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gridSpan w:val="10"/>
          </w:tcPr>
          <w:p>
            <w:pPr>
              <w:spacing w:after="0"/>
              <w:rPr>
                <w:sz w:val="18"/>
                <w:szCs w:val="18"/>
                <w:color w:val="auto"/>
              </w:rPr>
            </w:pPr>
          </w:p>
        </w:tc>
        <w:tc>
          <w:tcPr>
            <w:tcW w:w="1440" w:type="dxa"/>
            <w:vAlign w:val="bottom"/>
            <w:tcBorders>
              <w:bottom w:val="single" w:sz="8" w:color="auto"/>
              <w:right w:val="single" w:sz="8" w:color="auto"/>
            </w:tcBorders>
            <w:gridSpan w:val="13"/>
          </w:tcPr>
          <w:p>
            <w:pPr>
              <w:spacing w:after="0"/>
              <w:rPr>
                <w:sz w:val="18"/>
                <w:szCs w:val="18"/>
                <w:color w:val="auto"/>
              </w:rPr>
            </w:pPr>
          </w:p>
        </w:tc>
        <w:tc>
          <w:tcPr>
            <w:tcW w:w="1380" w:type="dxa"/>
            <w:vAlign w:val="bottom"/>
            <w:tcBorders>
              <w:bottom w:val="single" w:sz="8" w:color="auto"/>
              <w:right w:val="single" w:sz="8" w:color="auto"/>
            </w:tcBorders>
            <w:gridSpan w:val="13"/>
          </w:tcPr>
          <w:p>
            <w:pPr>
              <w:spacing w:after="0"/>
              <w:rPr>
                <w:sz w:val="18"/>
                <w:szCs w:val="18"/>
                <w:color w:val="auto"/>
              </w:rPr>
            </w:pPr>
          </w:p>
        </w:tc>
        <w:tc>
          <w:tcPr>
            <w:tcW w:w="1360" w:type="dxa"/>
            <w:vAlign w:val="bottom"/>
            <w:tcBorders>
              <w:bottom w:val="single" w:sz="8" w:color="auto"/>
              <w:right w:val="single" w:sz="8" w:color="auto"/>
            </w:tcBorders>
            <w:gridSpan w:val="12"/>
          </w:tcPr>
          <w:p>
            <w:pPr>
              <w:spacing w:after="0"/>
              <w:rPr>
                <w:sz w:val="18"/>
                <w:szCs w:val="18"/>
                <w:color w:val="auto"/>
              </w:rPr>
            </w:pPr>
          </w:p>
        </w:tc>
        <w:tc>
          <w:tcPr>
            <w:tcW w:w="1260" w:type="dxa"/>
            <w:vAlign w:val="bottom"/>
            <w:tcBorders>
              <w:bottom w:val="single" w:sz="8" w:color="auto"/>
              <w:right w:val="single" w:sz="8" w:color="auto"/>
            </w:tcBorders>
            <w:gridSpan w:val="6"/>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5</w:t>
            </w:r>
          </w:p>
        </w:tc>
        <w:tc>
          <w:tcPr>
            <w:tcW w:w="2320" w:type="dxa"/>
            <w:vAlign w:val="bottom"/>
            <w:tcBorders>
              <w:right w:val="single" w:sz="8" w:color="auto"/>
            </w:tcBorders>
            <w:gridSpan w:val="10"/>
          </w:tcPr>
          <w:p>
            <w:pPr>
              <w:ind w:left="60"/>
              <w:spacing w:after="0" w:line="169" w:lineRule="exact"/>
              <w:rPr>
                <w:sz w:val="20"/>
                <w:szCs w:val="20"/>
                <w:color w:val="auto"/>
              </w:rPr>
            </w:pPr>
            <w:r>
              <w:rPr>
                <w:rFonts w:ascii="Times New Roman" w:cs="Times New Roman" w:eastAsia="Times New Roman" w:hAnsi="Times New Roman"/>
                <w:sz w:val="18"/>
                <w:szCs w:val="18"/>
                <w:color w:val="auto"/>
              </w:rPr>
              <w:t>BB+/Ba1 (or equivalent) or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gridSpan w:val="7"/>
          </w:tcPr>
          <w:p>
            <w:pPr>
              <w:jc w:val="center"/>
              <w:ind w:left="273"/>
              <w:spacing w:after="0" w:line="169" w:lineRule="exact"/>
              <w:rPr>
                <w:sz w:val="20"/>
                <w:szCs w:val="20"/>
                <w:color w:val="auto"/>
              </w:rPr>
            </w:pPr>
            <w:r>
              <w:rPr>
                <w:rFonts w:ascii="Times New Roman" w:cs="Times New Roman" w:eastAsia="Times New Roman" w:hAnsi="Times New Roman"/>
                <w:sz w:val="18"/>
                <w:szCs w:val="18"/>
                <w:color w:val="auto"/>
              </w:rPr>
              <w:t>1.600%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960" w:type="dxa"/>
            <w:vAlign w:val="bottom"/>
            <w:gridSpan w:val="5"/>
          </w:tcPr>
          <w:p>
            <w:pPr>
              <w:jc w:val="center"/>
              <w:ind w:left="193"/>
              <w:spacing w:after="0" w:line="169" w:lineRule="exact"/>
              <w:rPr>
                <w:sz w:val="20"/>
                <w:szCs w:val="20"/>
                <w:color w:val="auto"/>
              </w:rPr>
            </w:pPr>
            <w:r>
              <w:rPr>
                <w:rFonts w:ascii="Times New Roman" w:cs="Times New Roman" w:eastAsia="Times New Roman" w:hAnsi="Times New Roman"/>
                <w:sz w:val="18"/>
                <w:szCs w:val="18"/>
                <w:color w:val="auto"/>
              </w:rPr>
              <w:t>0.600%</w:t>
            </w:r>
          </w:p>
        </w:tc>
        <w:tc>
          <w:tcPr>
            <w:tcW w:w="3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1.650%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0.650%</w:t>
            </w:r>
          </w:p>
        </w:tc>
        <w:tc>
          <w:tcPr>
            <w:tcW w:w="0" w:type="dxa"/>
            <w:vAlign w:val="bottom"/>
          </w:tcPr>
          <w:p>
            <w:pPr>
              <w:spacing w:after="0"/>
              <w:rPr>
                <w:sz w:val="1"/>
                <w:szCs w:val="1"/>
                <w:color w:val="auto"/>
              </w:rPr>
            </w:pPr>
          </w:p>
        </w:tc>
      </w:tr>
      <w:tr>
        <w:trPr>
          <w:trHeight w:val="270"/>
        </w:trPr>
        <w:tc>
          <w:tcPr>
            <w:tcW w:w="820" w:type="dxa"/>
            <w:vAlign w:val="bottom"/>
            <w:tcBorders>
              <w:left w:val="single" w:sz="8" w:color="auto"/>
              <w:right w:val="single" w:sz="8" w:color="auto"/>
            </w:tcBorders>
          </w:tcPr>
          <w:p>
            <w:pPr>
              <w:spacing w:after="0"/>
              <w:rPr>
                <w:sz w:val="23"/>
                <w:szCs w:val="23"/>
                <w:color w:val="auto"/>
              </w:rPr>
            </w:pPr>
          </w:p>
        </w:tc>
        <w:tc>
          <w:tcPr>
            <w:tcW w:w="13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lower</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360" w:type="dxa"/>
            <w:vAlign w:val="bottom"/>
            <w:gridSpan w:val="3"/>
          </w:tcPr>
          <w:p>
            <w:pPr>
              <w:spacing w:after="0"/>
              <w:rPr>
                <w:sz w:val="23"/>
                <w:szCs w:val="23"/>
                <w:color w:val="auto"/>
              </w:rPr>
            </w:pPr>
          </w:p>
        </w:tc>
        <w:tc>
          <w:tcPr>
            <w:tcW w:w="400" w:type="dxa"/>
            <w:vAlign w:val="bottom"/>
            <w:gridSpan w:val="2"/>
          </w:tcPr>
          <w:p>
            <w:pPr>
              <w:spacing w:after="0"/>
              <w:rPr>
                <w:sz w:val="23"/>
                <w:szCs w:val="23"/>
                <w:color w:val="auto"/>
              </w:rPr>
            </w:pPr>
          </w:p>
        </w:tc>
        <w:tc>
          <w:tcPr>
            <w:tcW w:w="5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FF0000"/>
                <w:strike w:val="1"/>
                <w:w w:val="97"/>
              </w:rPr>
              <w:t>1.400%</w:t>
            </w:r>
          </w:p>
        </w:tc>
        <w:tc>
          <w:tcPr>
            <w:tcW w:w="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gridSpan w:val="6"/>
          </w:tcPr>
          <w:p>
            <w:pPr>
              <w:spacing w:after="0"/>
              <w:rPr>
                <w:sz w:val="20"/>
                <w:szCs w:val="20"/>
                <w:color w:val="auto"/>
              </w:rPr>
            </w:pPr>
            <w:r>
              <w:rPr>
                <w:rFonts w:ascii="Times New Roman" w:cs="Times New Roman" w:eastAsia="Times New Roman" w:hAnsi="Times New Roman"/>
                <w:sz w:val="18"/>
                <w:szCs w:val="18"/>
                <w:color w:val="FF0000"/>
                <w:strike w:val="1"/>
                <w:w w:val="97"/>
              </w:rPr>
              <w:t>0.400%</w:t>
            </w:r>
          </w:p>
        </w:tc>
        <w:tc>
          <w:tcPr>
            <w:tcW w:w="1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gridSpan w:val="10"/>
          </w:tcPr>
          <w:p>
            <w:pPr>
              <w:spacing w:after="0"/>
              <w:rPr>
                <w:sz w:val="18"/>
                <w:szCs w:val="18"/>
                <w:color w:val="auto"/>
              </w:rPr>
            </w:pPr>
          </w:p>
        </w:tc>
        <w:tc>
          <w:tcPr>
            <w:tcW w:w="1440" w:type="dxa"/>
            <w:vAlign w:val="bottom"/>
            <w:tcBorders>
              <w:bottom w:val="single" w:sz="8" w:color="auto"/>
              <w:right w:val="single" w:sz="8" w:color="auto"/>
            </w:tcBorders>
            <w:gridSpan w:val="13"/>
          </w:tcPr>
          <w:p>
            <w:pPr>
              <w:spacing w:after="0"/>
              <w:rPr>
                <w:sz w:val="18"/>
                <w:szCs w:val="18"/>
                <w:color w:val="auto"/>
              </w:rPr>
            </w:pPr>
          </w:p>
        </w:tc>
        <w:tc>
          <w:tcPr>
            <w:tcW w:w="1380" w:type="dxa"/>
            <w:vAlign w:val="bottom"/>
            <w:tcBorders>
              <w:bottom w:val="single" w:sz="8" w:color="auto"/>
              <w:right w:val="single" w:sz="8" w:color="auto"/>
            </w:tcBorders>
            <w:gridSpan w:val="13"/>
          </w:tcPr>
          <w:p>
            <w:pPr>
              <w:spacing w:after="0"/>
              <w:rPr>
                <w:sz w:val="18"/>
                <w:szCs w:val="18"/>
                <w:color w:val="auto"/>
              </w:rPr>
            </w:pPr>
          </w:p>
        </w:tc>
        <w:tc>
          <w:tcPr>
            <w:tcW w:w="1360" w:type="dxa"/>
            <w:vAlign w:val="bottom"/>
            <w:tcBorders>
              <w:bottom w:val="single" w:sz="8" w:color="auto"/>
              <w:right w:val="single" w:sz="8" w:color="auto"/>
            </w:tcBorders>
            <w:gridSpan w:val="12"/>
          </w:tcPr>
          <w:p>
            <w:pPr>
              <w:spacing w:after="0"/>
              <w:rPr>
                <w:sz w:val="18"/>
                <w:szCs w:val="18"/>
                <w:color w:val="auto"/>
              </w:rPr>
            </w:pPr>
          </w:p>
        </w:tc>
        <w:tc>
          <w:tcPr>
            <w:tcW w:w="1260" w:type="dxa"/>
            <w:vAlign w:val="bottom"/>
            <w:tcBorders>
              <w:bottom w:val="single" w:sz="8" w:color="auto"/>
              <w:right w:val="single" w:sz="8" w:color="auto"/>
            </w:tcBorders>
            <w:gridSpan w:val="6"/>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4"/>
          </w:tcPr>
          <w:p>
            <w:pPr>
              <w:spacing w:after="0"/>
              <w:rPr>
                <w:sz w:val="24"/>
                <w:szCs w:val="24"/>
                <w:color w:val="auto"/>
              </w:rPr>
            </w:pPr>
          </w:p>
        </w:tc>
        <w:tc>
          <w:tcPr>
            <w:tcW w:w="6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320" w:type="dxa"/>
            <w:vAlign w:val="bottom"/>
            <w:gridSpan w:val="4"/>
          </w:tcPr>
          <w:p>
            <w:pPr>
              <w:spacing w:after="0"/>
              <w:rPr>
                <w:sz w:val="24"/>
                <w:szCs w:val="24"/>
                <w:color w:val="auto"/>
              </w:rPr>
            </w:pPr>
          </w:p>
        </w:tc>
        <w:tc>
          <w:tcPr>
            <w:tcW w:w="8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gridSpan w:val="4"/>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0070C0"/>
              </w:rPr>
              <w:t>Level</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20"/>
          </w:tcPr>
          <w:p>
            <w:pPr>
              <w:jc w:val="center"/>
              <w:ind w:right="188"/>
              <w:spacing w:after="0" w:line="129" w:lineRule="exact"/>
              <w:rPr>
                <w:sz w:val="20"/>
                <w:szCs w:val="20"/>
                <w:color w:val="auto"/>
              </w:rPr>
            </w:pPr>
            <w:r>
              <w:rPr>
                <w:rFonts w:ascii="Times New Roman" w:cs="Times New Roman" w:eastAsia="Times New Roman" w:hAnsi="Times New Roman"/>
                <w:sz w:val="14"/>
                <w:szCs w:val="14"/>
                <w:b w:val="1"/>
                <w:bCs w:val="1"/>
                <w:color w:val="0070C0"/>
              </w:rPr>
              <w:t>Rated Borrower’s Credit Rating</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gridSpan w:val="8"/>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0070C0"/>
                <w:w w:val="99"/>
              </w:rPr>
              <w:t>Applicable</w:t>
            </w: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gridSpan w:val="7"/>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0070C0"/>
              </w:rPr>
              <w:t>Applicable</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0070C0"/>
            </w:tcBorders>
          </w:tcPr>
          <w:p>
            <w:pPr>
              <w:spacing w:after="0"/>
              <w:rPr>
                <w:sz w:val="12"/>
                <w:szCs w:val="12"/>
                <w:color w:val="auto"/>
              </w:rPr>
            </w:pPr>
          </w:p>
        </w:tc>
        <w:tc>
          <w:tcPr>
            <w:tcW w:w="100" w:type="dxa"/>
            <w:vAlign w:val="bottom"/>
            <w:tcBorders>
              <w:top w:val="single" w:sz="8" w:color="0070C0"/>
            </w:tcBorders>
          </w:tcPr>
          <w:p>
            <w:pPr>
              <w:spacing w:after="0"/>
              <w:rPr>
                <w:sz w:val="12"/>
                <w:szCs w:val="12"/>
                <w:color w:val="auto"/>
              </w:rPr>
            </w:pPr>
          </w:p>
        </w:tc>
        <w:tc>
          <w:tcPr>
            <w:tcW w:w="120" w:type="dxa"/>
            <w:vAlign w:val="bottom"/>
            <w:tcBorders>
              <w:top w:val="single" w:sz="8" w:color="0070C0"/>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0070C0"/>
            </w:tcBorders>
          </w:tcPr>
          <w:p>
            <w:pPr>
              <w:spacing w:after="0"/>
              <w:rPr>
                <w:sz w:val="12"/>
                <w:szCs w:val="12"/>
                <w:color w:val="auto"/>
              </w:rPr>
            </w:pPr>
          </w:p>
        </w:tc>
        <w:tc>
          <w:tcPr>
            <w:tcW w:w="1800" w:type="dxa"/>
            <w:vAlign w:val="bottom"/>
            <w:tcBorders>
              <w:top w:val="single" w:sz="8" w:color="0070C0"/>
              <w:bottom w:val="single" w:sz="8" w:color="0070C0"/>
            </w:tcBorders>
            <w:gridSpan w:val="1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070C0"/>
              </w:rPr>
              <w:t>(S&amp;P/Moody’s or equivalent)</w:t>
            </w:r>
          </w:p>
        </w:tc>
        <w:tc>
          <w:tcPr>
            <w:tcW w:w="20" w:type="dxa"/>
            <w:vAlign w:val="bottom"/>
            <w:tcBorders>
              <w:top w:val="single" w:sz="8" w:color="0070C0"/>
            </w:tcBorders>
          </w:tcPr>
          <w:p>
            <w:pPr>
              <w:spacing w:after="0"/>
              <w:rPr>
                <w:sz w:val="12"/>
                <w:szCs w:val="12"/>
                <w:color w:val="auto"/>
              </w:rPr>
            </w:pPr>
          </w:p>
        </w:tc>
        <w:tc>
          <w:tcPr>
            <w:tcW w:w="60" w:type="dxa"/>
            <w:vAlign w:val="bottom"/>
            <w:tcBorders>
              <w:top w:val="single" w:sz="8" w:color="0070C0"/>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0070C0"/>
            </w:tcBorders>
          </w:tcPr>
          <w:p>
            <w:pPr>
              <w:spacing w:after="0"/>
              <w:rPr>
                <w:sz w:val="12"/>
                <w:szCs w:val="12"/>
                <w:color w:val="auto"/>
              </w:rPr>
            </w:pPr>
          </w:p>
        </w:tc>
        <w:tc>
          <w:tcPr>
            <w:tcW w:w="660" w:type="dxa"/>
            <w:vAlign w:val="bottom"/>
            <w:tcBorders>
              <w:top w:val="single" w:sz="8" w:color="0070C0"/>
              <w:bottom w:val="single" w:sz="8" w:color="0070C0"/>
            </w:tcBorders>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0070C0"/>
                <w:w w:val="96"/>
              </w:rPr>
              <w:t>Margin for</w:t>
            </w:r>
          </w:p>
        </w:tc>
        <w:tc>
          <w:tcPr>
            <w:tcW w:w="20" w:type="dxa"/>
            <w:vAlign w:val="bottom"/>
            <w:tcBorders>
              <w:bottom w:val="single" w:sz="8" w:color="0070C0"/>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0070C0"/>
            </w:tcBorders>
          </w:tcPr>
          <w:p>
            <w:pPr>
              <w:spacing w:after="0"/>
              <w:rPr>
                <w:sz w:val="12"/>
                <w:szCs w:val="12"/>
                <w:color w:val="auto"/>
              </w:rPr>
            </w:pPr>
          </w:p>
        </w:tc>
        <w:tc>
          <w:tcPr>
            <w:tcW w:w="660" w:type="dxa"/>
            <w:vAlign w:val="bottom"/>
            <w:tcBorders>
              <w:top w:val="single" w:sz="8" w:color="0070C0"/>
              <w:bottom w:val="single" w:sz="8" w:color="0070C0"/>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070C0"/>
                <w:w w:val="99"/>
              </w:rPr>
              <w:t>Margin for</w:t>
            </w:r>
          </w:p>
        </w:tc>
        <w:tc>
          <w:tcPr>
            <w:tcW w:w="20" w:type="dxa"/>
            <w:vAlign w:val="bottom"/>
            <w:tcBorders>
              <w:bottom w:val="single" w:sz="8" w:color="0070C0"/>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0070C0"/>
              </w:rPr>
              <w:t>Revolving</w:t>
            </w:r>
          </w:p>
        </w:tc>
        <w:tc>
          <w:tcPr>
            <w:tcW w:w="440" w:type="dxa"/>
            <w:vAlign w:val="bottom"/>
            <w:tcBorders>
              <w:right w:val="single" w:sz="8" w:color="auto"/>
            </w:tcBorders>
            <w:gridSpan w:val="4"/>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right w:val="single" w:sz="8" w:color="auto"/>
            </w:tcBorders>
            <w:gridSpan w:val="6"/>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0070C0"/>
              </w:rPr>
              <w:t>Revolving</w:t>
            </w: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70C0"/>
          </w:tcPr>
          <w:p>
            <w:pPr>
              <w:spacing w:after="0" w:line="20" w:lineRule="exact"/>
              <w:rPr>
                <w:sz w:val="1"/>
                <w:szCs w:val="1"/>
                <w:color w:val="auto"/>
              </w:rPr>
            </w:pPr>
          </w:p>
        </w:tc>
        <w:tc>
          <w:tcPr>
            <w:tcW w:w="380" w:type="dxa"/>
            <w:vAlign w:val="bottom"/>
            <w:shd w:val="clear" w:color="auto" w:fill="0070C0"/>
          </w:tcPr>
          <w:p>
            <w:pPr>
              <w:spacing w:after="0" w:line="20" w:lineRule="exact"/>
              <w:rPr>
                <w:sz w:val="1"/>
                <w:szCs w:val="1"/>
                <w:color w:val="auto"/>
              </w:rPr>
            </w:pPr>
          </w:p>
        </w:tc>
        <w:tc>
          <w:tcPr>
            <w:tcW w:w="120" w:type="dxa"/>
            <w:vAlign w:val="bottom"/>
            <w:shd w:val="clear" w:color="auto" w:fill="007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70C0"/>
          </w:tcPr>
          <w:p>
            <w:pPr>
              <w:spacing w:after="0" w:line="20" w:lineRule="exact"/>
              <w:rPr>
                <w:sz w:val="1"/>
                <w:szCs w:val="1"/>
                <w:color w:val="auto"/>
              </w:rPr>
            </w:pPr>
          </w:p>
        </w:tc>
        <w:tc>
          <w:tcPr>
            <w:tcW w:w="500" w:type="dxa"/>
            <w:vAlign w:val="bottom"/>
            <w:shd w:val="clear" w:color="auto" w:fill="0070C0"/>
          </w:tcPr>
          <w:p>
            <w:pPr>
              <w:spacing w:after="0" w:line="20" w:lineRule="exact"/>
              <w:rPr>
                <w:sz w:val="1"/>
                <w:szCs w:val="1"/>
                <w:color w:val="auto"/>
              </w:rPr>
            </w:pPr>
          </w:p>
        </w:tc>
        <w:tc>
          <w:tcPr>
            <w:tcW w:w="80" w:type="dxa"/>
            <w:vAlign w:val="bottom"/>
            <w:tcBorders>
              <w:left w:val="single" w:sz="8" w:color="007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right w:val="single" w:sz="8" w:color="auto"/>
            </w:tcBorders>
            <w:gridSpan w:val="8"/>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0070C0"/>
                <w:w w:val="99"/>
              </w:rPr>
              <w:t>Loans that</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right w:val="single" w:sz="8" w:color="auto"/>
            </w:tcBorders>
            <w:gridSpan w:val="7"/>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0070C0"/>
              </w:rPr>
              <w:t>Loans that</w:t>
            </w: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0070C0"/>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0070C0"/>
              </w:rPr>
              <w:t>are SOFR</w:t>
            </w:r>
          </w:p>
        </w:tc>
        <w:tc>
          <w:tcPr>
            <w:tcW w:w="20" w:type="dxa"/>
            <w:vAlign w:val="bottom"/>
            <w:tcBorders>
              <w:top w:val="single" w:sz="8" w:color="0070C0"/>
            </w:tcBorders>
          </w:tcPr>
          <w:p>
            <w:pPr>
              <w:spacing w:after="0"/>
              <w:rPr>
                <w:sz w:val="13"/>
                <w:szCs w:val="13"/>
                <w:color w:val="auto"/>
              </w:rPr>
            </w:pPr>
          </w:p>
        </w:tc>
        <w:tc>
          <w:tcPr>
            <w:tcW w:w="420" w:type="dxa"/>
            <w:vAlign w:val="bottom"/>
            <w:tcBorders>
              <w:right w:val="single" w:sz="8" w:color="auto"/>
            </w:tcBorders>
            <w:gridSpan w:val="3"/>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0070C0"/>
            </w:tcBorders>
          </w:tcPr>
          <w:p>
            <w:pPr>
              <w:spacing w:after="0"/>
              <w:rPr>
                <w:sz w:val="13"/>
                <w:szCs w:val="13"/>
                <w:color w:val="auto"/>
              </w:rPr>
            </w:pPr>
          </w:p>
        </w:tc>
        <w:tc>
          <w:tcPr>
            <w:tcW w:w="40" w:type="dxa"/>
            <w:vAlign w:val="bottom"/>
            <w:tcBorders>
              <w:top w:val="single" w:sz="8" w:color="0070C0"/>
            </w:tcBorders>
          </w:tcPr>
          <w:p>
            <w:pPr>
              <w:spacing w:after="0"/>
              <w:rPr>
                <w:sz w:val="13"/>
                <w:szCs w:val="13"/>
                <w:color w:val="auto"/>
              </w:rPr>
            </w:pPr>
          </w:p>
        </w:tc>
        <w:tc>
          <w:tcPr>
            <w:tcW w:w="600" w:type="dxa"/>
            <w:vAlign w:val="bottom"/>
            <w:tcBorders>
              <w:top w:val="single" w:sz="8" w:color="0070C0"/>
            </w:tcBorders>
            <w:gridSpan w:val="3"/>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0070C0"/>
              </w:rPr>
              <w:t>are Base</w:t>
            </w:r>
          </w:p>
        </w:tc>
        <w:tc>
          <w:tcPr>
            <w:tcW w:w="360" w:type="dxa"/>
            <w:vAlign w:val="bottom"/>
            <w:tcBorders>
              <w:right w:val="single" w:sz="8" w:color="auto"/>
            </w:tcBorders>
            <w:gridSpan w:val="2"/>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70C0"/>
            </w:tcBorders>
            <w:shd w:val="clear" w:color="auto" w:fill="0070C0"/>
          </w:tcPr>
          <w:p>
            <w:pPr>
              <w:spacing w:after="0" w:line="20" w:lineRule="exact"/>
              <w:rPr>
                <w:sz w:val="1"/>
                <w:szCs w:val="1"/>
                <w:color w:val="auto"/>
              </w:rPr>
            </w:pPr>
          </w:p>
        </w:tc>
        <w:tc>
          <w:tcPr>
            <w:tcW w:w="20" w:type="dxa"/>
            <w:vAlign w:val="bottom"/>
            <w:shd w:val="clear" w:color="auto" w:fill="0070C0"/>
          </w:tcPr>
          <w:p>
            <w:pPr>
              <w:spacing w:after="0" w:line="20" w:lineRule="exact"/>
              <w:rPr>
                <w:sz w:val="1"/>
                <w:szCs w:val="1"/>
                <w:color w:val="auto"/>
              </w:rPr>
            </w:pPr>
          </w:p>
        </w:tc>
        <w:tc>
          <w:tcPr>
            <w:tcW w:w="380" w:type="dxa"/>
            <w:vAlign w:val="bottom"/>
            <w:shd w:val="clear" w:color="auto" w:fill="0070C0"/>
          </w:tcPr>
          <w:p>
            <w:pPr>
              <w:spacing w:after="0" w:line="20" w:lineRule="exact"/>
              <w:rPr>
                <w:sz w:val="1"/>
                <w:szCs w:val="1"/>
                <w:color w:val="auto"/>
              </w:rPr>
            </w:pPr>
          </w:p>
        </w:tc>
        <w:tc>
          <w:tcPr>
            <w:tcW w:w="120" w:type="dxa"/>
            <w:vAlign w:val="bottom"/>
            <w:shd w:val="clear" w:color="auto" w:fill="0070C0"/>
          </w:tcPr>
          <w:p>
            <w:pPr>
              <w:spacing w:after="0" w:line="20" w:lineRule="exact"/>
              <w:rPr>
                <w:sz w:val="1"/>
                <w:szCs w:val="1"/>
                <w:color w:val="auto"/>
              </w:rPr>
            </w:pPr>
          </w:p>
        </w:tc>
        <w:tc>
          <w:tcPr>
            <w:tcW w:w="440" w:type="dxa"/>
            <w:vAlign w:val="bottom"/>
            <w:tcBorders>
              <w:right w:val="single" w:sz="8" w:color="auto"/>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shd w:val="clear" w:color="auto" w:fill="0070C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0070C0"/>
              </w:rPr>
              <w:t>Loans</w:t>
            </w:r>
          </w:p>
        </w:tc>
        <w:tc>
          <w:tcPr>
            <w:tcW w:w="440" w:type="dxa"/>
            <w:vAlign w:val="bottom"/>
            <w:tcBorders>
              <w:right w:val="single" w:sz="8" w:color="auto"/>
            </w:tcBorders>
            <w:gridSpan w:val="4"/>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Borders>
              <w:right w:val="single" w:sz="8" w:color="auto"/>
            </w:tcBorders>
            <w:gridSpan w:val="9"/>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0070C0"/>
              </w:rPr>
              <w:t>Rate Loans</w:t>
            </w: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30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gridSpan w:val="5"/>
          </w:tcPr>
          <w:p>
            <w:pPr>
              <w:spacing w:after="0"/>
              <w:rPr>
                <w:sz w:val="4"/>
                <w:szCs w:val="4"/>
                <w:color w:val="auto"/>
              </w:rPr>
            </w:pPr>
          </w:p>
        </w:tc>
        <w:tc>
          <w:tcPr>
            <w:tcW w:w="3260" w:type="dxa"/>
            <w:vAlign w:val="bottom"/>
            <w:tcBorders>
              <w:bottom w:val="single" w:sz="8" w:color="auto"/>
              <w:right w:val="single" w:sz="8" w:color="auto"/>
            </w:tcBorders>
            <w:gridSpan w:val="24"/>
          </w:tcPr>
          <w:p>
            <w:pPr>
              <w:spacing w:after="0"/>
              <w:rPr>
                <w:sz w:val="4"/>
                <w:szCs w:val="4"/>
                <w:color w:val="auto"/>
              </w:rPr>
            </w:pPr>
          </w:p>
        </w:tc>
        <w:tc>
          <w:tcPr>
            <w:tcW w:w="520" w:type="dxa"/>
            <w:vAlign w:val="bottom"/>
            <w:tcBorders>
              <w:bottom w:val="single" w:sz="8" w:color="auto"/>
            </w:tcBorders>
            <w:gridSpan w:val="7"/>
          </w:tcPr>
          <w:p>
            <w:pPr>
              <w:spacing w:after="0"/>
              <w:rPr>
                <w:sz w:val="4"/>
                <w:szCs w:val="4"/>
                <w:color w:val="auto"/>
              </w:rPr>
            </w:pPr>
          </w:p>
        </w:tc>
        <w:tc>
          <w:tcPr>
            <w:tcW w:w="380" w:type="dxa"/>
            <w:vAlign w:val="bottom"/>
            <w:tcBorders>
              <w:top w:val="single" w:sz="8" w:color="0070C0"/>
              <w:bottom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5"/>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700" w:type="dxa"/>
            <w:vAlign w:val="bottom"/>
            <w:tcBorders>
              <w:top w:val="single" w:sz="8" w:color="0070C0"/>
              <w:bottom w:val="single" w:sz="8" w:color="auto"/>
            </w:tcBorders>
            <w:gridSpan w:val="7"/>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98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480" w:type="dxa"/>
            <w:vAlign w:val="bottom"/>
            <w:gridSpan w:val="3"/>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70C0"/>
                <w:w w:val="99"/>
              </w:rPr>
              <w:t>1</w:t>
            </w:r>
          </w:p>
        </w:tc>
        <w:tc>
          <w:tcPr>
            <w:tcW w:w="1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gridSpan w:val="21"/>
          </w:tcPr>
          <w:p>
            <w:pPr>
              <w:spacing w:after="0" w:line="196" w:lineRule="exact"/>
              <w:rPr>
                <w:sz w:val="20"/>
                <w:szCs w:val="20"/>
                <w:color w:val="auto"/>
              </w:rPr>
            </w:pPr>
            <w:r>
              <w:rPr>
                <w:rFonts w:ascii="Times New Roman" w:cs="Times New Roman" w:eastAsia="Times New Roman" w:hAnsi="Times New Roman"/>
                <w:sz w:val="20"/>
                <w:szCs w:val="20"/>
                <w:color w:val="0070C0"/>
                <w:w w:val="98"/>
              </w:rPr>
              <w:t>BBB/Baa2 (or equivalent) or better</w:t>
            </w: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20"/>
                <w:szCs w:val="20"/>
                <w:color w:val="0070C0"/>
              </w:rPr>
              <w:t>0.850%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20"/>
                <w:szCs w:val="20"/>
                <w:color w:val="0070C0"/>
                <w:w w:val="97"/>
              </w:rPr>
              <w:t>0.000%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00" w:type="dxa"/>
            <w:vAlign w:val="bottom"/>
            <w:tcBorders>
              <w:right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top w:val="single" w:sz="8" w:color="0070C0"/>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0" w:type="dxa"/>
            <w:vAlign w:val="bottom"/>
            <w:tcBorders>
              <w:top w:val="single" w:sz="8" w:color="0070C0"/>
              <w:bottom w:val="single" w:sz="8" w:color="auto"/>
            </w:tcBorders>
            <w:gridSpan w:val="21"/>
          </w:tcPr>
          <w:p>
            <w:pPr>
              <w:spacing w:after="0"/>
              <w:rPr>
                <w:sz w:val="2"/>
                <w:szCs w:val="2"/>
                <w:color w:val="auto"/>
              </w:rPr>
            </w:pPr>
          </w:p>
        </w:tc>
        <w:tc>
          <w:tcPr>
            <w:tcW w:w="400" w:type="dxa"/>
            <w:vAlign w:val="bottom"/>
            <w:tcBorders>
              <w:bottom w:val="single" w:sz="8" w:color="auto"/>
              <w:right w:val="single" w:sz="8" w:color="auto"/>
            </w:tcBorders>
            <w:gridSpan w:val="2"/>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620" w:type="dxa"/>
            <w:vAlign w:val="bottom"/>
            <w:tcBorders>
              <w:top w:val="single" w:sz="8" w:color="0070C0"/>
              <w:bottom w:val="single" w:sz="8" w:color="auto"/>
            </w:tcBorders>
            <w:gridSpan w:val="4"/>
          </w:tcPr>
          <w:p>
            <w:pPr>
              <w:spacing w:after="0"/>
              <w:rPr>
                <w:sz w:val="2"/>
                <w:szCs w:val="2"/>
                <w:color w:val="auto"/>
              </w:rPr>
            </w:pPr>
          </w:p>
        </w:tc>
        <w:tc>
          <w:tcPr>
            <w:tcW w:w="440" w:type="dxa"/>
            <w:vAlign w:val="bottom"/>
            <w:tcBorders>
              <w:bottom w:val="single" w:sz="8" w:color="auto"/>
              <w:right w:val="single" w:sz="8" w:color="auto"/>
            </w:tcBorders>
            <w:gridSpan w:val="4"/>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560" w:type="dxa"/>
            <w:vAlign w:val="bottom"/>
            <w:tcBorders>
              <w:top w:val="single" w:sz="8" w:color="0070C0"/>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gridSpan w:val="3"/>
          </w:tcPr>
          <w:p>
            <w:pPr>
              <w:spacing w:after="0"/>
              <w:rPr>
                <w:sz w:val="2"/>
                <w:szCs w:val="2"/>
                <w:color w:val="auto"/>
              </w:rPr>
            </w:pPr>
          </w:p>
        </w:tc>
        <w:tc>
          <w:tcPr>
            <w:tcW w:w="29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480" w:type="dxa"/>
            <w:vAlign w:val="bottom"/>
            <w:gridSpan w:val="3"/>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70C0"/>
                <w:w w:val="99"/>
              </w:rPr>
              <w:t>2</w:t>
            </w:r>
          </w:p>
        </w:tc>
        <w:tc>
          <w:tcPr>
            <w:tcW w:w="1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gridSpan w:val="18"/>
          </w:tcPr>
          <w:p>
            <w:pPr>
              <w:spacing w:after="0" w:line="196" w:lineRule="exact"/>
              <w:rPr>
                <w:sz w:val="20"/>
                <w:szCs w:val="20"/>
                <w:color w:val="auto"/>
              </w:rPr>
            </w:pPr>
            <w:r>
              <w:rPr>
                <w:rFonts w:ascii="Times New Roman" w:cs="Times New Roman" w:eastAsia="Times New Roman" w:hAnsi="Times New Roman"/>
                <w:sz w:val="20"/>
                <w:szCs w:val="20"/>
                <w:color w:val="0070C0"/>
              </w:rPr>
              <w:t>BBB-/Baa3 (or equivalent)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20"/>
                <w:szCs w:val="20"/>
                <w:color w:val="0070C0"/>
              </w:rPr>
              <w:t>1.050%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20"/>
                <w:szCs w:val="20"/>
                <w:color w:val="0070C0"/>
                <w:w w:val="97"/>
              </w:rPr>
              <w:t>0.050%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00" w:type="dxa"/>
            <w:vAlign w:val="bottom"/>
            <w:tcBorders>
              <w:right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top w:val="single" w:sz="8" w:color="0070C0"/>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40" w:type="dxa"/>
            <w:vAlign w:val="bottom"/>
            <w:tcBorders>
              <w:top w:val="single" w:sz="8" w:color="0070C0"/>
              <w:bottom w:val="single" w:sz="8" w:color="auto"/>
            </w:tcBorders>
            <w:gridSpan w:val="13"/>
          </w:tcPr>
          <w:p>
            <w:pPr>
              <w:spacing w:after="0"/>
              <w:rPr>
                <w:sz w:val="2"/>
                <w:szCs w:val="2"/>
                <w:color w:val="auto"/>
              </w:rPr>
            </w:pPr>
          </w:p>
        </w:tc>
        <w:tc>
          <w:tcPr>
            <w:tcW w:w="1060" w:type="dxa"/>
            <w:vAlign w:val="bottom"/>
            <w:tcBorders>
              <w:bottom w:val="single" w:sz="8" w:color="auto"/>
              <w:right w:val="single" w:sz="8" w:color="auto"/>
            </w:tcBorders>
            <w:gridSpan w:val="10"/>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620" w:type="dxa"/>
            <w:vAlign w:val="bottom"/>
            <w:tcBorders>
              <w:top w:val="single" w:sz="8" w:color="0070C0"/>
              <w:bottom w:val="single" w:sz="8" w:color="auto"/>
            </w:tcBorders>
            <w:gridSpan w:val="4"/>
          </w:tcPr>
          <w:p>
            <w:pPr>
              <w:spacing w:after="0"/>
              <w:rPr>
                <w:sz w:val="2"/>
                <w:szCs w:val="2"/>
                <w:color w:val="auto"/>
              </w:rPr>
            </w:pPr>
          </w:p>
        </w:tc>
        <w:tc>
          <w:tcPr>
            <w:tcW w:w="440" w:type="dxa"/>
            <w:vAlign w:val="bottom"/>
            <w:tcBorders>
              <w:bottom w:val="single" w:sz="8" w:color="auto"/>
              <w:right w:val="single" w:sz="8" w:color="auto"/>
            </w:tcBorders>
            <w:gridSpan w:val="4"/>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560" w:type="dxa"/>
            <w:vAlign w:val="bottom"/>
            <w:tcBorders>
              <w:top w:val="single" w:sz="8" w:color="0070C0"/>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gridSpan w:val="3"/>
          </w:tcPr>
          <w:p>
            <w:pPr>
              <w:spacing w:after="0"/>
              <w:rPr>
                <w:sz w:val="2"/>
                <w:szCs w:val="2"/>
                <w:color w:val="auto"/>
              </w:rPr>
            </w:pPr>
          </w:p>
        </w:tc>
        <w:tc>
          <w:tcPr>
            <w:tcW w:w="29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480" w:type="dxa"/>
            <w:vAlign w:val="bottom"/>
            <w:gridSpan w:val="3"/>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70C0"/>
                <w:w w:val="99"/>
              </w:rPr>
              <w:t>3</w:t>
            </w:r>
          </w:p>
        </w:tc>
        <w:tc>
          <w:tcPr>
            <w:tcW w:w="1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gridSpan w:val="18"/>
          </w:tcPr>
          <w:p>
            <w:pPr>
              <w:spacing w:after="0" w:line="196" w:lineRule="exact"/>
              <w:rPr>
                <w:sz w:val="20"/>
                <w:szCs w:val="20"/>
                <w:color w:val="auto"/>
              </w:rPr>
            </w:pPr>
            <w:r>
              <w:rPr>
                <w:rFonts w:ascii="Times New Roman" w:cs="Times New Roman" w:eastAsia="Times New Roman" w:hAnsi="Times New Roman"/>
                <w:sz w:val="20"/>
                <w:szCs w:val="20"/>
                <w:color w:val="0070C0"/>
              </w:rPr>
              <w:t>BB+/Ba1 (or equivalent)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20"/>
                <w:szCs w:val="20"/>
                <w:color w:val="0070C0"/>
              </w:rPr>
              <w:t>1.250%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20"/>
                <w:szCs w:val="20"/>
                <w:color w:val="0070C0"/>
                <w:w w:val="97"/>
              </w:rPr>
              <w:t>0.250%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00" w:type="dxa"/>
            <w:vAlign w:val="bottom"/>
            <w:tcBorders>
              <w:right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top w:val="single" w:sz="8" w:color="0070C0"/>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80" w:type="dxa"/>
            <w:vAlign w:val="bottom"/>
            <w:tcBorders>
              <w:top w:val="single" w:sz="8" w:color="0070C0"/>
              <w:bottom w:val="single" w:sz="8" w:color="auto"/>
            </w:tcBorders>
            <w:gridSpan w:val="11"/>
          </w:tcPr>
          <w:p>
            <w:pPr>
              <w:spacing w:after="0"/>
              <w:rPr>
                <w:sz w:val="2"/>
                <w:szCs w:val="2"/>
                <w:color w:val="auto"/>
              </w:rPr>
            </w:pPr>
          </w:p>
        </w:tc>
        <w:tc>
          <w:tcPr>
            <w:tcW w:w="1220" w:type="dxa"/>
            <w:vAlign w:val="bottom"/>
            <w:tcBorders>
              <w:bottom w:val="single" w:sz="8" w:color="auto"/>
              <w:right w:val="single" w:sz="8" w:color="auto"/>
            </w:tcBorders>
            <w:gridSpan w:val="12"/>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620" w:type="dxa"/>
            <w:vAlign w:val="bottom"/>
            <w:tcBorders>
              <w:top w:val="single" w:sz="8" w:color="0070C0"/>
              <w:bottom w:val="single" w:sz="8" w:color="auto"/>
            </w:tcBorders>
            <w:gridSpan w:val="4"/>
          </w:tcPr>
          <w:p>
            <w:pPr>
              <w:spacing w:after="0"/>
              <w:rPr>
                <w:sz w:val="2"/>
                <w:szCs w:val="2"/>
                <w:color w:val="auto"/>
              </w:rPr>
            </w:pPr>
          </w:p>
        </w:tc>
        <w:tc>
          <w:tcPr>
            <w:tcW w:w="440" w:type="dxa"/>
            <w:vAlign w:val="bottom"/>
            <w:tcBorders>
              <w:bottom w:val="single" w:sz="8" w:color="auto"/>
              <w:right w:val="single" w:sz="8" w:color="auto"/>
            </w:tcBorders>
            <w:gridSpan w:val="4"/>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560" w:type="dxa"/>
            <w:vAlign w:val="bottom"/>
            <w:tcBorders>
              <w:top w:val="single" w:sz="8" w:color="0070C0"/>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gridSpan w:val="3"/>
          </w:tcPr>
          <w:p>
            <w:pPr>
              <w:spacing w:after="0"/>
              <w:rPr>
                <w:sz w:val="2"/>
                <w:szCs w:val="2"/>
                <w:color w:val="auto"/>
              </w:rPr>
            </w:pPr>
          </w:p>
        </w:tc>
        <w:tc>
          <w:tcPr>
            <w:tcW w:w="29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480" w:type="dxa"/>
            <w:vAlign w:val="bottom"/>
            <w:gridSpan w:val="3"/>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70C0"/>
                <w:w w:val="99"/>
              </w:rPr>
              <w:t>4</w:t>
            </w:r>
          </w:p>
        </w:tc>
        <w:tc>
          <w:tcPr>
            <w:tcW w:w="1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gridSpan w:val="18"/>
          </w:tcPr>
          <w:p>
            <w:pPr>
              <w:spacing w:after="0" w:line="196" w:lineRule="exact"/>
              <w:rPr>
                <w:sz w:val="20"/>
                <w:szCs w:val="20"/>
                <w:color w:val="auto"/>
              </w:rPr>
            </w:pPr>
            <w:r>
              <w:rPr>
                <w:rFonts w:ascii="Times New Roman" w:cs="Times New Roman" w:eastAsia="Times New Roman" w:hAnsi="Times New Roman"/>
                <w:sz w:val="20"/>
                <w:szCs w:val="20"/>
                <w:color w:val="0070C0"/>
              </w:rPr>
              <w:t>BB/Ba2 (or equivalent)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20"/>
                <w:szCs w:val="20"/>
                <w:color w:val="0070C0"/>
              </w:rPr>
              <w:t>1.450%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20"/>
                <w:szCs w:val="20"/>
                <w:color w:val="0070C0"/>
                <w:w w:val="97"/>
              </w:rPr>
              <w:t>0.450%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00" w:type="dxa"/>
            <w:vAlign w:val="bottom"/>
            <w:tcBorders>
              <w:right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top w:val="single" w:sz="8" w:color="0070C0"/>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60" w:type="dxa"/>
            <w:vAlign w:val="bottom"/>
            <w:tcBorders>
              <w:top w:val="single" w:sz="8" w:color="0070C0"/>
              <w:bottom w:val="single" w:sz="8" w:color="auto"/>
            </w:tcBorders>
            <w:gridSpan w:val="9"/>
          </w:tcPr>
          <w:p>
            <w:pPr>
              <w:spacing w:after="0"/>
              <w:rPr>
                <w:sz w:val="2"/>
                <w:szCs w:val="2"/>
                <w:color w:val="auto"/>
              </w:rPr>
            </w:pPr>
          </w:p>
        </w:tc>
        <w:tc>
          <w:tcPr>
            <w:tcW w:w="1340" w:type="dxa"/>
            <w:vAlign w:val="bottom"/>
            <w:tcBorders>
              <w:bottom w:val="single" w:sz="8" w:color="auto"/>
              <w:right w:val="single" w:sz="8" w:color="auto"/>
            </w:tcBorders>
            <w:gridSpan w:val="14"/>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620" w:type="dxa"/>
            <w:vAlign w:val="bottom"/>
            <w:tcBorders>
              <w:top w:val="single" w:sz="8" w:color="0070C0"/>
              <w:bottom w:val="single" w:sz="8" w:color="auto"/>
            </w:tcBorders>
            <w:gridSpan w:val="4"/>
          </w:tcPr>
          <w:p>
            <w:pPr>
              <w:spacing w:after="0"/>
              <w:rPr>
                <w:sz w:val="2"/>
                <w:szCs w:val="2"/>
                <w:color w:val="auto"/>
              </w:rPr>
            </w:pPr>
          </w:p>
        </w:tc>
        <w:tc>
          <w:tcPr>
            <w:tcW w:w="440" w:type="dxa"/>
            <w:vAlign w:val="bottom"/>
            <w:tcBorders>
              <w:bottom w:val="single" w:sz="8" w:color="auto"/>
              <w:right w:val="single" w:sz="8" w:color="auto"/>
            </w:tcBorders>
            <w:gridSpan w:val="4"/>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560" w:type="dxa"/>
            <w:vAlign w:val="bottom"/>
            <w:tcBorders>
              <w:top w:val="single" w:sz="8" w:color="0070C0"/>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gridSpan w:val="3"/>
          </w:tcPr>
          <w:p>
            <w:pPr>
              <w:spacing w:after="0"/>
              <w:rPr>
                <w:sz w:val="2"/>
                <w:szCs w:val="2"/>
                <w:color w:val="auto"/>
              </w:rPr>
            </w:pPr>
          </w:p>
        </w:tc>
        <w:tc>
          <w:tcPr>
            <w:tcW w:w="29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480" w:type="dxa"/>
            <w:vAlign w:val="bottom"/>
            <w:gridSpan w:val="3"/>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70C0"/>
                <w:w w:val="99"/>
              </w:rPr>
              <w:t>5</w:t>
            </w:r>
          </w:p>
        </w:tc>
        <w:tc>
          <w:tcPr>
            <w:tcW w:w="1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gridSpan w:val="18"/>
          </w:tcPr>
          <w:p>
            <w:pPr>
              <w:spacing w:after="0" w:line="196" w:lineRule="exact"/>
              <w:rPr>
                <w:sz w:val="20"/>
                <w:szCs w:val="20"/>
                <w:color w:val="auto"/>
              </w:rPr>
            </w:pPr>
            <w:r>
              <w:rPr>
                <w:rFonts w:ascii="Times New Roman" w:cs="Times New Roman" w:eastAsia="Times New Roman" w:hAnsi="Times New Roman"/>
                <w:sz w:val="20"/>
                <w:szCs w:val="20"/>
                <w:color w:val="0070C0"/>
              </w:rPr>
              <w:t>BB-/Ba3 (or equivalent)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20"/>
                <w:szCs w:val="20"/>
                <w:color w:val="0070C0"/>
              </w:rPr>
              <w:t>1.650%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20"/>
                <w:szCs w:val="20"/>
                <w:color w:val="0070C0"/>
                <w:w w:val="97"/>
              </w:rPr>
              <w:t>0.650%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00" w:type="dxa"/>
            <w:vAlign w:val="bottom"/>
            <w:tcBorders>
              <w:right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top w:val="single" w:sz="8" w:color="0070C0"/>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20" w:type="dxa"/>
            <w:vAlign w:val="bottom"/>
            <w:tcBorders>
              <w:top w:val="single" w:sz="8" w:color="0070C0"/>
              <w:bottom w:val="single" w:sz="8" w:color="auto"/>
            </w:tcBorders>
            <w:gridSpan w:val="10"/>
          </w:tcPr>
          <w:p>
            <w:pPr>
              <w:spacing w:after="0"/>
              <w:rPr>
                <w:sz w:val="2"/>
                <w:szCs w:val="2"/>
                <w:color w:val="auto"/>
              </w:rPr>
            </w:pPr>
          </w:p>
        </w:tc>
        <w:tc>
          <w:tcPr>
            <w:tcW w:w="1280" w:type="dxa"/>
            <w:vAlign w:val="bottom"/>
            <w:tcBorders>
              <w:bottom w:val="single" w:sz="8" w:color="auto"/>
              <w:right w:val="single" w:sz="8" w:color="auto"/>
            </w:tcBorders>
            <w:gridSpan w:val="13"/>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620" w:type="dxa"/>
            <w:vAlign w:val="bottom"/>
            <w:tcBorders>
              <w:top w:val="single" w:sz="8" w:color="0070C0"/>
              <w:bottom w:val="single" w:sz="8" w:color="auto"/>
            </w:tcBorders>
            <w:gridSpan w:val="4"/>
          </w:tcPr>
          <w:p>
            <w:pPr>
              <w:spacing w:after="0"/>
              <w:rPr>
                <w:sz w:val="2"/>
                <w:szCs w:val="2"/>
                <w:color w:val="auto"/>
              </w:rPr>
            </w:pPr>
          </w:p>
        </w:tc>
        <w:tc>
          <w:tcPr>
            <w:tcW w:w="440" w:type="dxa"/>
            <w:vAlign w:val="bottom"/>
            <w:tcBorders>
              <w:bottom w:val="single" w:sz="8" w:color="auto"/>
              <w:right w:val="single" w:sz="8" w:color="auto"/>
            </w:tcBorders>
            <w:gridSpan w:val="4"/>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560" w:type="dxa"/>
            <w:vAlign w:val="bottom"/>
            <w:tcBorders>
              <w:top w:val="single" w:sz="8" w:color="0070C0"/>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gridSpan w:val="3"/>
          </w:tcPr>
          <w:p>
            <w:pPr>
              <w:spacing w:after="0"/>
              <w:rPr>
                <w:sz w:val="2"/>
                <w:szCs w:val="2"/>
                <w:color w:val="auto"/>
              </w:rPr>
            </w:pPr>
          </w:p>
        </w:tc>
        <w:tc>
          <w:tcPr>
            <w:tcW w:w="29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480" w:type="dxa"/>
            <w:vAlign w:val="bottom"/>
            <w:gridSpan w:val="3"/>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70C0"/>
                <w:w w:val="99"/>
              </w:rPr>
              <w:t>6</w:t>
            </w:r>
          </w:p>
        </w:tc>
        <w:tc>
          <w:tcPr>
            <w:tcW w:w="1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gridSpan w:val="18"/>
          </w:tcPr>
          <w:p>
            <w:pPr>
              <w:spacing w:after="0" w:line="196" w:lineRule="exact"/>
              <w:rPr>
                <w:sz w:val="20"/>
                <w:szCs w:val="20"/>
                <w:color w:val="auto"/>
              </w:rPr>
            </w:pPr>
            <w:r>
              <w:rPr>
                <w:rFonts w:ascii="Times New Roman" w:cs="Times New Roman" w:eastAsia="Times New Roman" w:hAnsi="Times New Roman"/>
                <w:sz w:val="20"/>
                <w:szCs w:val="20"/>
                <w:color w:val="0070C0"/>
              </w:rPr>
              <w:t>B+/B1 or lower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20"/>
                <w:szCs w:val="20"/>
                <w:color w:val="0070C0"/>
              </w:rPr>
              <w:t>1.850%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20"/>
                <w:szCs w:val="20"/>
                <w:color w:val="0070C0"/>
                <w:w w:val="97"/>
              </w:rPr>
              <w:t>0.850%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00" w:type="dxa"/>
            <w:vAlign w:val="bottom"/>
            <w:tcBorders>
              <w:right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top w:val="single" w:sz="8" w:color="0070C0"/>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top w:val="single" w:sz="8" w:color="0070C0"/>
              <w:bottom w:val="single" w:sz="8" w:color="auto"/>
            </w:tcBorders>
            <w:gridSpan w:val="6"/>
          </w:tcPr>
          <w:p>
            <w:pPr>
              <w:spacing w:after="0"/>
              <w:rPr>
                <w:sz w:val="2"/>
                <w:szCs w:val="2"/>
                <w:color w:val="auto"/>
              </w:rPr>
            </w:pPr>
          </w:p>
        </w:tc>
        <w:tc>
          <w:tcPr>
            <w:tcW w:w="1960" w:type="dxa"/>
            <w:vAlign w:val="bottom"/>
            <w:tcBorders>
              <w:bottom w:val="single" w:sz="8" w:color="auto"/>
              <w:right w:val="single" w:sz="8" w:color="auto"/>
            </w:tcBorders>
            <w:gridSpan w:val="17"/>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620" w:type="dxa"/>
            <w:vAlign w:val="bottom"/>
            <w:tcBorders>
              <w:top w:val="single" w:sz="8" w:color="0070C0"/>
              <w:bottom w:val="single" w:sz="8" w:color="auto"/>
            </w:tcBorders>
            <w:gridSpan w:val="4"/>
          </w:tcPr>
          <w:p>
            <w:pPr>
              <w:spacing w:after="0"/>
              <w:rPr>
                <w:sz w:val="2"/>
                <w:szCs w:val="2"/>
                <w:color w:val="auto"/>
              </w:rPr>
            </w:pPr>
          </w:p>
        </w:tc>
        <w:tc>
          <w:tcPr>
            <w:tcW w:w="440" w:type="dxa"/>
            <w:vAlign w:val="bottom"/>
            <w:tcBorders>
              <w:bottom w:val="single" w:sz="8" w:color="auto"/>
              <w:right w:val="single" w:sz="8" w:color="auto"/>
            </w:tcBorders>
            <w:gridSpan w:val="4"/>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560" w:type="dxa"/>
            <w:vAlign w:val="bottom"/>
            <w:tcBorders>
              <w:top w:val="single" w:sz="8" w:color="0070C0"/>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gridSpan w:val="3"/>
          </w:tcPr>
          <w:p>
            <w:pPr>
              <w:spacing w:after="0"/>
              <w:rPr>
                <w:sz w:val="2"/>
                <w:szCs w:val="2"/>
                <w:color w:val="auto"/>
              </w:rPr>
            </w:pPr>
          </w:p>
        </w:tc>
        <w:tc>
          <w:tcPr>
            <w:tcW w:w="29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ED0000"/>
          <w:strike w:val="1"/>
        </w:rPr>
        <w:t>Notwithstanding the foregoing, it is hereby understood and agreed that during any applicable Sustainability Adjustment Period, the Applicable Margin for Revolving Loans shall be decreased by the Applicable Sustainability Adjustment (if any) in effect during such Sustainability Adjustment Period and in accordance with Section 3.11; provided that in no event shall the Applicable Margin be less than zero.</w:t>
      </w:r>
    </w:p>
    <w:p>
      <w:pPr>
        <w:spacing w:after="0" w:line="182"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Applicable Sustainability Adjustment</w:t>
      </w:r>
      <w:r>
        <w:rPr>
          <w:rFonts w:ascii="Times New Roman" w:cs="Times New Roman" w:eastAsia="Times New Roman" w:hAnsi="Times New Roman"/>
          <w:sz w:val="20"/>
          <w:szCs w:val="20"/>
          <w:color w:val="ED0000"/>
          <w:strike w:val="1"/>
        </w:rPr>
        <w:t>” means, subject to Section 3.11, for any Sustainability Adjustment Period (beginning with the Sustainability Adjustment Period commencing on the Sustainability Adjustment Date corresponding to the Compliance Certificate delivered in respect of the fiscal quarter in which the Sustainability Rating for the fiscal year ending December 31, 2021 is first reported by GRESB), determined, in the case of the following clause (a)(i) or (b)(i), by reference to the Sustainability Rating Change or Sustainability Rating, as applicable, reported in the Compliance Certificate delivered by the Parent for the immediately preceding fiscal year of the Parent (a “Reference Year”):</w:t>
      </w:r>
    </w:p>
    <w:p>
      <w:pPr>
        <w:spacing w:after="0" w:line="177" w:lineRule="exact"/>
        <w:rPr>
          <w:sz w:val="20"/>
          <w:szCs w:val="20"/>
          <w:color w:val="auto"/>
        </w:rPr>
      </w:pPr>
    </w:p>
    <w:p>
      <w:pPr>
        <w:jc w:val="both"/>
        <w:ind w:left="660" w:right="20" w:firstLine="644"/>
        <w:spacing w:after="0" w:line="257" w:lineRule="auto"/>
        <w:tabs>
          <w:tab w:leader="none" w:pos="1788" w:val="left"/>
        </w:tabs>
        <w:numPr>
          <w:ilvl w:val="0"/>
          <w:numId w:val="208"/>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color w:val="ED0000"/>
          <w:strike w:val="1"/>
        </w:rPr>
        <w:t>if (i) the Sustainability Rating Change for such Reference Year shall be an improvement in the Sustainability Rating greater than or equal to four percent (4%) or (ii) the Sustainability Rating reported in the Compliance Certificate delivered by the Parent in respect of such Sustainability Adjustment Period is greater than or equal to 92, then the Applicable Sustainability Adjustment for such Sustainability Adjustment Period shall be a 0.02% reduction in the Applicable Margin for Revolving Loans set forth in the table above;</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- 5 -</w:t>
      </w:r>
    </w:p>
    <w:p>
      <w:pPr>
        <w:sectPr>
          <w:pgSz w:w="11900" w:h="16838" w:orient="portrait"/>
          <w:cols w:equalWidth="0" w:num="1">
            <w:col w:w="11260"/>
          </w:cols>
          <w:pgMar w:left="320" w:top="1440" w:right="319" w:bottom="1440" w:gutter="0" w:footer="0" w:header="0"/>
          <w:type w:val="continuous"/>
        </w:sectPr>
      </w:pPr>
    </w:p>
    <w:bookmarkStart w:id="342" w:name="page343"/>
    <w:bookmarkEnd w:id="342"/>
    <w:p>
      <w:pPr>
        <w:spacing w:after="0" w:line="189" w:lineRule="exact"/>
        <w:rPr>
          <w:sz w:val="20"/>
          <w:szCs w:val="20"/>
          <w:color w:val="auto"/>
        </w:rPr>
      </w:pPr>
    </w:p>
    <w:p>
      <w:pPr>
        <w:jc w:val="both"/>
        <w:ind w:left="460" w:firstLine="644"/>
        <w:spacing w:after="0" w:line="253" w:lineRule="auto"/>
        <w:tabs>
          <w:tab w:leader="none" w:pos="1596" w:val="left"/>
        </w:tabs>
        <w:numPr>
          <w:ilvl w:val="0"/>
          <w:numId w:val="209"/>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color w:val="ED0000"/>
          <w:strike w:val="1"/>
        </w:rPr>
        <w:t>if (i) the Sustainability Rating Change for such Reference Year shall be an improvement in the Sustainability Rating greater than or equal to two percent (2%), but less than four percent (4%) or (ii) the Sustainability Rating reported in the Compliance Certificate delivered by the Parent in respect of such Sustainability Adjustment Period is greater than or equal to 90 but less than 92, then the Applicable Sustainability Adjustment for such Sustainability Adjustment Period shall be a 0.01% reduction in the Applicable Margin for Revolving Loans set forth in the pricing table above; and</w:t>
      </w:r>
    </w:p>
    <w:p>
      <w:pPr>
        <w:spacing w:after="0" w:line="191" w:lineRule="exact"/>
        <w:rPr>
          <w:rFonts w:ascii="Times New Roman" w:cs="Times New Roman" w:eastAsia="Times New Roman" w:hAnsi="Times New Roman"/>
          <w:sz w:val="20"/>
          <w:szCs w:val="20"/>
          <w:color w:val="ED0000"/>
          <w:strike w:val="1"/>
        </w:rPr>
      </w:pPr>
    </w:p>
    <w:p>
      <w:pPr>
        <w:jc w:val="both"/>
        <w:ind w:left="460" w:firstLine="644"/>
        <w:spacing w:after="0" w:line="253" w:lineRule="auto"/>
        <w:tabs>
          <w:tab w:leader="none" w:pos="1547" w:val="left"/>
        </w:tabs>
        <w:numPr>
          <w:ilvl w:val="0"/>
          <w:numId w:val="209"/>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color w:val="ED0000"/>
          <w:strike w:val="1"/>
        </w:rPr>
        <w:t>if (i) the Sustainability Rating Change for such Reference Year shall be an improvement in the Sustainability Rating of less than two percent (2%) (or if the Sustainability Rating Change for such Reference Year shall have declined) or (ii) the Parent shall have elected in its sole discretion to not report an Applicable Sustainability Adjustment in the applicable Compliance Certificate, then the Applicable Sustainability Adjustment for such Sustainability Adjustment Period shall be zero and there shall be no Applicable Sustainability Adjustment to the Applicable Margin for Revolving Loans; provided that this clause (c) shall not apply if the Sustainability Rating Change for such Reference Year cannot be determined due to the occurrence of any event described in clause (A) (B) or (C) of clause (i) of the following proviso;</w:t>
      </w:r>
    </w:p>
    <w:p>
      <w:pPr>
        <w:spacing w:after="0" w:line="17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ED0000"/>
          <w:strike w:val="1"/>
        </w:rPr>
        <w:t>provided, that, notwithstanding the foregoing,</w:t>
      </w:r>
    </w:p>
    <w:p>
      <w:pPr>
        <w:spacing w:after="0" w:line="229" w:lineRule="exact"/>
        <w:rPr>
          <w:sz w:val="20"/>
          <w:szCs w:val="20"/>
          <w:color w:val="auto"/>
        </w:rPr>
      </w:pPr>
    </w:p>
    <w:p>
      <w:pPr>
        <w:jc w:val="both"/>
        <w:ind w:left="1100" w:firstLine="652"/>
        <w:spacing w:after="0" w:line="249" w:lineRule="auto"/>
        <w:tabs>
          <w:tab w:leader="none" w:pos="2181" w:val="left"/>
        </w:tabs>
        <w:numPr>
          <w:ilvl w:val="0"/>
          <w:numId w:val="210"/>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color w:val="ED0000"/>
          <w:strike w:val="1"/>
        </w:rPr>
        <w:t>if (A) GRESB fails or is no longer able to issue a Sustainability Rating, or otherwise delays the issuance of a Sustainability Rating without the consent of the Parent, (B) GRESB notifies the Parent, or makes an announcement to the effect, that it will no longer issue a Sustainability Rating, or (C) the scoring methodologies or other basis upon which the Sustainability Rating is determined shall materially change from the methodologies and basis for the determination of the Sustainability Rating in effect for the fiscal year of the Parent ending December 31, 2021, then in any such case, (x) the Parent or the Sustainability Agent (acting on the instructions of the Requisite Revolving Lenders) may request that discussions be entered into between the Parent and the Sustainability Agent (for a period of no more than 30 consecutive days, or such longer period as may be mutually agreed by the Borrower and the Sustainability Agent (with the consent of the Requisite Revolving Lenders)) with a view to agreeing on a substitute basis for determining a Sustainability Rating (with the consent of the Requisite Revolving Lenders); (y) during any such discussion period, the Applicable Sustainability Adjustment with respect to the applicable Sustainability Adjustment Period shall be determined pursuant to clause (a) or (b) of this definition above, based on the Sustainability Rating Change or Sustainability Rating, as applicable, that was in effect and applied immediately prior to the date on which such discussion period commenced; (z) if no agreement can be reached between the Borrower and the Sustainability Agent during such discussion period, unless otherwise agreed by the Borrower and the Sustainability Agent (with the consent of the Requisite Revolving Lenders), the Applicable Sustainability Adjustment shall be determined pursuant to clause (b) of this definition above and shall apply to the Applicable Margin for Revolving Loans from and after the last day of such discussion period;</w:t>
      </w:r>
    </w:p>
    <w:p>
      <w:pPr>
        <w:spacing w:after="0" w:line="196" w:lineRule="exact"/>
        <w:rPr>
          <w:rFonts w:ascii="Times New Roman" w:cs="Times New Roman" w:eastAsia="Times New Roman" w:hAnsi="Times New Roman"/>
          <w:sz w:val="20"/>
          <w:szCs w:val="20"/>
          <w:color w:val="ED0000"/>
          <w:strike w:val="1"/>
        </w:rPr>
      </w:pPr>
    </w:p>
    <w:p>
      <w:pPr>
        <w:jc w:val="both"/>
        <w:ind w:left="1100" w:firstLine="652"/>
        <w:spacing w:after="0" w:line="261" w:lineRule="auto"/>
        <w:tabs>
          <w:tab w:leader="none" w:pos="2232" w:val="left"/>
        </w:tabs>
        <w:numPr>
          <w:ilvl w:val="0"/>
          <w:numId w:val="210"/>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color w:val="ED0000"/>
          <w:strike w:val="1"/>
        </w:rPr>
        <w:t>until the Compliance Certificate is delivered in respect of the Parent’s fiscal year ending December 31, 2021, the Applicable Sustainability Adjustment for such Sustainability Adjustment Period shall be zero and there shall be no Applicable Sustainability Adjustment to the Applicable 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- 6 -</w:t>
      </w:r>
    </w:p>
    <w:p>
      <w:pPr>
        <w:sectPr>
          <w:pgSz w:w="11900" w:h="16838" w:orient="portrait"/>
          <w:cols w:equalWidth="0" w:num="1">
            <w:col w:w="11040"/>
          </w:cols>
          <w:pgMar w:left="520" w:top="1440" w:right="339" w:bottom="1440" w:gutter="0" w:footer="0" w:header="0"/>
        </w:sectPr>
      </w:pPr>
    </w:p>
    <w:bookmarkStart w:id="343" w:name="page344"/>
    <w:bookmarkEnd w:id="343"/>
    <w:p>
      <w:pPr>
        <w:spacing w:after="0" w:line="189" w:lineRule="exact"/>
        <w:rPr>
          <w:sz w:val="20"/>
          <w:szCs w:val="20"/>
          <w:color w:val="auto"/>
        </w:rPr>
      </w:pPr>
    </w:p>
    <w:p>
      <w:pPr>
        <w:jc w:val="both"/>
        <w:ind w:left="1300" w:firstLine="652"/>
        <w:spacing w:after="0" w:line="253" w:lineRule="auto"/>
        <w:tabs>
          <w:tab w:leader="none" w:pos="2443" w:val="left"/>
        </w:tabs>
        <w:numPr>
          <w:ilvl w:val="0"/>
          <w:numId w:val="211"/>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color w:val="ED0000"/>
          <w:strike w:val="1"/>
        </w:rPr>
        <w:t>the Parent may elect to deliver to the Administrative Agent a revised Compliance Certificate for any Reference Year reflecting a revised Sustainability Rating Change or Sustainability Rating, as applicable, and commencing on the Business Day immediately following the date of delivery of such revised Compliance Certificate through the end of such Sustainability Adjustment Period, such revised Sustainability Rating Change or Sustainability Rating, as applicable, shall apply.</w:t>
      </w:r>
    </w:p>
    <w:p>
      <w:pPr>
        <w:spacing w:after="0" w:line="18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Approved Fund</w:t>
      </w:r>
      <w:r>
        <w:rPr>
          <w:rFonts w:ascii="Times New Roman" w:cs="Times New Roman" w:eastAsia="Times New Roman" w:hAnsi="Times New Roman"/>
          <w:sz w:val="20"/>
          <w:szCs w:val="20"/>
          <w:u w:val="single" w:color="auto"/>
          <w:color w:val="0070C0"/>
        </w:rPr>
        <w:t>” means any Fund that is administered or managed by (a) a Lender, (b) an Affiliate of a Lender, or (c) an entity or an Affiliate of any entity that administers or manages a Lender.</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Arranger</w:t>
      </w:r>
      <w:r>
        <w:rPr>
          <w:rFonts w:ascii="Times New Roman" w:cs="Times New Roman" w:eastAsia="Times New Roman" w:hAnsi="Times New Roman"/>
          <w:sz w:val="20"/>
          <w:szCs w:val="20"/>
          <w:color w:val="auto"/>
        </w:rPr>
        <w:t>” means the Persons identified as such in the introductory paragraph hereof and shall include each such Person’s successors and permitted assigns.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means an Assignment and Assumption Agreement among a Lender, an Eligible Assignee and the Administrative Agent, substantially in the form of Exhibit A.</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4.2(b)(iv).</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Avoidance Provisions</w:t>
      </w:r>
      <w:r>
        <w:rPr>
          <w:rFonts w:ascii="Times New Roman" w:cs="Times New Roman" w:eastAsia="Times New Roman" w:hAnsi="Times New Roman"/>
          <w:sz w:val="20"/>
          <w:szCs w:val="20"/>
          <w:color w:val="auto"/>
        </w:rPr>
        <w:t>” has the meaning given that term in Section 2.16.(d).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the Bankruptcy Code of 1978.</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w:t>
      </w:r>
      <w:r>
        <w:rPr>
          <w:rFonts w:ascii="Times New Roman" w:cs="Times New Roman" w:eastAsia="Times New Roman" w:hAnsi="Times New Roman"/>
          <w:sz w:val="20"/>
          <w:szCs w:val="20"/>
          <w:color w:val="auto"/>
        </w:rPr>
        <w:t>” means, at any time, the highest of (a) the Prime Rate, (b) the Federal Funds Rate plus 0.50% and (c) Daily Simple SOFR in effect on such day plus 1.00%; each change in the Base Rate shall take effect simultaneously with the corresponding change or changes in the Prime Rate, the Federal Funds Rate or Daily Simple SOFR, as applicable (provided that clause (c) shall not be applicable during any period in which Daily Simple SOFR is unavailable or unascertainable). Notwithstanding the foregoing, in no event shall the Base Rate be less than 1.00%.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Rate Loan</w:t>
      </w:r>
      <w:r>
        <w:rPr>
          <w:rFonts w:ascii="Times New Roman" w:cs="Times New Roman" w:eastAsia="Times New Roman" w:hAnsi="Times New Roman"/>
          <w:sz w:val="19"/>
          <w:szCs w:val="19"/>
          <w:color w:val="auto"/>
        </w:rPr>
        <w:t>” means a Revolving Loan or Term Loan (or any portion thereof) bearing interest at a rate based on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- 7 -</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w:t>
      </w:r>
      <w:r>
        <w:rPr>
          <w:rFonts w:ascii="Times New Roman" w:cs="Times New Roman" w:eastAsia="Times New Roman" w:hAnsi="Times New Roman"/>
          <w:sz w:val="20"/>
          <w:szCs w:val="20"/>
          <w:u w:val="single" w:color="auto"/>
          <w:color w:val="0070C0"/>
        </w:rPr>
        <w:t>Daily Simple SOFR or</w:t>
      </w:r>
      <w:r>
        <w:rPr>
          <w:rFonts w:ascii="Times New Roman" w:cs="Times New Roman" w:eastAsia="Times New Roman" w:hAnsi="Times New Roman"/>
          <w:sz w:val="20"/>
          <w:szCs w:val="20"/>
          <w:color w:val="auto"/>
        </w:rPr>
        <w:t xml:space="preserve"> the Term SOFR Reference Rate; provided that if a Benchmark Transition Event has occurred with respect to </w:t>
      </w:r>
      <w:r>
        <w:rPr>
          <w:rFonts w:ascii="Times New Roman" w:cs="Times New Roman" w:eastAsia="Times New Roman" w:hAnsi="Times New Roman"/>
          <w:sz w:val="20"/>
          <w:szCs w:val="20"/>
          <w:u w:val="single" w:color="auto"/>
          <w:color w:val="0070C0"/>
        </w:rPr>
        <w:t>Daily Simple SOFR or</w:t>
      </w:r>
      <w:r>
        <w:rPr>
          <w:rFonts w:ascii="Times New Roman" w:cs="Times New Roman" w:eastAsia="Times New Roman" w:hAnsi="Times New Roman"/>
          <w:sz w:val="20"/>
          <w:szCs w:val="20"/>
          <w:color w:val="auto"/>
        </w:rPr>
        <w:t xml:space="preserve"> the Term SOFR Reference Rate or the then-current Benchmark, then “Benchmark” means the applicable Benchmark Replacement to the extent that such Benchmark Replacement has replaced such prior benchmark rate pursuant to Section 4.2(b)(i).</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with respect to any Benchmark Transition Event,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233" w:lineRule="exact"/>
        <w:rPr>
          <w:sz w:val="20"/>
          <w:szCs w:val="20"/>
          <w:color w:val="auto"/>
        </w:rPr>
      </w:pPr>
    </w:p>
    <w:p>
      <w:pPr>
        <w:jc w:val="both"/>
        <w:ind w:left="660" w:firstLine="644"/>
        <w:spacing w:after="0" w:line="258" w:lineRule="auto"/>
        <w:tabs>
          <w:tab w:leader="none" w:pos="1755"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5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r>
        <w:rPr>
          <w:rFonts w:ascii="Times New Roman" w:cs="Times New Roman" w:eastAsia="Times New Roman" w:hAnsi="Times New Roman"/>
          <w:sz w:val="20"/>
          <w:szCs w:val="20"/>
          <w:u w:val="single" w:color="auto"/>
          <w:color w:val="0070C0"/>
        </w:rPr>
        <w:t>.</w:t>
      </w:r>
    </w:p>
    <w:p>
      <w:pPr>
        <w:spacing w:after="0" w:line="17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- 8 -</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or events set forth therein with respect to all then-current Available Tenors of such Benchmark (or the published component used in the calculation thereof).</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200" w:lineRule="exact"/>
        <w:rPr>
          <w:sz w:val="20"/>
          <w:szCs w:val="20"/>
          <w:color w:val="auto"/>
        </w:rPr>
      </w:pPr>
    </w:p>
    <w:p>
      <w:pPr>
        <w:jc w:val="both"/>
        <w:ind w:left="660" w:firstLine="644"/>
        <w:spacing w:after="0" w:line="257" w:lineRule="auto"/>
        <w:tabs>
          <w:tab w:leader="none" w:pos="1853"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72"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0"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53"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Unavailability Period</w:t>
      </w:r>
      <w:r>
        <w:rPr>
          <w:rFonts w:ascii="Times New Roman" w:cs="Times New Roman" w:eastAsia="Times New Roman" w:hAnsi="Times New Roman"/>
          <w:sz w:val="19"/>
          <w:szCs w:val="19"/>
          <w:color w:val="auto"/>
        </w:rPr>
        <w:t>” means the period (if any) (x) beginning at the time that a Benchmark Replacement Date has occurred if, at such time, no Benchmark Replacement has replaced the then-current Benchmark for all purposes hereunder and under any Loan Document in accordance with Section 4.2(b)(i) and (y) ending at the time that a Benchmark Replacement has replaced the then-current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- 9 -</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 for all purposes hereunder and under any Loan Document in accordance with Section 4.2(b)(i).</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Arrangement</w:t>
      </w:r>
      <w:r>
        <w:rPr>
          <w:rFonts w:ascii="Times New Roman" w:cs="Times New Roman" w:eastAsia="Times New Roman" w:hAnsi="Times New Roman"/>
          <w:sz w:val="20"/>
          <w:szCs w:val="20"/>
          <w:color w:val="auto"/>
        </w:rPr>
        <w:t>” means at any time an employee benefit plan within the meaning of Section 3(3) of ERISA which is not a Plan or a Multiemployer Plan and which is maintained or otherwise contributed to by any member of the ERISA Group.</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Bid Rate Borrowing</w:t>
      </w:r>
      <w:r>
        <w:rPr>
          <w:rFonts w:ascii="Times New Roman" w:cs="Times New Roman" w:eastAsia="Times New Roman" w:hAnsi="Times New Roman"/>
          <w:sz w:val="20"/>
          <w:szCs w:val="20"/>
          <w:color w:val="auto"/>
        </w:rPr>
        <w:t>” has the meaning given that term in Section 2.3.(b).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Bid Rate Loan</w:t>
      </w:r>
      <w:r>
        <w:rPr>
          <w:rFonts w:ascii="Times New Roman" w:cs="Times New Roman" w:eastAsia="Times New Roman" w:hAnsi="Times New Roman"/>
          <w:sz w:val="20"/>
          <w:szCs w:val="20"/>
          <w:color w:val="auto"/>
        </w:rPr>
        <w:t>” means a loan made by a Lender under Section 2.3.(f).</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Bid Rate Note</w:t>
      </w:r>
      <w:r>
        <w:rPr>
          <w:rFonts w:ascii="Times New Roman" w:cs="Times New Roman" w:eastAsia="Times New Roman" w:hAnsi="Times New Roman"/>
          <w:sz w:val="20"/>
          <w:szCs w:val="20"/>
          <w:color w:val="auto"/>
        </w:rPr>
        <w:t>” means a promissory note of the Borrowers substantially in the form of Exhibit B, payable to a Revolving Lender, or its registered assignees, as originally in effect and otherwise duly completed.</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Bid Rate Quote</w:t>
      </w:r>
      <w:r>
        <w:rPr>
          <w:rFonts w:ascii="Times New Roman" w:cs="Times New Roman" w:eastAsia="Times New Roman" w:hAnsi="Times New Roman"/>
          <w:sz w:val="20"/>
          <w:szCs w:val="20"/>
          <w:color w:val="auto"/>
        </w:rPr>
        <w:t>” means an offer in accordance with Section 2.3.(c) by a Revolving Lender to make a Bid Rate Loan with one single specified interest rate.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Bid Rate Quote Request</w:t>
      </w:r>
      <w:r>
        <w:rPr>
          <w:rFonts w:ascii="Times New Roman" w:cs="Times New Roman" w:eastAsia="Times New Roman" w:hAnsi="Times New Roman"/>
          <w:sz w:val="20"/>
          <w:szCs w:val="20"/>
          <w:color w:val="auto"/>
        </w:rPr>
        <w:t>” has the meaning given that term in Section 2.3.(b).</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has the meaning set forth in the introductory paragraph hereof and shall include each Borrower’s successors and permitted assigns.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Representative</w:t>
      </w:r>
      <w:r>
        <w:rPr>
          <w:rFonts w:ascii="Times New Roman" w:cs="Times New Roman" w:eastAsia="Times New Roman" w:hAnsi="Times New Roman"/>
          <w:sz w:val="20"/>
          <w:szCs w:val="20"/>
          <w:color w:val="auto"/>
        </w:rPr>
        <w:t>” has the meaning given that term in Section 2.17.</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Saturday, Sunday or legal holiday) on which banks in San Francisco, California and New York, New York, are open for the conduct of their commercial banking business. Unless specifically referenced in this Agreement as a Business Day, all references to “days” shall be to calendar days.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Capital Reserves</w:t>
      </w:r>
      <w:r>
        <w:rPr>
          <w:rFonts w:ascii="Times New Roman" w:cs="Times New Roman" w:eastAsia="Times New Roman" w:hAnsi="Times New Roman"/>
          <w:sz w:val="20"/>
          <w:szCs w:val="20"/>
          <w:color w:val="ED0000"/>
          <w:strike w:val="1"/>
        </w:rPr>
        <w:t>” means, for any period and with respect to any Property, an amount equal to (a) the aggregate square footage (or units with respect to multifamily Properties) of all completed space of such Property times (b) $0.25 for office Properties, $0.15 for retail Properties and $200 per unit for multifamily Properties times (c) the number of days in such period divided by (d) 365. If the term Capital Reserves is used without reference to any specific Property, then it shall be determined on an aggregate basis with respect to all Properties of the Parent and its Subsidiaries.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Capitalization Rate</w:t>
      </w:r>
      <w:r>
        <w:rPr>
          <w:rFonts w:ascii="Times New Roman" w:cs="Times New Roman" w:eastAsia="Times New Roman" w:hAnsi="Times New Roman"/>
          <w:sz w:val="20"/>
          <w:szCs w:val="20"/>
          <w:color w:val="auto"/>
        </w:rPr>
        <w:t>” means 6.0%.</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Capitalized Lease Obligation</w:t>
      </w:r>
      <w:r>
        <w:rPr>
          <w:rFonts w:ascii="Times New Roman" w:cs="Times New Roman" w:eastAsia="Times New Roman" w:hAnsi="Times New Roman"/>
          <w:sz w:val="20"/>
          <w:szCs w:val="20"/>
          <w:color w:val="auto"/>
        </w:rPr>
        <w:t>” obligations under a lease that are required to be in accordance with GAAP recorded on both the balance sheet and income statement as a “finance lease” (as defined in Accounting Standard Codification 842 and any successor pronouncements (“ASC 842”)); provided that, in no event shall any obligations under a “straight-line” lease or any lease that would be categorized as an “operating lease” in accordance with ASC 842 be considered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- 10 -</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the Issuing Banks and the Lenders, as collateral for Letter of Credit Liabilities or obligations of Lenders to fund participations in respect of Letter of Credit Liabilities, cash or deposit account balances or, if the Administrative Agent and the Issuing Banks shall agree in their sole discretion, other credit support, in each case pursuant to documentation in form and substance satisfactory to the Administrative Agent and the Issuing Banks. “Cash Collateral” shall have a meaning correlative to the foregoing and shall include the proceeds of such cash collateral and other credit support.</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 (a) securities issued, guaranteed or insured by the United States of America or any of its agencies with maturities of not more than one year from the date acquired; (b) marketable direct obligations issued by any state of the United States of America or any political subdivision of any such state or any public instrumentality thereof with maturities of not more than one year from the date acquired, so long as such obligations have one of the two highest ratings obtainable from any two of S&amp;P, Moody’s or Fitch; (c)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(d) reverse repurchase agreements with terms of not more than seven days from the date acquired, for securities of the type described in clause (a) above and entered into only with commercial banks having the qualifications described in clause (c) above; (e)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(f) investments in money market funds registered under the Investment Company Act of 1940, as amended, which have net assets of at least $500,000,000 and substantially all of whose assets consist of securities and other obligations of the type described in clauses (a) through (e) above.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Cash Repayment</w:t>
      </w:r>
      <w:r>
        <w:rPr>
          <w:rFonts w:ascii="Times New Roman" w:cs="Times New Roman" w:eastAsia="Times New Roman" w:hAnsi="Times New Roman"/>
          <w:sz w:val="20"/>
          <w:szCs w:val="20"/>
          <w:color w:val="388600"/>
          <w:strike w:val="1"/>
        </w:rPr>
        <w:t>” has the meaning given that term in Section</w:t>
      </w:r>
      <w:r>
        <w:rPr>
          <w:rFonts w:ascii="Times New Roman" w:cs="Times New Roman" w:eastAsia="Times New Roman" w:hAnsi="Times New Roman"/>
          <w:sz w:val="20"/>
          <w:szCs w:val="20"/>
          <w:color w:val="ED0000"/>
        </w:rPr>
        <w:t xml:space="preserve"> 12.5.(i)(vi).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-59690</wp:posOffset>
            </wp:positionV>
            <wp:extent cx="6140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14045" cy="889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the occurrence of either of the following: (i) any person or group is or becomes the beneficial owner, directly or indirectly, of more than 50% of the total voting power of the then outstanding voting stock of the Parent; or (ii) during any period of 12 consecutive months, individuals who at the beginning of any such 12-month period constituted the Board of Directors of the Parent (together with any new directors whose election by such Board or whose nomination for election by the shareholders of the Parent was approved by a vote of a majority of the directors then still in office who were either directors at the beginning of such period or whose election or nomination for election was previously so approved) cease for any reason to constitute at least a majority of the Board of Directors of the Parent.</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w:t>
      </w:r>
      <w:r>
        <w:rPr>
          <w:rFonts w:ascii="Times New Roman" w:cs="Times New Roman" w:eastAsia="Times New Roman" w:hAnsi="Times New Roman"/>
          <w:sz w:val="20"/>
          <w:szCs w:val="20"/>
          <w:color w:val="auto"/>
        </w:rPr>
        <w:t>” (a) when used with respect to a Loan, refers to whether such Loan is a Revolving Loan, a Term A Loan or a Term B Loan and (b) when used with respect to a Lender, refers to whether such Lender has a Loan or Revolving Commitment with respect to a particular Facility.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has the meaning given that term in Section 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- 11 -</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4.4.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 is reasonably necessary in connection with the administration of this Agreement and the other Loan Documents).</w:t>
      </w:r>
    </w:p>
    <w:p>
      <w:pPr>
        <w:spacing w:after="0" w:line="17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Continue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Continuation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Continued</w:t>
      </w:r>
      <w:r>
        <w:rPr>
          <w:rFonts w:ascii="Times New Roman" w:cs="Times New Roman" w:eastAsia="Times New Roman" w:hAnsi="Times New Roman"/>
          <w:sz w:val="20"/>
          <w:szCs w:val="20"/>
          <w:color w:val="auto"/>
        </w:rPr>
        <w:t>” each refers to the continuation of a SOFR Loan from one Interest Period to another Interest Period pursuant to Section 2.10.</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Converted</w:t>
      </w:r>
      <w:r>
        <w:rPr>
          <w:rFonts w:ascii="Times New Roman" w:cs="Times New Roman" w:eastAsia="Times New Roman" w:hAnsi="Times New Roman"/>
          <w:sz w:val="20"/>
          <w:szCs w:val="20"/>
          <w:color w:val="auto"/>
        </w:rPr>
        <w:t>” each refers to the conversion of a Loan of one Type into a Loan of another Type pursuant to Section 2.11.</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Event</w:t>
      </w:r>
      <w:r>
        <w:rPr>
          <w:rFonts w:ascii="Times New Roman" w:cs="Times New Roman" w:eastAsia="Times New Roman" w:hAnsi="Times New Roman"/>
          <w:sz w:val="20"/>
          <w:szCs w:val="20"/>
          <w:color w:val="auto"/>
        </w:rPr>
        <w:t>” means each of the following: (a) the making (or deemed making) of any Loan and (b) the issuance of a Letter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w:t>
      </w:r>
    </w:p>
    <w:p>
      <w:pPr>
        <w:spacing w:after="0" w:line="21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Exposure</w:t>
      </w:r>
      <w:r>
        <w:rPr>
          <w:rFonts w:ascii="Times New Roman" w:cs="Times New Roman" w:eastAsia="Times New Roman" w:hAnsi="Times New Roman"/>
          <w:sz w:val="20"/>
          <w:szCs w:val="20"/>
          <w:color w:val="auto"/>
        </w:rPr>
        <w:t xml:space="preserve">” means, as to any Revolving Lender at any time, the aggregate principal amount at such time of its outstanding Revolving Loans and such Lender’s participation in Letter of Credit Liabilities </w:t>
      </w:r>
      <w:r>
        <w:rPr>
          <w:rFonts w:ascii="Times New Roman" w:cs="Times New Roman" w:eastAsia="Times New Roman" w:hAnsi="Times New Roman"/>
          <w:sz w:val="20"/>
          <w:szCs w:val="20"/>
          <w:color w:val="ED0000"/>
          <w:strike w:val="1"/>
        </w:rPr>
        <w:t>and Swingline Loans</w:t>
      </w:r>
      <w:r>
        <w:rPr>
          <w:rFonts w:ascii="Times New Roman" w:cs="Times New Roman" w:eastAsia="Times New Roman" w:hAnsi="Times New Roman"/>
          <w:sz w:val="20"/>
          <w:szCs w:val="20"/>
          <w:color w:val="auto"/>
        </w:rPr>
        <w:t xml:space="preserve"> at such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Rating</w:t>
      </w:r>
      <w:r>
        <w:rPr>
          <w:rFonts w:ascii="Times New Roman" w:cs="Times New Roman" w:eastAsia="Times New Roman" w:hAnsi="Times New Roman"/>
          <w:sz w:val="20"/>
          <w:szCs w:val="20"/>
          <w:color w:val="auto"/>
        </w:rPr>
        <w:t>” means the rating assigned by a Rating Agency to the senior unsecured long term Indebtedness of a Person.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Daily Simple SOFR</w:t>
      </w:r>
      <w:r>
        <w:rPr>
          <w:rFonts w:ascii="Times New Roman" w:cs="Times New Roman" w:eastAsia="Times New Roman" w:hAnsi="Times New Roman"/>
          <w:sz w:val="20"/>
          <w:szCs w:val="20"/>
          <w:color w:val="auto"/>
        </w:rPr>
        <w:t>” means, for any day (a “SOFR Rate Day”), a rate per annum equal to the greater of (a) SOFR for the day (such day, a “SOFR Determination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by 5:00 p.m. on the second (2nd) U.S. Government Securities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- 12 -</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SOFR as published in respect of the first preceding U.S. Government Securities Business Day for which such SOFR was published on the SOFR Administrator’s Website; provided further that SOFR as determined pursuant to this proviso shall be utilized for purposes of calculation of Daily Simple SOFR for no more than three (3) consecutive SOFR Rate Days and (b) the Floor. Any change in Daily Simple SOFR due to a change in SOFR shall be effective from and including the effective date of such change in SOFR without notice to the Borrower.</w:t>
      </w:r>
    </w:p>
    <w:p>
      <w:pPr>
        <w:spacing w:after="0" w:line="18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Daily Simple SOFR Loan</w:t>
      </w:r>
      <w:r>
        <w:rPr>
          <w:rFonts w:ascii="Times New Roman" w:cs="Times New Roman" w:eastAsia="Times New Roman" w:hAnsi="Times New Roman"/>
          <w:sz w:val="20"/>
          <w:szCs w:val="20"/>
          <w:u w:val="single" w:color="auto"/>
          <w:color w:val="0070C0"/>
        </w:rPr>
        <w:t xml:space="preserve">” means any Revolving Loan </w:t>
      </w:r>
      <w:r>
        <w:rPr>
          <w:rFonts w:ascii="Times New Roman" w:cs="Times New Roman" w:eastAsia="Times New Roman" w:hAnsi="Times New Roman"/>
          <w:sz w:val="20"/>
          <w:szCs w:val="20"/>
          <w:u w:val="single" w:color="auto"/>
          <w:color w:val="388600"/>
        </w:rPr>
        <w:t>bearing interest at a rate based on</w:t>
      </w:r>
      <w:r>
        <w:rPr>
          <w:rFonts w:ascii="Times New Roman" w:cs="Times New Roman" w:eastAsia="Times New Roman" w:hAnsi="Times New Roman"/>
          <w:sz w:val="20"/>
          <w:szCs w:val="20"/>
          <w:u w:val="single" w:color="auto"/>
          <w:color w:val="0070C0"/>
        </w:rPr>
        <w:t xml:space="preserve"> Daily Simple SOFR (other than the Daily Simple SOFR component of the definition of Base Rate).</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Deemed Repayment</w:t>
      </w:r>
      <w:r>
        <w:rPr>
          <w:rFonts w:ascii="Times New Roman" w:cs="Times New Roman" w:eastAsia="Times New Roman" w:hAnsi="Times New Roman"/>
          <w:sz w:val="20"/>
          <w:szCs w:val="20"/>
          <w:color w:val="ED0000"/>
          <w:strike w:val="1"/>
        </w:rPr>
        <w:t>” has the meaning given that term in Section 12.5.(i)(vi).</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xml:space="preserve">” means any of the events specified in Section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whether or not there has been satisfied any requirement for the giving of notice, the lapse of time, or both.</w:t>
      </w:r>
    </w:p>
    <w:p>
      <w:pPr>
        <w:spacing w:after="0" w:line="16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Lender</w:t>
      </w:r>
      <w:r>
        <w:rPr>
          <w:rFonts w:ascii="Times New Roman" w:cs="Times New Roman" w:eastAsia="Times New Roman" w:hAnsi="Times New Roman"/>
          <w:sz w:val="20"/>
          <w:szCs w:val="20"/>
          <w:color w:val="auto"/>
        </w:rPr>
        <w:t>” means, subject to Section 3.9.(f), any Lender that (a) has failed to (i) fund all or any portion of its Loans within 2 Business Days of the date such Loans were required to be funded hereunder unless such Lender notifies the Administrative Agent and the Borrower Representative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Banks</w:t>
      </w:r>
      <w:r>
        <w:rPr>
          <w:rFonts w:ascii="Times New Roman" w:cs="Times New Roman" w:eastAsia="Times New Roman" w:hAnsi="Times New Roman"/>
          <w:sz w:val="20"/>
          <w:szCs w:val="20"/>
          <w:color w:val="ED0000"/>
          <w:strike w:val="1"/>
        </w:rPr>
        <w:t>, the Swingline Lenders</w:t>
      </w:r>
      <w:r>
        <w:rPr>
          <w:rFonts w:ascii="Times New Roman" w:cs="Times New Roman" w:eastAsia="Times New Roman" w:hAnsi="Times New Roman"/>
          <w:sz w:val="20"/>
          <w:szCs w:val="20"/>
          <w:color w:val="auto"/>
        </w:rPr>
        <w:t xml:space="preserve"> or any other Lender any other amount required to be paid by it hereunder (including in respect of its participation in Letters of Credit </w:t>
      </w:r>
      <w:r>
        <w:rPr>
          <w:rFonts w:ascii="Times New Roman" w:cs="Times New Roman" w:eastAsia="Times New Roman" w:hAnsi="Times New Roman"/>
          <w:sz w:val="20"/>
          <w:szCs w:val="20"/>
          <w:color w:val="ED0000"/>
        </w:rPr>
        <w:t>or Swingline Loans</w:t>
      </w:r>
      <w:r>
        <w:rPr>
          <w:rFonts w:ascii="Times New Roman" w:cs="Times New Roman" w:eastAsia="Times New Roman" w:hAnsi="Times New Roman"/>
          <w:sz w:val="20"/>
          <w:szCs w:val="20"/>
          <w:color w:val="auto"/>
        </w:rPr>
        <w:t xml:space="preserve">) within 2 Business Days of the date when due, (b) has notified the Borrower Representative, the Administrative Agent, the Issuing Banks </w:t>
      </w:r>
      <w:r>
        <w:rPr>
          <w:rFonts w:ascii="Times New Roman" w:cs="Times New Roman" w:eastAsia="Times New Roman" w:hAnsi="Times New Roman"/>
          <w:sz w:val="20"/>
          <w:szCs w:val="20"/>
          <w:color w:val="ED0000"/>
          <w:strike w:val="1"/>
        </w:rPr>
        <w:t>or the Swingline Lenders</w:t>
      </w:r>
      <w:r>
        <w:rPr>
          <w:rFonts w:ascii="Times New Roman" w:cs="Times New Roman" w:eastAsia="Times New Roman" w:hAnsi="Times New Roman"/>
          <w:sz w:val="20"/>
          <w:szCs w:val="20"/>
          <w:color w:val="auto"/>
        </w:rPr>
        <w:t xml:space="preserve">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3 Business Days after written request by the Administrative Agent or the Borrower Representative, to confirm in writing to the Administrative Agent and the Borrower Representative that it will comply with its prospective funding obligations hereunder (provided that such Lender shall cease to be a Defaulting Lender pursuant to this clause (c) upon receipt of such written confirmation by the Administrative Agent and the Borrower Representative),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-2492375</wp:posOffset>
            </wp:positionV>
            <wp:extent cx="1024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- 13 -</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3.9.(f)) upon delivery of written notice of such determination to the Borrower Representative, each Issuing Bank</w:t>
      </w:r>
      <w:r>
        <w:rPr>
          <w:rFonts w:ascii="Times New Roman" w:cs="Times New Roman" w:eastAsia="Times New Roman" w:hAnsi="Times New Roman"/>
          <w:sz w:val="20"/>
          <w:szCs w:val="20"/>
          <w:color w:val="ED0000"/>
          <w:strike w:val="1"/>
        </w:rPr>
        <w:t>, each Swingline Lender</w:t>
      </w:r>
      <w:r>
        <w:rPr>
          <w:rFonts w:ascii="Times New Roman" w:cs="Times New Roman" w:eastAsia="Times New Roman" w:hAnsi="Times New Roman"/>
          <w:sz w:val="20"/>
          <w:szCs w:val="20"/>
          <w:color w:val="auto"/>
        </w:rPr>
        <w:t xml:space="preserve"> and each Lender.</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Derivatives Contract</w:t>
      </w:r>
      <w:r>
        <w:rPr>
          <w:rFonts w:ascii="Times New Roman" w:cs="Times New Roman" w:eastAsia="Times New Roman" w:hAnsi="Times New Roman"/>
          <w:sz w:val="20"/>
          <w:szCs w:val="20"/>
          <w:color w:val="auto"/>
        </w:rPr>
        <w:t>” means (a) any transaction (including any master agreement, confirmation or other agreement with respect to any such transaction) now existing or hereafter entered into by any Borrower or any of its Subsidiaries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and (b) any combination of these transactions.</w:t>
      </w:r>
    </w:p>
    <w:p>
      <w:pPr>
        <w:spacing w:after="0" w:line="1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Derivatives Support Document</w:t>
      </w:r>
      <w:r>
        <w:rPr>
          <w:rFonts w:ascii="Times New Roman" w:cs="Times New Roman" w:eastAsia="Times New Roman" w:hAnsi="Times New Roman"/>
          <w:sz w:val="20"/>
          <w:szCs w:val="20"/>
          <w:color w:val="auto"/>
        </w:rPr>
        <w:t>”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Derivatives Termination Value</w:t>
      </w:r>
      <w:r>
        <w:rPr>
          <w:rFonts w:ascii="Times New Roman" w:cs="Times New Roman" w:eastAsia="Times New Roman" w:hAnsi="Times New Roman"/>
          <w:sz w:val="20"/>
          <w:szCs w:val="20"/>
          <w:color w:val="auto"/>
        </w:rPr>
        <w:t>” means, in respect of any one or more Derivatives Contracts, after taking into account the effect of any legally enforceable netting agreement or provision relating thereto, (a) for any date on or after the date such Derivatives Contracts have been terminated or closed out, the termination amount or value determined in accordance therewith, and (b) for any date prior to the date such Derivatives Contracts have been terminated or closed out, the then-current mark-to-market value for such Derivatives Contracts, determined based upon one or more mid-market quotations or estimates provided by any recognized dealer in Derivatives Contracts (which may include the Administrative Agent, any Lender, any Specified Derivatives Provider or any Affiliate of any of them).</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Lender</w:t>
      </w:r>
      <w:r>
        <w:rPr>
          <w:rFonts w:ascii="Times New Roman" w:cs="Times New Roman" w:eastAsia="Times New Roman" w:hAnsi="Times New Roman"/>
          <w:sz w:val="20"/>
          <w:szCs w:val="20"/>
          <w:color w:val="auto"/>
        </w:rPr>
        <w:t>” means a special purpose corporation which is an Affiliate of, or sponsored by, a Revolving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12.5.(h) and (c) is not otherwise a Lender.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Designating Lender</w:t>
      </w:r>
      <w:r>
        <w:rPr>
          <w:rFonts w:ascii="Times New Roman" w:cs="Times New Roman" w:eastAsia="Times New Roman" w:hAnsi="Times New Roman"/>
          <w:sz w:val="20"/>
          <w:szCs w:val="20"/>
          <w:color w:val="auto"/>
        </w:rPr>
        <w:t>” has the meaning given that term in Section 12.5.(h).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- 14 -</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Designation Agreement</w:t>
      </w:r>
      <w:r>
        <w:rPr>
          <w:rFonts w:ascii="Times New Roman" w:cs="Times New Roman" w:eastAsia="Times New Roman" w:hAnsi="Times New Roman"/>
          <w:sz w:val="20"/>
          <w:szCs w:val="20"/>
          <w:color w:val="auto"/>
        </w:rPr>
        <w:t>” means a Designation Agreement between a Revolving Lender and a Designated Lender and accepted by the Administrative Agent, substantially in the form of Exhibit C or such other form as may be agreed to by such Lender, such Designated Lender and the Administrative Agent.</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 Property</w:t>
      </w:r>
      <w:r>
        <w:rPr>
          <w:rFonts w:ascii="Times New Roman" w:cs="Times New Roman" w:eastAsia="Times New Roman" w:hAnsi="Times New Roman"/>
          <w:sz w:val="20"/>
          <w:szCs w:val="20"/>
          <w:color w:val="auto"/>
        </w:rPr>
        <w:t>” means a Property currently under development that has not achieved an Occupancy Rate of 85.0% or more or, subject to the last sentence of this definition, on which the improvements (other than tenant improvements on unoccupied space) related to the development of such Property have not been completed. The term “Development Property” shall include real property of the type described in the immediately preceding sentence that satisfies both of the following conditions: (i) it is to be (but has not yet been) acquired by a Borrower, any Subsidiary or any Unconsolidated Affiliate upon completion of construction pursuant to a contract in which the seller of such real property is required to develop or renovate prior to, and as a condition precedent to, such acquisition and (ii) a third party is developing such property using the proceeds of a loan that is Guaranteed by, or is otherwise recourse to a Borrower, any Subsidiary or any Unconsolidated Affiliate. A Development Property on which all improvements (other than tenant improvements on unoccupied space) related to the development of such Property have been completed for at least 12 months shall cease to constitute a Development Property notwithstanding the fact that such Property has not achieved an Occupancy Rate of at least 85.0%.</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Disbursement Instruction Agreement</w:t>
      </w:r>
      <w:r>
        <w:rPr>
          <w:rFonts w:ascii="Times New Roman" w:cs="Times New Roman" w:eastAsia="Times New Roman" w:hAnsi="Times New Roman"/>
          <w:sz w:val="20"/>
          <w:szCs w:val="20"/>
          <w:color w:val="auto"/>
        </w:rPr>
        <w:t>” means a form substantially in the form of Exhibit S to be delivered to the Administrative Agent pursuant to Section 5.1.(a), as the same may be amended, restated or modified from time to time with the prior written approval of the Administrative Agent.</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Documentation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ED0000"/>
          <w:strike w:val="1"/>
        </w:rPr>
        <w:t>Agent</w:t>
      </w:r>
      <w:r>
        <w:rPr>
          <w:rFonts w:ascii="Times New Roman" w:cs="Times New Roman" w:eastAsia="Times New Roman" w:hAnsi="Times New Roman"/>
          <w:sz w:val="20"/>
          <w:szCs w:val="20"/>
          <w:b w:val="1"/>
          <w:bCs w:val="1"/>
          <w:u w:val="single" w:color="auto"/>
          <w:color w:val="0070C0"/>
        </w:rPr>
        <w:t>Agents</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ED0000"/>
          <w:strike w:val="1"/>
        </w:rPr>
        <w:t>each Person</w:t>
      </w:r>
      <w:r>
        <w:rPr>
          <w:rFonts w:ascii="Times New Roman" w:cs="Times New Roman" w:eastAsia="Times New Roman" w:hAnsi="Times New Roman"/>
          <w:sz w:val="20"/>
          <w:szCs w:val="20"/>
          <w:u w:val="single" w:color="auto"/>
          <w:color w:val="0070C0"/>
        </w:rPr>
        <w:t>the Persons</w:t>
      </w:r>
      <w:r>
        <w:rPr>
          <w:rFonts w:ascii="Times New Roman" w:cs="Times New Roman" w:eastAsia="Times New Roman" w:hAnsi="Times New Roman"/>
          <w:sz w:val="20"/>
          <w:szCs w:val="20"/>
          <w:color w:val="auto"/>
        </w:rPr>
        <w:t xml:space="preserve"> identified as such in the introductory paragraph hereof and shall include each such Person’s successors and permitted assigns.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lawful currency of the United States of America.</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EAT</w:t>
      </w:r>
      <w:r>
        <w:rPr>
          <w:rFonts w:ascii="Times New Roman" w:cs="Times New Roman" w:eastAsia="Times New Roman" w:hAnsi="Times New Roman"/>
          <w:sz w:val="20"/>
          <w:szCs w:val="20"/>
          <w:color w:val="auto"/>
        </w:rPr>
        <w:t>” has the meaning given that term in the definition of 1031 Property.</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w:t>
      </w:r>
      <w:r>
        <w:rPr>
          <w:rFonts w:ascii="Times New Roman" w:cs="Times New Roman" w:eastAsia="Times New Roman" w:hAnsi="Times New Roman"/>
          <w:sz w:val="20"/>
          <w:szCs w:val="20"/>
          <w:color w:val="auto"/>
        </w:rPr>
        <w:t xml:space="preserve">” means, with respect to a Person for any period and without duplication, the sum of net income (loss) of such Person (including, when calculating EBITDA with respect to the Parent and its Subsidiaries, net income of SUMMIT One Vanderbilt Operator </w:t>
      </w:r>
      <w:r>
        <w:rPr>
          <w:rFonts w:ascii="Times New Roman" w:cs="Times New Roman" w:eastAsia="Times New Roman" w:hAnsi="Times New Roman"/>
          <w:sz w:val="20"/>
          <w:szCs w:val="20"/>
          <w:color w:val="0070C0"/>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SEV Operator</w:t>
      </w:r>
      <w:r>
        <w:rPr>
          <w:rFonts w:ascii="Times New Roman" w:cs="Times New Roman" w:eastAsia="Times New Roman" w:hAnsi="Times New Roman"/>
          <w:sz w:val="20"/>
          <w:szCs w:val="20"/>
          <w:color w:val="000000"/>
        </w:rPr>
        <w:t>) for such period determined on a consolidated basis excluding the following (but only to the extent included in determining net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income (loss) for such period): (i) depreciation and amortization expense; (ii)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6911975</wp:posOffset>
            </wp:positionH>
            <wp:positionV relativeFrom="paragraph">
              <wp:posOffset>-340995</wp:posOffset>
            </wp:positionV>
            <wp:extent cx="220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- 15 -</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expense; (iii) income tax expense; (iv) extraordinary or nonrecurring items, including without limitation, gains and losses from the sale of Properties or other investments; (v) non-cash items; and (vi) equity in net income (loss) of its Unconsolidated Affiliates. For purposes of this definition, nonrecurring items shall be deemed to include (x) gains and losses on early extinguishment of Indebtedness, (y) severance and other restructuring charges and (z) transaction costs of acquisitions</w:t>
      </w:r>
      <w:r>
        <w:rPr>
          <w:rFonts w:ascii="Times New Roman" w:cs="Times New Roman" w:eastAsia="Times New Roman" w:hAnsi="Times New Roman"/>
          <w:sz w:val="20"/>
          <w:szCs w:val="20"/>
          <w:u w:val="single" w:color="auto"/>
          <w:color w:val="0070C0"/>
        </w:rPr>
        <w:t>, dispositions, investments, or debt or equity financings (whether or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consummated)</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not permitted to be capitalized pursuant to GAAP.</w:t>
      </w:r>
    </w:p>
    <w:p>
      <w:pPr>
        <w:spacing w:after="0" w:line="18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the later of (a) the Agreement Date and (b) the date on which all of the conditions precedent set forth in Section 5.1. shall have been fulfilled or waived by all of the Lenders.</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1031 Property</w:t>
      </w:r>
      <w:r>
        <w:rPr>
          <w:rFonts w:ascii="Times New Roman" w:cs="Times New Roman" w:eastAsia="Times New Roman" w:hAnsi="Times New Roman"/>
          <w:sz w:val="20"/>
          <w:szCs w:val="20"/>
          <w:color w:val="auto"/>
        </w:rPr>
        <w:t>” means a 1031 Property which satisfies all of the following requirements: (a) such 1031 Property is fully developed as an office, retail or multifamily property; (b) a Borrower, any Subsidiary or any Unconsolidated Affiliate leases such 1031 Property from the applicable QI or EAT (or Wholly Owned Subsidiary(ies) thereof, as applicable) and a Borrower, any Subsidiary or any Unconsolidated Affiliate manages such 1031 Property; (c) a Borrower, any Subsidiary or any Unconsolidated Affiliate is obligated to purchase such 1031 Property (or Wholly Owned Subsidiary(ies) of the applicable QI or EAT that owns such 1031 Property) from the applicable QI or EAT and the applicable QI or EAT is obligated to sell such 1031 Property (or Wholly Owned Subsidiary(ies) thereof that owns such 1031 Property, as applicable) to a Borrower, any Subsidiary or any Unconsolidated Affiliate; provided, however that in the case of a disposition of a 1031 Property by a Borrower, any Subsidiary or any Unconsolidated Affiliate (a “Relinquished Property”), a Borrower, any Subsidiary or any Unconsolidated Affiliate shall not be obligated to repurchase such 1031 Property (or Wholly Owned Subsidiary(ies) thereof that owns such 1031 Property, as applicable) from the applicable QI or EAT (or Wholly Owned Subsidiary(ies) thereof that owns such 1031 Property, as applicable) and the applicable QI or EAT (or Wholly Owned Subsidiary(ies) thereof that owns such 1031 Property, as applicable) shall not be obligated to resell such 1031 Property (or Wholly Owned Subsidiary(ies) thereof that owns such 1031 Property, as applicable) to a Borrower, any Subsidiary or any Unconsolidated Affiliate unless such 1031 Property (or Wholly Owned Subsidiary(ies) thereof that owns such 1031 Property, as applicable) is not transferred or assigned, within 180 days of its acquisition by the applicable QI or EAT (or Wholly Owned Subsidiary(ies) thereof that owns such 1031 Property, as applicable), to a Person other than a Borrower, any Subsidiary or any Unconsolidated Affiliate; (d) the applicable QI or EAT (or Wholly Owned Subsidiary(ies) thereof that owns such 1031 Property, as applicable) acquired such 1031 Property with the proceeds of a loan made by a Borrower, any Subsidiary or any Unconsolidated Affiliate, which loan is secured either by a Mortgage on such 1031 Property or a pledge of all of the Equity Interests of the applicable QI or EAT (or Wholly Owned Subsidiary(ies) thereof that owns such 1031 Property, as applicable); (e) neither such 1031 Property, nor, if such 1031 Property is owned or leased by a Subsidiary or Unconsolidated Affiliate, any of a Borrower’s direct or indirect ownership interest in such Subsidiary or any Unconsolidated Affiliate therein, is subject to any Lien (other than (i) Permitted Liens and (ii) the Lien of a Mortgage or pledge referred to in the immediately preceding clause (d)) or a Negative Pledge; and (f) such 1031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1031 Property. In no event shall a 1031 Property qualify as an Eligible 1031 Property for a period in excess of 180 consecutive days. For purposes of determining Total Asset Value, such 1031 Property shall be deemed to have been owned or leased by any applicable Borrower, any Subsidiary or any Unconsolidated Affiliate from the date acquired by the applicable QI or EAT (or Wholly Owned Subsidiary(ies) thereof that owns such 1031 Property,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- 16 -</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means (a) a Lender, (b) an Affiliate of a Lender, (c) an Approved Fund </w:t>
      </w:r>
      <w:r>
        <w:rPr>
          <w:rFonts w:ascii="Times New Roman" w:cs="Times New Roman" w:eastAsia="Times New Roman" w:hAnsi="Times New Roman"/>
          <w:sz w:val="20"/>
          <w:szCs w:val="20"/>
          <w:color w:val="0070C0"/>
        </w:rPr>
        <w:t>and</w:t>
      </w:r>
      <w:r>
        <w:rPr>
          <w:rFonts w:ascii="Times New Roman" w:cs="Times New Roman" w:eastAsia="Times New Roman" w:hAnsi="Times New Roman"/>
          <w:sz w:val="20"/>
          <w:szCs w:val="20"/>
          <w:color w:val="auto"/>
        </w:rPr>
        <w:t xml:space="preserve"> (d</w:t>
      </w:r>
      <w:r>
        <w:rPr>
          <w:rFonts w:ascii="Times New Roman" w:cs="Times New Roman" w:eastAsia="Times New Roman" w:hAnsi="Times New Roman"/>
          <w:sz w:val="20"/>
          <w:szCs w:val="20"/>
          <w:color w:val="ED0000"/>
          <w:strike w:val="1"/>
        </w:rPr>
        <w:t>) subject to the limitations set forth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in Section 12.5., the Unrestricted Subsidiary and (e</w:t>
      </w:r>
      <w:r>
        <w:rPr>
          <w:rFonts w:ascii="Times New Roman" w:cs="Times New Roman" w:eastAsia="Times New Roman" w:hAnsi="Times New Roman"/>
          <w:sz w:val="20"/>
          <w:szCs w:val="20"/>
          <w:color w:val="000000"/>
        </w:rPr>
        <w:t>) any other Person (other than a natural person or holding company, investment vehicle or</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trust for, or owned and operated for the primary benefit of a natural person) approved by the Administrative Agent (such approval not to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-495300</wp:posOffset>
            </wp:positionV>
            <wp:extent cx="212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Property</w:t>
      </w:r>
      <w:r>
        <w:rPr>
          <w:rFonts w:ascii="Times New Roman" w:cs="Times New Roman" w:eastAsia="Times New Roman" w:hAnsi="Times New Roman"/>
          <w:sz w:val="20"/>
          <w:szCs w:val="20"/>
          <w:color w:val="auto"/>
        </w:rPr>
        <w:t>” means a Property which satisfies all of the following requirements: (a) such Property is fully developed as an office, retail or multifamily Property; (b) such Property is owned in fee simple, or leased under a Ground Lease, by a Borrower, any Subsidiary or any Unconsolidated Affiliate; (c) such Property is located in a State of the United States of America or in the District of Columbia; (d) neither such Property, nor, if such Property is owned or leased by a Subsidiary or Unconsolidated Affiliate, any of a Borrower’s direct or indirect ownership interest in such Subsidiary or Unconsolidated Affiliate, is subject to (i) any Lien other than Permitted Liens or (ii) any Negative Pledge; (e) regardless of whether such Property is owned or leased by a Borrower, any Subsidiary or any Unconsolidated Affiliate, a Borrower has the right directly, or indirectly through a Subsidiary or an Unconsolidated Affiliate, to take the following actions without the need to obtain the consent of any Person: (i) to create Liens on such Property as security for Indebtedness of such Borrower, such Subsidiary or such Unconsolidated Affiliate, as applicable, and (ii) to sell, transfer or otherwise dispose of such Property and (f)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 Eligible 1031 Property shall also constitute an Eligible Property.</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any analogous or comparable state or local laws, regulations or ordinances that concern Hazardous Materials or protection of the environment.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w:t>
      </w:r>
      <w:r>
        <w:rPr>
          <w:rFonts w:ascii="Times New Roman" w:cs="Times New Roman" w:eastAsia="Times New Roman" w:hAnsi="Times New Roman"/>
          <w:sz w:val="20"/>
          <w:szCs w:val="20"/>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in effect from time to time.</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Event</w:t>
      </w:r>
      <w:r>
        <w:rPr>
          <w:rFonts w:ascii="Times New Roman" w:cs="Times New Roman" w:eastAsia="Times New Roman" w:hAnsi="Times New Roman"/>
          <w:sz w:val="20"/>
          <w:szCs w:val="20"/>
          <w:color w:val="auto"/>
        </w:rPr>
        <w:t>” means, with respect to the ERISA Group, (a) any “reportable event” as defined in Section 4043 of ERISA with respect to a Plan (other than an event for which the 30-day notice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- 17 -</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imposition of any liability under Title IV of ERISA, other than for PBGC premiums due but not delinquent under Section 4007 of ERISA, upon any member of the ERISA Group or the imposition of any Lien in favor of the PBGC under Title IV of ERISA; or (j) a determination that a Plan is, or is reasonably expected to be, in “at risk” status (within the meaning of Section 430 of the Internal Revenue Code or Section 303 of ERISA).</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Group</w:t>
      </w:r>
      <w:r>
        <w:rPr>
          <w:rFonts w:ascii="Times New Roman" w:cs="Times New Roman" w:eastAsia="Times New Roman" w:hAnsi="Times New Roman"/>
          <w:sz w:val="20"/>
          <w:szCs w:val="20"/>
          <w:color w:val="auto"/>
        </w:rPr>
        <w:t>” means the Parent, any Subsidiary and all members of a controlled group of corporations and all trades or businesses (whether or not incorporated) under common control, which, together with the Parent or any Subsidiary, are treated as a single employer under Section 414 of the Internal Revenue Code.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has the meaning assigned thereto in Section 11.11(a).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Deficiency Assignment</w:t>
      </w:r>
      <w:r>
        <w:rPr>
          <w:rFonts w:ascii="Times New Roman" w:cs="Times New Roman" w:eastAsia="Times New Roman" w:hAnsi="Times New Roman"/>
          <w:sz w:val="20"/>
          <w:szCs w:val="20"/>
          <w:color w:val="auto"/>
        </w:rPr>
        <w:t>” has the meaning assigned thereto in Section 11.11(d).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Impacted Class</w:t>
      </w:r>
      <w:r>
        <w:rPr>
          <w:rFonts w:ascii="Times New Roman" w:cs="Times New Roman" w:eastAsia="Times New Roman" w:hAnsi="Times New Roman"/>
          <w:sz w:val="20"/>
          <w:szCs w:val="20"/>
          <w:color w:val="auto"/>
        </w:rPr>
        <w:t>” has the meaning assigned thereto in Section 11.11(d).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Return Deficiency</w:t>
      </w:r>
      <w:r>
        <w:rPr>
          <w:rFonts w:ascii="Times New Roman" w:cs="Times New Roman" w:eastAsia="Times New Roman" w:hAnsi="Times New Roman"/>
          <w:sz w:val="20"/>
          <w:szCs w:val="20"/>
          <w:color w:val="auto"/>
        </w:rPr>
        <w:t>” has the meaning assigned thereto in Section 11.11(d).</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means any of the events specified in Section 10.1.; provided that any requirement for notice or lapse of time or any other condition has been satisfied.</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Swap Obligation</w:t>
      </w:r>
      <w:r>
        <w:rPr>
          <w:rFonts w:ascii="Times New Roman" w:cs="Times New Roman" w:eastAsia="Times New Roman" w:hAnsi="Times New Roman"/>
          <w:sz w:val="20"/>
          <w:szCs w:val="20"/>
          <w:color w:val="auto"/>
        </w:rPr>
        <w:t>” means, with respect to any Loan Party, any Specified Derivatives Obligations if, and to the extent that, all or a portion of the liability of such Loan Party for or the Guarantee of such Loan Party of, or the grant by such Loan Party of a Lien to secure, such Specified Derivatives Obligation (or any liability or guarantee thereof) is or becomes illegal under the Commodity Exchange Act or any rule, regulation or order of the Commodity Futures Trading Commission (or the application or official interpretation of any thereof) by virtue of such Loan Party’s failure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- 18 -</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constitute an “eligible contract participant” as defined in the Commodity Exchange Act and the regulations thereunder at the time the liability for or the Guarantee of such Loan Party or the grant of such Lien becomes effective with respect to such Specified Derivatives Obligation (such determination being made after giving effect to any applicable keepwell, support or other agreement for the benefit of the applicable Loan Party). If a Specified Derivatives Obligation arises under a master agreement governing more than one swap, such exclusion shall apply only to the portion of such Specified Derivatives Obligation that is attributable to swaps for which such Guarantee or Lien is or becomes illegal for the reasons identified in the immediately preceding sentence of this definition.</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Taxes</w:t>
      </w:r>
      <w:r>
        <w:rPr>
          <w:rFonts w:ascii="Times New Roman" w:cs="Times New Roman" w:eastAsia="Times New Roman" w:hAnsi="Times New Roman"/>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Revolving Commitment pursuant to an Applicable Law in effect on the date (which date shall not be earlier than the </w:t>
      </w:r>
      <w:r>
        <w:rPr>
          <w:rFonts w:ascii="Times New Roman" w:cs="Times New Roman" w:eastAsia="Times New Roman" w:hAnsi="Times New Roman"/>
          <w:sz w:val="19"/>
          <w:szCs w:val="19"/>
          <w:color w:val="ED0000"/>
          <w:strike w:val="1"/>
        </w:rPr>
        <w:t>Effective</w:t>
      </w:r>
      <w:r>
        <w:rPr>
          <w:rFonts w:ascii="Times New Roman" w:cs="Times New Roman" w:eastAsia="Times New Roman" w:hAnsi="Times New Roman"/>
          <w:sz w:val="19"/>
          <w:szCs w:val="19"/>
          <w:u w:val="single" w:color="auto"/>
          <w:color w:val="0070C0"/>
        </w:rPr>
        <w:t>First Amendment</w:t>
      </w:r>
      <w:r>
        <w:rPr>
          <w:rFonts w:ascii="Times New Roman" w:cs="Times New Roman" w:eastAsia="Times New Roman" w:hAnsi="Times New Roman"/>
          <w:sz w:val="19"/>
          <w:szCs w:val="19"/>
          <w:color w:val="auto"/>
        </w:rPr>
        <w:t xml:space="preserve"> Date) on which (i) such Lender acquires such interest in such Loan or Revolving Commitment (other than pursuant to an assignment request by the Borrower Representative under Section 4.6.) or</w:t>
      </w:r>
    </w:p>
    <w:p>
      <w:pPr>
        <w:spacing w:after="0" w:line="1" w:lineRule="exact"/>
        <w:rPr>
          <w:sz w:val="20"/>
          <w:szCs w:val="20"/>
          <w:color w:val="auto"/>
        </w:rPr>
      </w:pPr>
    </w:p>
    <w:p>
      <w:pPr>
        <w:jc w:val="both"/>
        <w:ind w:firstLine="8"/>
        <w:spacing w:after="0" w:line="251" w:lineRule="auto"/>
        <w:tabs>
          <w:tab w:leader="none" w:pos="30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has the meaning given that term in the first “WHEREAS” paragraph 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Letters of Credit</w:t>
      </w:r>
      <w:r>
        <w:rPr>
          <w:rFonts w:ascii="Times New Roman" w:cs="Times New Roman" w:eastAsia="Times New Roman" w:hAnsi="Times New Roman"/>
          <w:sz w:val="20"/>
          <w:szCs w:val="20"/>
          <w:color w:val="auto"/>
        </w:rPr>
        <w:t>” has the meaning given that term in Section 2.4.(l).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Letter of Credit</w:t>
      </w:r>
      <w:r>
        <w:rPr>
          <w:rFonts w:ascii="Times New Roman" w:cs="Times New Roman" w:eastAsia="Times New Roman" w:hAnsi="Times New Roman"/>
          <w:sz w:val="20"/>
          <w:szCs w:val="20"/>
          <w:color w:val="auto"/>
        </w:rPr>
        <w:t>” has the meaning given that term in Section 2.4.(b).</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u w:val="single" w:color="auto"/>
          <w:color w:val="4472C4"/>
        </w:rPr>
        <w:t>“</w:t>
      </w:r>
      <w:r>
        <w:rPr>
          <w:rFonts w:ascii="Times New Roman" w:cs="Times New Roman" w:eastAsia="Times New Roman" w:hAnsi="Times New Roman"/>
          <w:sz w:val="20"/>
          <w:szCs w:val="20"/>
          <w:b w:val="1"/>
          <w:bCs w:val="1"/>
          <w:u w:val="single" w:color="auto"/>
          <w:color w:val="4472C4"/>
        </w:rPr>
        <w:t>Extended Loans</w:t>
      </w:r>
      <w:r>
        <w:rPr>
          <w:rFonts w:ascii="Times New Roman" w:cs="Times New Roman" w:eastAsia="Times New Roman" w:hAnsi="Times New Roman"/>
          <w:sz w:val="20"/>
          <w:szCs w:val="20"/>
          <w:u w:val="single" w:color="auto"/>
          <w:color w:val="4472C4"/>
        </w:rPr>
        <w:t>” means Revolving Commitments and Revolving Loans, the maturity of which shall have been extended pursuant to Section 12.25.</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4472C4"/>
        </w:rPr>
        <w:t>“</w:t>
      </w:r>
      <w:r>
        <w:rPr>
          <w:rFonts w:ascii="Times New Roman" w:cs="Times New Roman" w:eastAsia="Times New Roman" w:hAnsi="Times New Roman"/>
          <w:sz w:val="20"/>
          <w:szCs w:val="20"/>
          <w:b w:val="1"/>
          <w:bCs w:val="1"/>
          <w:u w:val="single" w:color="auto"/>
          <w:color w:val="4472C4"/>
        </w:rPr>
        <w:t>Extension</w:t>
      </w:r>
      <w:r>
        <w:rPr>
          <w:rFonts w:ascii="Times New Roman" w:cs="Times New Roman" w:eastAsia="Times New Roman" w:hAnsi="Times New Roman"/>
          <w:sz w:val="20"/>
          <w:szCs w:val="20"/>
          <w:u w:val="single" w:color="auto"/>
          <w:color w:val="4472C4"/>
        </w:rPr>
        <w:t>”</w:t>
      </w:r>
      <w:r>
        <w:rPr>
          <w:rFonts w:ascii="Times New Roman" w:cs="Times New Roman" w:eastAsia="Times New Roman" w:hAnsi="Times New Roman"/>
          <w:sz w:val="20"/>
          <w:szCs w:val="20"/>
          <w:color w:val="4472C4"/>
        </w:rPr>
        <w:t xml:space="preserve"> </w:t>
      </w:r>
      <w:r>
        <w:rPr>
          <w:rFonts w:ascii="Times New Roman" w:cs="Times New Roman" w:eastAsia="Times New Roman" w:hAnsi="Times New Roman"/>
          <w:sz w:val="20"/>
          <w:szCs w:val="20"/>
          <w:u w:val="single" w:color="auto"/>
          <w:color w:val="388600"/>
        </w:rPr>
        <w:t>has the meaning given that term in Section</w:t>
      </w:r>
      <w:r>
        <w:rPr>
          <w:rFonts w:ascii="Times New Roman" w:cs="Times New Roman" w:eastAsia="Times New Roman" w:hAnsi="Times New Roman"/>
          <w:sz w:val="20"/>
          <w:szCs w:val="20"/>
          <w:color w:val="4472C4"/>
        </w:rPr>
        <w:t xml:space="preserve"> 12.25.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-8255</wp:posOffset>
            </wp:positionV>
            <wp:extent cx="3454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45440" cy="8255"/>
                    </a:xfrm>
                    <a:prstGeom prst="rect">
                      <a:avLst/>
                    </a:prstGeom>
                    <a:noFill/>
                  </pic:spPr>
                </pic:pic>
              </a:graphicData>
            </a:graphic>
          </wp:anchor>
        </w:drawing>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u w:val="single" w:color="auto"/>
          <w:color w:val="4472C4"/>
        </w:rPr>
        <w:t>“</w:t>
      </w:r>
      <w:r>
        <w:rPr>
          <w:rFonts w:ascii="Times New Roman" w:cs="Times New Roman" w:eastAsia="Times New Roman" w:hAnsi="Times New Roman"/>
          <w:sz w:val="20"/>
          <w:szCs w:val="20"/>
          <w:b w:val="1"/>
          <w:bCs w:val="1"/>
          <w:u w:val="single" w:color="auto"/>
          <w:color w:val="4472C4"/>
        </w:rPr>
        <w:t>Extension Amendment</w:t>
      </w:r>
      <w:r>
        <w:rPr>
          <w:rFonts w:ascii="Times New Roman" w:cs="Times New Roman" w:eastAsia="Times New Roman" w:hAnsi="Times New Roman"/>
          <w:sz w:val="20"/>
          <w:szCs w:val="20"/>
          <w:u w:val="single" w:color="auto"/>
          <w:color w:val="4472C4"/>
        </w:rPr>
        <w:t xml:space="preserve">” means an amendment to this Agreement (which may, at the option of </w:t>
      </w:r>
      <w:r>
        <w:rPr>
          <w:rFonts w:ascii="Times New Roman" w:cs="Times New Roman" w:eastAsia="Times New Roman" w:hAnsi="Times New Roman"/>
          <w:sz w:val="20"/>
          <w:szCs w:val="20"/>
          <w:u w:val="single" w:color="auto"/>
          <w:color w:val="388600"/>
        </w:rPr>
        <w:t>the Administrative Agent and the</w:t>
      </w:r>
      <w:r>
        <w:rPr>
          <w:rFonts w:ascii="Times New Roman" w:cs="Times New Roman" w:eastAsia="Times New Roman" w:hAnsi="Times New Roman"/>
          <w:sz w:val="20"/>
          <w:szCs w:val="20"/>
          <w:u w:val="single" w:color="auto"/>
          <w:color w:val="4472C4"/>
        </w:rPr>
        <w:t xml:space="preserve"> Borrowers, be in the form an amendment and restatement of this Agreement) among the Loan Parties, the applicable extending Lenders and the Administrative Agent.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4472C4"/>
        </w:rPr>
        <w:t>“</w:t>
      </w:r>
      <w:r>
        <w:rPr>
          <w:rFonts w:ascii="Times New Roman" w:cs="Times New Roman" w:eastAsia="Times New Roman" w:hAnsi="Times New Roman"/>
          <w:sz w:val="20"/>
          <w:szCs w:val="20"/>
          <w:b w:val="1"/>
          <w:bCs w:val="1"/>
          <w:u w:val="single" w:color="auto"/>
          <w:color w:val="4472C4"/>
        </w:rPr>
        <w:t>Extension Offer</w:t>
      </w:r>
      <w:r>
        <w:rPr>
          <w:rFonts w:ascii="Times New Roman" w:cs="Times New Roman" w:eastAsia="Times New Roman" w:hAnsi="Times New Roman"/>
          <w:sz w:val="20"/>
          <w:szCs w:val="20"/>
          <w:u w:val="single" w:color="auto"/>
          <w:color w:val="4472C4"/>
        </w:rPr>
        <w:t>”</w:t>
      </w:r>
      <w:r>
        <w:rPr>
          <w:rFonts w:ascii="Times New Roman" w:cs="Times New Roman" w:eastAsia="Times New Roman" w:hAnsi="Times New Roman"/>
          <w:sz w:val="20"/>
          <w:szCs w:val="20"/>
          <w:color w:val="4472C4"/>
        </w:rPr>
        <w:t xml:space="preserve"> </w:t>
      </w:r>
      <w:r>
        <w:rPr>
          <w:rFonts w:ascii="Times New Roman" w:cs="Times New Roman" w:eastAsia="Times New Roman" w:hAnsi="Times New Roman"/>
          <w:sz w:val="20"/>
          <w:szCs w:val="20"/>
          <w:u w:val="single" w:color="auto"/>
          <w:color w:val="388600"/>
        </w:rPr>
        <w:t>has the meaning given that term in Section</w:t>
      </w:r>
      <w:r>
        <w:rPr>
          <w:rFonts w:ascii="Times New Roman" w:cs="Times New Roman" w:eastAsia="Times New Roman" w:hAnsi="Times New Roman"/>
          <w:sz w:val="20"/>
          <w:szCs w:val="20"/>
          <w:color w:val="4472C4"/>
        </w:rPr>
        <w:t xml:space="preserve"> 12.25.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-8255</wp:posOffset>
            </wp:positionV>
            <wp:extent cx="3454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345440" cy="825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Request</w:t>
      </w:r>
      <w:r>
        <w:rPr>
          <w:rFonts w:ascii="Times New Roman" w:cs="Times New Roman" w:eastAsia="Times New Roman" w:hAnsi="Times New Roman"/>
          <w:sz w:val="20"/>
          <w:szCs w:val="20"/>
          <w:color w:val="auto"/>
        </w:rPr>
        <w:t>” has the meaning given that term in Section 2.14.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means the Revolving Credit Facility, the Term A Loan Facility or the Term B Loan Facility,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- 19 -</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1471(b)(l)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Rate</w:t>
      </w:r>
      <w:r>
        <w:rPr>
          <w:rFonts w:ascii="Times New Roman" w:cs="Times New Roman" w:eastAsia="Times New Roman" w:hAnsi="Times New Roman"/>
          <w:sz w:val="20"/>
          <w:szCs w:val="20"/>
          <w:color w:val="auto"/>
        </w:rPr>
        <w:t>”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color w:val="ED0000"/>
          <w:strike w:val="1"/>
        </w:rPr>
        <w:t>a</w:t>
      </w:r>
      <w:r>
        <w:rPr>
          <w:rFonts w:ascii="Times New Roman" w:cs="Times New Roman" w:eastAsia="Times New Roman" w:hAnsi="Times New Roman"/>
          <w:sz w:val="20"/>
          <w:szCs w:val="20"/>
          <w:color w:val="0070C0"/>
        </w:rPr>
        <w:t>i</w:t>
      </w:r>
      <w:r>
        <w:rPr>
          <w:rFonts w:ascii="Times New Roman" w:cs="Times New Roman" w:eastAsia="Times New Roman" w:hAnsi="Times New Roman"/>
          <w:sz w:val="20"/>
          <w:szCs w:val="20"/>
          <w:color w:val="auto"/>
        </w:rPr>
        <w:t xml:space="preserve">) the fee letter dated as of </w:t>
      </w:r>
      <w:r>
        <w:rPr>
          <w:rFonts w:ascii="Times New Roman" w:cs="Times New Roman" w:eastAsia="Times New Roman" w:hAnsi="Times New Roman"/>
          <w:sz w:val="20"/>
          <w:szCs w:val="20"/>
          <w:color w:val="ED0000"/>
          <w:strike w:val="1"/>
        </w:rPr>
        <w:t>December 3, 2021</w:t>
      </w:r>
      <w:r>
        <w:rPr>
          <w:rFonts w:ascii="Times New Roman" w:cs="Times New Roman" w:eastAsia="Times New Roman" w:hAnsi="Times New Roman"/>
          <w:sz w:val="20"/>
          <w:szCs w:val="20"/>
          <w:u w:val="single" w:color="auto"/>
          <w:color w:val="0070C0"/>
        </w:rPr>
        <w:t>February 24, 2026</w:t>
      </w:r>
      <w:r>
        <w:rPr>
          <w:rFonts w:ascii="Times New Roman" w:cs="Times New Roman" w:eastAsia="Times New Roman" w:hAnsi="Times New Roman"/>
          <w:sz w:val="20"/>
          <w:szCs w:val="20"/>
          <w:color w:val="auto"/>
        </w:rPr>
        <w:t>, by and among the Borrowers, Wells Fargo and Wells Fargo Securities, LLC, and (</w:t>
      </w:r>
      <w:r>
        <w:rPr>
          <w:rFonts w:ascii="Times New Roman" w:cs="Times New Roman" w:eastAsia="Times New Roman" w:hAnsi="Times New Roman"/>
          <w:sz w:val="20"/>
          <w:szCs w:val="20"/>
          <w:color w:val="ED0000"/>
          <w:strike w:val="1"/>
        </w:rPr>
        <w:t>b</w:t>
      </w:r>
      <w:r>
        <w:rPr>
          <w:rFonts w:ascii="Times New Roman" w:cs="Times New Roman" w:eastAsia="Times New Roman" w:hAnsi="Times New Roman"/>
          <w:sz w:val="20"/>
          <w:szCs w:val="20"/>
          <w:color w:val="0070C0"/>
        </w:rPr>
        <w:t>ii</w:t>
      </w:r>
      <w:r>
        <w:rPr>
          <w:rFonts w:ascii="Times New Roman" w:cs="Times New Roman" w:eastAsia="Times New Roman" w:hAnsi="Times New Roman"/>
          <w:sz w:val="20"/>
          <w:szCs w:val="20"/>
          <w:color w:val="auto"/>
        </w:rPr>
        <w:t xml:space="preserve">) each other </w:t>
      </w:r>
      <w:r>
        <w:rPr>
          <w:rFonts w:ascii="Times New Roman" w:cs="Times New Roman" w:eastAsia="Times New Roman" w:hAnsi="Times New Roman"/>
          <w:sz w:val="20"/>
          <w:szCs w:val="20"/>
          <w:color w:val="FF0000"/>
          <w:strike w:val="1"/>
        </w:rPr>
        <w:t>respective</w:t>
      </w:r>
      <w:r>
        <w:rPr>
          <w:rFonts w:ascii="Times New Roman" w:cs="Times New Roman" w:eastAsia="Times New Roman" w:hAnsi="Times New Roman"/>
          <w:sz w:val="20"/>
          <w:szCs w:val="20"/>
          <w:color w:val="auto"/>
        </w:rPr>
        <w:t xml:space="preserve"> fee letter </w:t>
      </w:r>
      <w:r>
        <w:rPr>
          <w:rFonts w:ascii="Times New Roman" w:cs="Times New Roman" w:eastAsia="Times New Roman" w:hAnsi="Times New Roman"/>
          <w:sz w:val="20"/>
          <w:szCs w:val="20"/>
          <w:u w:val="single" w:color="auto"/>
          <w:color w:val="0070C0"/>
        </w:rPr>
        <w:t>entered into</w:t>
      </w:r>
      <w:r>
        <w:rPr>
          <w:rFonts w:ascii="Times New Roman" w:cs="Times New Roman" w:eastAsia="Times New Roman" w:hAnsi="Times New Roman"/>
          <w:sz w:val="20"/>
          <w:szCs w:val="20"/>
          <w:color w:val="auto"/>
        </w:rPr>
        <w:t xml:space="preserve"> by and </w:t>
      </w:r>
      <w:r>
        <w:rPr>
          <w:rFonts w:ascii="Times New Roman" w:cs="Times New Roman" w:eastAsia="Times New Roman" w:hAnsi="Times New Roman"/>
          <w:sz w:val="20"/>
          <w:szCs w:val="20"/>
          <w:color w:val="FF0000"/>
          <w:strike w:val="1"/>
        </w:rPr>
        <w:t>among</w:t>
      </w:r>
      <w:r>
        <w:rPr>
          <w:rFonts w:ascii="Times New Roman" w:cs="Times New Roman" w:eastAsia="Times New Roman" w:hAnsi="Times New Roman"/>
          <w:sz w:val="20"/>
          <w:szCs w:val="20"/>
          <w:u w:val="single" w:color="auto"/>
          <w:color w:val="0070C0"/>
        </w:rPr>
        <w:t>between</w:t>
      </w:r>
      <w:r>
        <w:rPr>
          <w:rFonts w:ascii="Times New Roman" w:cs="Times New Roman" w:eastAsia="Times New Roman" w:hAnsi="Times New Roman"/>
          <w:sz w:val="20"/>
          <w:szCs w:val="20"/>
          <w:color w:val="auto"/>
        </w:rPr>
        <w:t xml:space="preserve"> the Borrowers</w:t>
      </w:r>
      <w:r>
        <w:rPr>
          <w:rFonts w:ascii="Times New Roman" w:cs="Times New Roman" w:eastAsia="Times New Roman" w:hAnsi="Times New Roman"/>
          <w:sz w:val="20"/>
          <w:szCs w:val="20"/>
          <w:color w:val="ED0000"/>
          <w:strike w:val="1"/>
        </w:rPr>
        <w:t>, each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respective Lead</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u w:val="single" w:color="auto"/>
          <w:color w:val="0070C0"/>
        </w:rPr>
        <w:t>and an</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Arranger</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ED0000"/>
          <w:strike w:val="1"/>
        </w:rPr>
        <w:t>and the other parties thereto</w:t>
      </w:r>
      <w:r>
        <w:rPr>
          <w:rFonts w:ascii="Times New Roman" w:cs="Times New Roman" w:eastAsia="Times New Roman" w:hAnsi="Times New Roman"/>
          <w:sz w:val="20"/>
          <w:szCs w:val="20"/>
          <w:u w:val="single" w:color="auto"/>
          <w:color w:val="0070C0"/>
        </w:rPr>
        <w:t>in connection with the facilities provided hereunder</w:t>
      </w:r>
      <w:r>
        <w:rPr>
          <w:rFonts w:ascii="Times New Roman" w:cs="Times New Roman" w:eastAsia="Times New Roman" w:hAnsi="Times New Roman"/>
          <w:sz w:val="20"/>
          <w:szCs w:val="20"/>
          <w:color w:val="000000"/>
        </w:rPr>
        <w:t>.</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 means the fees and commissions provided for or referred to in Section 3.5. and any other fees payable by any Borrower hereunder, under any other Loan Document or under any Fee Letter.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Fitch</w:t>
      </w:r>
      <w:r>
        <w:rPr>
          <w:rFonts w:ascii="Times New Roman" w:cs="Times New Roman" w:eastAsia="Times New Roman" w:hAnsi="Times New Roman"/>
          <w:sz w:val="20"/>
          <w:szCs w:val="20"/>
          <w:color w:val="auto"/>
        </w:rPr>
        <w:t>” means Fitch Ratings Inc. and its successors.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First Amendment Date</w:t>
      </w:r>
      <w:r>
        <w:rPr>
          <w:rFonts w:ascii="Times New Roman" w:cs="Times New Roman" w:eastAsia="Times New Roman" w:hAnsi="Times New Roman"/>
          <w:sz w:val="20"/>
          <w:szCs w:val="20"/>
          <w:u w:val="single" w:color="auto"/>
          <w:color w:val="0070C0"/>
        </w:rPr>
        <w:t>” means March 18, 2026.</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Fixed Charges</w:t>
      </w:r>
      <w:r>
        <w:rPr>
          <w:rFonts w:ascii="Times New Roman" w:cs="Times New Roman" w:eastAsia="Times New Roman" w:hAnsi="Times New Roman"/>
          <w:sz w:val="20"/>
          <w:szCs w:val="20"/>
          <w:color w:val="auto"/>
        </w:rPr>
        <w:t xml:space="preserve">” means, with respect to a Person and for a given period, the sum of (a) the Interest Expense of such Person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of all regularly scheduled principal payments on Indebtedness payable by such Person during such period (excluding balloon, bullet or similar payments of principal due upon the stated maturity of Indebtedness), plus (c) the aggregate amount of all Preferred Dividends paid by such Person during such period.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a rate of interest equal to 0%.</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 Lender that is not a U.S.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Fronting Exposure</w:t>
      </w:r>
      <w:r>
        <w:rPr>
          <w:rFonts w:ascii="Times New Roman" w:cs="Times New Roman" w:eastAsia="Times New Roman" w:hAnsi="Times New Roman"/>
          <w:sz w:val="20"/>
          <w:szCs w:val="20"/>
          <w:color w:val="auto"/>
        </w:rPr>
        <w:t xml:space="preserve">” means, at any time there is a Defaulting Lender that is a Revolving Lender, </w:t>
      </w:r>
      <w:r>
        <w:rPr>
          <w:rFonts w:ascii="Times New Roman" w:cs="Times New Roman" w:eastAsia="Times New Roman" w:hAnsi="Times New Roman"/>
          <w:sz w:val="20"/>
          <w:szCs w:val="20"/>
          <w:color w:val="ED0000"/>
          <w:strike w:val="1"/>
        </w:rPr>
        <w:t>(a) with respect to an Issuing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Bank,</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such Defaulting Lender’s Revolving Commitment Percentage of the outstanding Letter of Credit Liabilities other than Letter of Credit</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 xml:space="preserve">Liabilities as to which such Defaulting Lender’s participation obligation has been funded by such Defaulting Lender, reallocated to other Revolving Lenders or Cash Collateralized in accordance with the terms </w:t>
      </w:r>
      <w:r>
        <w:rPr>
          <w:rFonts w:ascii="Times New Roman" w:cs="Times New Roman" w:eastAsia="Times New Roman" w:hAnsi="Times New Roman"/>
          <w:sz w:val="20"/>
          <w:szCs w:val="20"/>
          <w:color w:val="ED0000"/>
          <w:strike w:val="1"/>
        </w:rPr>
        <w:t>hereof, and (b) with respect to a Swingline Lender, such Defaulting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ED0000"/>
          <w:strike w:val="1"/>
        </w:rPr>
        <w:t>Lender’s Revolving Commitment Percentage of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- 20 -</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8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ED0000"/>
          <w:strike w:val="1"/>
        </w:rPr>
        <w:t>Swingline Loans other than Swingline Loans as to which such Defaulting Lender’s participation obligation has been reallocated to other Revolving Lenders.</w:t>
      </w:r>
      <w:r>
        <w:rPr>
          <w:rFonts w:ascii="Times New Roman" w:cs="Times New Roman" w:eastAsia="Times New Roman" w:hAnsi="Times New Roman"/>
          <w:sz w:val="20"/>
          <w:szCs w:val="20"/>
          <w:u w:val="single" w:color="auto"/>
          <w:color w:val="0070C0"/>
          <w:strike w:val="1"/>
        </w:rPr>
        <w:t>hereofs.</w:t>
      </w:r>
    </w:p>
    <w:p>
      <w:pPr>
        <w:spacing w:after="0" w:line="1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means any Person (other than a natural person or holding company, investment vehicle or trust for, or owned and operated for the primary benefit of a natural person) that is (or will be) engaged in making, purchasing, holding or otherwise investing in commercial loans and similar extensions of credit in the ordinary course of its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Funds From Operations</w:t>
      </w:r>
      <w:r>
        <w:rPr>
          <w:rFonts w:ascii="Times New Roman" w:cs="Times New Roman" w:eastAsia="Times New Roman" w:hAnsi="Times New Roman"/>
          <w:sz w:val="20"/>
          <w:szCs w:val="20"/>
          <w:color w:val="ED0000"/>
          <w:strike w:val="1"/>
        </w:rPr>
        <w:t>” means, with respect to a Person and for a given period, (a) net income (loss) of such Person for such period determined on a consolidated basis in accordance with GAAP minus (or plus) (b) gains (or losses) from debt restructuring and sales of property during such period plus (c) depreciation with respect to such Person’s real estate assets and amortization (other than amortization of deferred financing costs) of such Person for such period plus (d) non cash impairment losses minus (e) non cash gains, all after adjustment for Unconsolidated Affiliates. Adjustments for Unconsolidated Affiliates will be calculated to reflect funds from operations on the same basis. For purposes of this Agreement, Funds From Operations shall be calculated consistent with the White Paper on Funds from Operations dated April 2002 issued by National Association of Real Estate Investment Trusts, Inc., but without giving effect to any supplements, amendments or other modifications promulgated after the Agreement Date.</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Fund Investments</w:t>
      </w:r>
      <w:r>
        <w:rPr>
          <w:rFonts w:ascii="Times New Roman" w:cs="Times New Roman" w:eastAsia="Times New Roman" w:hAnsi="Times New Roman"/>
          <w:sz w:val="20"/>
          <w:szCs w:val="20"/>
          <w:u w:val="single" w:color="auto"/>
          <w:color w:val="0070C0"/>
        </w:rPr>
        <w:t>” means, collectively, Investments directly or indirectly in Equity Interests of, and indebtedness issued by, investment funds.</w:t>
      </w:r>
    </w:p>
    <w:p>
      <w:pPr>
        <w:spacing w:after="0" w:line="16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u w:val="single" w:color="auto"/>
          <w:color w:val="0070C0"/>
        </w:rPr>
        <w:t>“</w:t>
      </w:r>
      <w:r>
        <w:rPr>
          <w:rFonts w:ascii="Times New Roman" w:cs="Times New Roman" w:eastAsia="Times New Roman" w:hAnsi="Times New Roman"/>
          <w:sz w:val="19"/>
          <w:szCs w:val="19"/>
          <w:b w:val="1"/>
          <w:bCs w:val="1"/>
          <w:u w:val="single" w:color="auto"/>
          <w:color w:val="0070C0"/>
        </w:rPr>
        <w:t>Fund Investment Value</w:t>
      </w:r>
      <w:r>
        <w:rPr>
          <w:rFonts w:ascii="Times New Roman" w:cs="Times New Roman" w:eastAsia="Times New Roman" w:hAnsi="Times New Roman"/>
          <w:sz w:val="19"/>
          <w:szCs w:val="19"/>
          <w:u w:val="single" w:color="auto"/>
          <w:color w:val="0070C0"/>
        </w:rPr>
        <w:t>” means (a) for the purpose of determining Total Asset Value an amount equal to a Borrower’s pro rata share of the value (as determined in accordance with GAAP) of each Fund Investment and (b) for the purpose of determining Unencumbered Asset Value, an amount equal to a Borrower’s pro rata share of the value (as determined in accordance with GAAP) of each Fund Investment</w:t>
      </w:r>
    </w:p>
    <w:p>
      <w:pPr>
        <w:jc w:val="both"/>
        <w:ind w:firstLine="8"/>
        <w:spacing w:after="0" w:line="250" w:lineRule="auto"/>
        <w:tabs>
          <w:tab w:leader="none" w:pos="237" w:val="left"/>
        </w:tabs>
        <w:numPr>
          <w:ilvl w:val="0"/>
          <w:numId w:val="215"/>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that is owned by a Borrower or a Wholly Owned Subsidiary, (ii) that is not subject to any Lien or Negative Pledge, (iii) that, if owned by a Subsidiary, no Borrower’s direct or indirect ownership interest in such Subsidiary is subject to any Lien or Negative Pledge, (iv) with respect to which a Borrower has a right, directly or indirectly through a Subsidiary, to create Liens on such Fund Investment as security for Indebtedness of such Borrower and to sell, transfer or otherwise dispose of such Fund Investment, in the case, without the consent of any Person and (v) with respect to which no investment fund obligor is more than 60 days past due on payment obligations (including any required distributions thereof) thereunder.</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6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Approvals</w:t>
      </w:r>
      <w:r>
        <w:rPr>
          <w:rFonts w:ascii="Times New Roman" w:cs="Times New Roman" w:eastAsia="Times New Roman" w:hAnsi="Times New Roman"/>
          <w:sz w:val="20"/>
          <w:szCs w:val="20"/>
          <w:color w:val="auto"/>
        </w:rPr>
        <w:t>” means all authorizations, consents, approvals, licenses and exemptions of, registrations and filings with, and reports to, all Governmental Authorities.</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national, state or local government (whether domestic or foreign), any political subdivision thereof or any other governmental, quasi-governmental, judicial,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- 21 -</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GRESB</w:t>
      </w:r>
      <w:r>
        <w:rPr>
          <w:rFonts w:ascii="Times New Roman" w:cs="Times New Roman" w:eastAsia="Times New Roman" w:hAnsi="Times New Roman"/>
          <w:sz w:val="20"/>
          <w:szCs w:val="20"/>
          <w:color w:val="ED0000"/>
          <w:strike w:val="1"/>
        </w:rPr>
        <w:t>” means GRESB B.V., a wholly owned subsidiary of Green Business Certification Inc., a non profit corporation incorporated in the United States under the laws of the District of Columbia.</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Ground Lease</w:t>
      </w:r>
      <w:r>
        <w:rPr>
          <w:rFonts w:ascii="Times New Roman" w:cs="Times New Roman" w:eastAsia="Times New Roman" w:hAnsi="Times New Roman"/>
          <w:sz w:val="20"/>
          <w:szCs w:val="20"/>
          <w:color w:val="auto"/>
        </w:rPr>
        <w:t xml:space="preserve">” means a ground lease containing the following terms and conditions: (a) a remaining term (inclusive of any unexercised extension options that may be exercised by a Borrower or Subsidiary without the consent of the lessor) of 30 years or more from the </w:t>
      </w:r>
      <w:r>
        <w:rPr>
          <w:rFonts w:ascii="Times New Roman" w:cs="Times New Roman" w:eastAsia="Times New Roman" w:hAnsi="Times New Roman"/>
          <w:sz w:val="20"/>
          <w:szCs w:val="20"/>
          <w:color w:val="ED0000"/>
          <w:strike w:val="1"/>
        </w:rPr>
        <w:t>Agreement</w:t>
      </w:r>
      <w:r>
        <w:rPr>
          <w:rFonts w:ascii="Times New Roman" w:cs="Times New Roman" w:eastAsia="Times New Roman" w:hAnsi="Times New Roman"/>
          <w:sz w:val="20"/>
          <w:szCs w:val="20"/>
          <w:u w:val="single" w:color="auto"/>
          <w:color w:val="0070C0"/>
        </w:rPr>
        <w:t>First Amendment</w:t>
      </w:r>
      <w:r>
        <w:rPr>
          <w:rFonts w:ascii="Times New Roman" w:cs="Times New Roman" w:eastAsia="Times New Roman" w:hAnsi="Times New Roman"/>
          <w:sz w:val="20"/>
          <w:szCs w:val="20"/>
          <w:color w:val="auto"/>
        </w:rPr>
        <w:t xml:space="preserve">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Each of the ground leases associated with the properties located at (i) 1185 Avenue of the Americas, New York, New York, the term of which expires in the year 2043, </w:t>
      </w:r>
      <w:r>
        <w:rPr>
          <w:rFonts w:ascii="Times New Roman" w:cs="Times New Roman" w:eastAsia="Times New Roman" w:hAnsi="Times New Roman"/>
          <w:sz w:val="20"/>
          <w:szCs w:val="20"/>
          <w:u w:val="single" w:color="auto"/>
          <w:color w:val="0070C0"/>
        </w:rPr>
        <w:t>and</w:t>
      </w:r>
      <w:r>
        <w:rPr>
          <w:rFonts w:ascii="Times New Roman" w:cs="Times New Roman" w:eastAsia="Times New Roman" w:hAnsi="Times New Roman"/>
          <w:sz w:val="20"/>
          <w:szCs w:val="20"/>
          <w:color w:val="auto"/>
        </w:rPr>
        <w:t xml:space="preserve"> (ii</w:t>
      </w:r>
      <w:r>
        <w:rPr>
          <w:rFonts w:ascii="Times New Roman" w:cs="Times New Roman" w:eastAsia="Times New Roman" w:hAnsi="Times New Roman"/>
          <w:sz w:val="20"/>
          <w:szCs w:val="20"/>
          <w:color w:val="ED0000"/>
          <w:strike w:val="1"/>
        </w:rPr>
        <w:t>) 625 Madison Avenue, New York, 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York, the term of which expires in the year 2054 and (iii</w:t>
      </w:r>
      <w:r>
        <w:rPr>
          <w:rFonts w:ascii="Times New Roman" w:cs="Times New Roman" w:eastAsia="Times New Roman" w:hAnsi="Times New Roman"/>
          <w:sz w:val="20"/>
          <w:szCs w:val="20"/>
          <w:color w:val="000000"/>
        </w:rPr>
        <w:t>) 711 Third Avenue, New York, New York, the term of which expires in the year</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2033, will not be subject to the requirement of clause (a) of this definition.</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Guaranteed</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as applied to any obligation means and includes: (a) a guaranty (other than by endorsement of negotiable instruments for collection in the ordinary course of business), directly or indirectly, in any manner, of any part or all of such obligation, including without limitation, becoming jointly and severally in respect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Obligations</w:t>
      </w:r>
      <w:r>
        <w:rPr>
          <w:rFonts w:ascii="Times New Roman" w:cs="Times New Roman" w:eastAsia="Times New Roman" w:hAnsi="Times New Roman"/>
          <w:sz w:val="20"/>
          <w:szCs w:val="20"/>
          <w:color w:val="auto"/>
        </w:rPr>
        <w:t>” means, collectively, (a) the Obligations and (b) all existing or future payment and other obligations owing by any Loan Party under any Specified Derivatives Contract (other than any Excluded Swap Obligation).</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- 22 -</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means, with respect to a Person, at the time of computation thereof, all of the following (without duplication): (a) all obligations of such Person in respect of money borrowed or for the deferred purchase price of property or services (excluding trade debt incurred in the ordinary course of business); (b) all obligations of such Person,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for services rendered;</w:t>
      </w:r>
    </w:p>
    <w:p>
      <w:pPr>
        <w:spacing w:after="0" w:line="3" w:lineRule="exact"/>
        <w:rPr>
          <w:sz w:val="20"/>
          <w:szCs w:val="20"/>
          <w:color w:val="auto"/>
        </w:rPr>
      </w:pPr>
    </w:p>
    <w:p>
      <w:pPr>
        <w:jc w:val="both"/>
        <w:ind w:firstLine="8"/>
        <w:spacing w:after="0" w:line="248" w:lineRule="auto"/>
        <w:tabs>
          <w:tab w:leader="none" w:pos="292"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Lease Obligations of such Person; (d) all reimbursement obligations (contingent or otherwise) of such Person under or in respect of any letters of credit or acceptances (whether or not the same have been presented for payment); (e) [reserved];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[reserved]; (h) net obligations under any Derivatives Contract not entered into as a hedge against interest rate risk in respect of existing Indebtedness, in an amount equal to the Derivatives Termination Value thereof at such time (but in no event less than zero); (i) all Indebtedness of other Persons which such Person has guaranteed or is otherwise recourse to such Person, including by virtue of being jointly and severally liable for the Indebtedness of such other Person (except for guaranties of customary exceptions for fraud, misapplication of funds, environmental indemnities, voluntary bankruptcy, collusive involuntary bankruptcy and other similar customary exceptions to non-recourse liability); and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Indebtedness of the Borrowers and their respective Subsidiaries shall exclude </w:t>
      </w:r>
      <w:r>
        <w:rPr>
          <w:rFonts w:ascii="Times New Roman" w:cs="Times New Roman" w:eastAsia="Times New Roman" w:hAnsi="Times New Roman"/>
          <w:sz w:val="20"/>
          <w:szCs w:val="20"/>
          <w:u w:val="single" w:color="auto"/>
          <w:color w:val="0070C0"/>
        </w:rPr>
        <w:t>(A) subscription facilities incurred by Fund Investments so long as the Borrowers and their Subsidiaries are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direct obligors with respect thereto and (B)</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the following but only to the extent the outstanding principal amount of the following</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Indebtedness does not exceed $100,000,000 in the aggregate at the time of determination: (a) Indebtedness of SLGOP in respect of the Junior Subordinated Indenture and (b) Indebtedness of any Borrower in respect of any other debt securities (and guarantees, if any, in respect of such debt securities) issued to any trust other than the Trust (or a trustee of any such trust), or to any partnership or other entity affiliated with such Borrower that is a financing vehicle of such Borrower (a “financing entity”) in connection with the issuance by such financing entity of equity securities or other securities pursuant to an instrument that ranks pari passu with or junior in right of payment to the Junior Subordinated Indenture so long as the maturity of the Indebtedness of such Borrower referred to in this clause (b) is after the latest of the Revolving Termination Date</w:t>
      </w:r>
      <w:r>
        <w:rPr>
          <w:rFonts w:ascii="Times New Roman" w:cs="Times New Roman" w:eastAsia="Times New Roman" w:hAnsi="Times New Roman"/>
          <w:sz w:val="20"/>
          <w:szCs w:val="20"/>
          <w:color w:val="ED0000"/>
          <w:strike w:val="1"/>
        </w:rPr>
        <w:t>, the Term A Loan Maturity Date and the Term B Loan Maturity Date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0C0"/>
        </w:rPr>
        <w:t>and the maturity date or termination date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0C0"/>
        </w:rPr>
        <w:t>with respect to any other Class of Loans or Commitments created hereunder including as a result of Section 12.25 hereof</w:t>
      </w:r>
      <w:r>
        <w:rPr>
          <w:rFonts w:ascii="Times New Roman" w:cs="Times New Roman" w:eastAsia="Times New Roman" w:hAnsi="Times New Roman"/>
          <w:sz w:val="20"/>
          <w:szCs w:val="20"/>
          <w:color w:val="000000"/>
        </w:rPr>
        <w:t>. All Loans to and</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Letter of Credit Liabilities of a Borrower shall constitute Indebtedness of each other Borrower.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Indemnifiable Amounts</w:t>
      </w:r>
      <w:r>
        <w:rPr>
          <w:rFonts w:ascii="Times New Roman" w:cs="Times New Roman" w:eastAsia="Times New Roman" w:hAnsi="Times New Roman"/>
          <w:sz w:val="20"/>
          <w:szCs w:val="20"/>
          <w:color w:val="auto"/>
        </w:rPr>
        <w:t>” has the meaning given that term in Section 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- 23 -</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Costs</w:t>
      </w:r>
      <w:r>
        <w:rPr>
          <w:rFonts w:ascii="Times New Roman" w:cs="Times New Roman" w:eastAsia="Times New Roman" w:hAnsi="Times New Roman"/>
          <w:sz w:val="20"/>
          <w:szCs w:val="20"/>
          <w:color w:val="auto"/>
        </w:rPr>
        <w:t>” has the meaning given that term in Section 12.9.</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has the meaning given that term in Section 12.9.</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of the Borrowers or any other Loan Party under any Loan Document and (b) to the extent not otherwise described in the immediately preceding clause (a), Other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Indemnity Proceeding</w:t>
      </w:r>
      <w:r>
        <w:rPr>
          <w:rFonts w:ascii="Times New Roman" w:cs="Times New Roman" w:eastAsia="Times New Roman" w:hAnsi="Times New Roman"/>
          <w:sz w:val="20"/>
          <w:szCs w:val="20"/>
          <w:color w:val="auto"/>
        </w:rPr>
        <w:t>” has the meaning given that term in Section 12.9.</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has the meaning given that term in Section 12.8.</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 Materials</w:t>
      </w:r>
      <w:r>
        <w:rPr>
          <w:rFonts w:ascii="Times New Roman" w:cs="Times New Roman" w:eastAsia="Times New Roman" w:hAnsi="Times New Roman"/>
          <w:sz w:val="20"/>
          <w:szCs w:val="20"/>
          <w:color w:val="auto"/>
        </w:rPr>
        <w:t>” has the meaning given that term in Section 8.6.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has the meaning given that term in Section 6.1.(s).</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Expense</w:t>
      </w:r>
      <w:r>
        <w:rPr>
          <w:rFonts w:ascii="Times New Roman" w:cs="Times New Roman" w:eastAsia="Times New Roman" w:hAnsi="Times New Roman"/>
          <w:sz w:val="20"/>
          <w:szCs w:val="20"/>
          <w:color w:val="auto"/>
        </w:rPr>
        <w:t>” means, with respect to a Person and for a given period, without duplication, total interest expense of such Person and its Subsidiaries, including capitalized interest not funded under a construction loan interest reserve account, determined on a consolidated basis in accordance with GAAP for such period.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jc w:val="both"/>
        <w:ind w:left="660" w:firstLine="644"/>
        <w:spacing w:after="0" w:line="253" w:lineRule="auto"/>
        <w:tabs>
          <w:tab w:leader="none" w:pos="1757"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SOFR Loan, each period commencing on the date such SOFR Loan is made, or in the case of the Continuation of a SOFR Loan the last day of the preceding Interest Period for such Loan, and ending on the numerically corresponding day in the first or third calendar month thereafter, in each case, as the Borrower Representative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and</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45"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Bid Rate Loan, the period commencing on the date such Bid Rate Loan is made and ending on any Business Day not less than 7 nor more than 180 days thereafter, as the Borrower Representative may select as provided in Section 2.3.(b).</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Notwithstanding the foregoing: (i) if any Interest Period for a Revolving Loan</w:t>
      </w:r>
      <w:r>
        <w:rPr>
          <w:rFonts w:ascii="Times New Roman" w:cs="Times New Roman" w:eastAsia="Times New Roman" w:hAnsi="Times New Roman"/>
          <w:sz w:val="19"/>
          <w:szCs w:val="19"/>
          <w:color w:val="ED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or</w:t>
      </w:r>
      <w:r>
        <w:rPr>
          <w:rFonts w:ascii="Times New Roman" w:cs="Times New Roman" w:eastAsia="Times New Roman" w:hAnsi="Times New Roman"/>
          <w:sz w:val="19"/>
          <w:szCs w:val="19"/>
          <w:color w:val="auto"/>
        </w:rPr>
        <w:t xml:space="preserve"> a Term A Loan </w:t>
      </w:r>
      <w:r>
        <w:rPr>
          <w:rFonts w:ascii="Times New Roman" w:cs="Times New Roman" w:eastAsia="Times New Roman" w:hAnsi="Times New Roman"/>
          <w:sz w:val="19"/>
          <w:szCs w:val="19"/>
          <w:color w:val="ED0000"/>
        </w:rPr>
        <w:t>or a Term B Loan</w:t>
      </w:r>
      <w:r>
        <w:rPr>
          <w:rFonts w:ascii="Times New Roman" w:cs="Times New Roman" w:eastAsia="Times New Roman" w:hAnsi="Times New Roman"/>
          <w:sz w:val="19"/>
          <w:szCs w:val="19"/>
          <w:color w:val="auto"/>
        </w:rPr>
        <w:t>, as applicable, would otherwise end after the Revolving Termination Date</w:t>
      </w:r>
      <w:r>
        <w:rPr>
          <w:rFonts w:ascii="Times New Roman" w:cs="Times New Roman" w:eastAsia="Times New Roman" w:hAnsi="Times New Roman"/>
          <w:sz w:val="19"/>
          <w:szCs w:val="19"/>
          <w:color w:val="ED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or</w:t>
      </w:r>
      <w:r>
        <w:rPr>
          <w:rFonts w:ascii="Times New Roman" w:cs="Times New Roman" w:eastAsia="Times New Roman" w:hAnsi="Times New Roman"/>
          <w:sz w:val="19"/>
          <w:szCs w:val="19"/>
          <w:color w:val="auto"/>
        </w:rPr>
        <w:t xml:space="preserve"> the Term A </w:t>
      </w:r>
      <w:r>
        <w:rPr>
          <w:rFonts w:ascii="Times New Roman" w:cs="Times New Roman" w:eastAsia="Times New Roman" w:hAnsi="Times New Roman"/>
          <w:sz w:val="19"/>
          <w:szCs w:val="19"/>
          <w:color w:val="FF0000"/>
          <w:strike w:val="1"/>
        </w:rPr>
        <w:t>Loan Maturity Date or the Term B</w:t>
      </w:r>
      <w:r>
        <w:rPr>
          <w:rFonts w:ascii="Times New Roman" w:cs="Times New Roman" w:eastAsia="Times New Roman" w:hAnsi="Times New Roman"/>
          <w:sz w:val="19"/>
          <w:szCs w:val="19"/>
          <w:color w:val="auto"/>
        </w:rPr>
        <w:t xml:space="preserve"> Loan Maturity Date, as applicable, such Interest Period shall end on the Revolving Termination Date</w:t>
      </w:r>
      <w:r>
        <w:rPr>
          <w:rFonts w:ascii="Times New Roman" w:cs="Times New Roman" w:eastAsia="Times New Roman" w:hAnsi="Times New Roman"/>
          <w:sz w:val="19"/>
          <w:szCs w:val="19"/>
          <w:color w:val="ED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or</w:t>
      </w:r>
      <w:r>
        <w:rPr>
          <w:rFonts w:ascii="Times New Roman" w:cs="Times New Roman" w:eastAsia="Times New Roman" w:hAnsi="Times New Roman"/>
          <w:sz w:val="19"/>
          <w:szCs w:val="19"/>
          <w:color w:val="auto"/>
        </w:rPr>
        <w:t xml:space="preserve"> the Term A Loan Maturity Date </w:t>
      </w:r>
      <w:r>
        <w:rPr>
          <w:rFonts w:ascii="Times New Roman" w:cs="Times New Roman" w:eastAsia="Times New Roman" w:hAnsi="Times New Roman"/>
          <w:sz w:val="19"/>
          <w:szCs w:val="19"/>
          <w:color w:val="ED0000"/>
        </w:rPr>
        <w:t>or the Term B Loan Maturity Date</w:t>
      </w:r>
      <w:r>
        <w:rPr>
          <w:rFonts w:ascii="Times New Roman" w:cs="Times New Roman" w:eastAsia="Times New Roman" w:hAnsi="Times New Roman"/>
          <w:sz w:val="19"/>
          <w:szCs w:val="19"/>
          <w:color w:val="auto"/>
        </w:rPr>
        <w:t>, as applicable;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-679450</wp:posOffset>
            </wp:positionV>
            <wp:extent cx="9740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974090" cy="8255"/>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-379095</wp:posOffset>
            </wp:positionV>
            <wp:extent cx="17945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jc w:val="both"/>
        <w:ind w:firstLine="8"/>
        <w:spacing w:after="0" w:line="253" w:lineRule="auto"/>
        <w:tabs>
          <w:tab w:leader="none" w:pos="361"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this definition pursuant to Section 4.2(b)(iv) shall be available for specification in any Notice of Borrowing or Notice of Conversion or Notice of Continuation, </w:t>
      </w:r>
      <w:r>
        <w:rPr>
          <w:rFonts w:ascii="Times New Roman" w:cs="Times New Roman" w:eastAsia="Times New Roman" w:hAnsi="Times New Roman"/>
          <w:sz w:val="20"/>
          <w:szCs w:val="20"/>
          <w:u w:val="single" w:color="auto"/>
          <w:color w:val="0070C0"/>
        </w:rPr>
        <w:t>and</w:t>
      </w:r>
      <w:r>
        <w:rPr>
          <w:rFonts w:ascii="Times New Roman" w:cs="Times New Roman" w:eastAsia="Times New Roman" w:hAnsi="Times New Roman"/>
          <w:sz w:val="20"/>
          <w:szCs w:val="20"/>
          <w:color w:val="auto"/>
        </w:rPr>
        <w:t xml:space="preserve"> (iv) solely for purposes of the initial Interest Period, such Interest Period shall be deemed to commence on the Effective Date and end on December 31, 2021 </w:t>
      </w:r>
      <w:r>
        <w:rPr>
          <w:rFonts w:ascii="Times New Roman" w:cs="Times New Roman" w:eastAsia="Times New Roman" w:hAnsi="Times New Roman"/>
          <w:sz w:val="20"/>
          <w:szCs w:val="20"/>
          <w:color w:val="ED0000"/>
        </w:rPr>
        <w:t>and (v) solely in the case of the incurrence of 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Term Loans pursuant to Section 2.19, the initial Interest Period of such Loans may have a duration separately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-241935</wp:posOffset>
            </wp:positionV>
            <wp:extent cx="2896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- 24 -</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ED0000"/>
          <w:strike w:val="1"/>
        </w:rPr>
        <w:t>to among</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388600"/>
          <w:strike w:val="1"/>
        </w:rPr>
        <w:t>the Borrowers, the Administrative Agent and</w:t>
      </w:r>
      <w:r>
        <w:rPr>
          <w:rFonts w:ascii="Times New Roman" w:cs="Times New Roman" w:eastAsia="Times New Roman" w:hAnsi="Times New Roman"/>
          <w:sz w:val="20"/>
          <w:szCs w:val="20"/>
          <w:color w:val="ED0000"/>
        </w:rPr>
        <w:t xml:space="preserve"> the Lenders providing such increase of such Additional Term Loans.</w:t>
      </w:r>
      <w:r>
        <w:rPr>
          <w:rFonts w:ascii="Times New Roman" w:cs="Times New Roman" w:eastAsia="Times New Roman" w:hAnsi="Times New Roman"/>
          <w:sz w:val="20"/>
          <w:szCs w:val="20"/>
          <w:u w:val="single" w:color="auto"/>
          <w:color w:val="0070C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-62230</wp:posOffset>
            </wp:positionV>
            <wp:extent cx="34766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Internal Revenue 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xml:space="preserve">” means,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Any commitment to make an Investment in any other Person, as well as any option of another Person to require an Investment in such Person, shall constitute an Investment but only in an amount equal to the stated or determinable amount thereof and only to the extent that all conditions to such Investment have been satisfied or waived. Except as expressly provided otherwise, for purposes of determining compliance with any covenant contained in </w:t>
      </w:r>
      <w:r>
        <w:rPr>
          <w:rFonts w:ascii="Times New Roman" w:cs="Times New Roman" w:eastAsia="Times New Roman" w:hAnsi="Times New Roman"/>
          <w:sz w:val="20"/>
          <w:szCs w:val="20"/>
          <w:color w:val="ED0000"/>
          <w:strike w:val="1"/>
        </w:rPr>
        <w:t>the Facility documentation</w:t>
      </w:r>
      <w:r>
        <w:rPr>
          <w:rFonts w:ascii="Times New Roman" w:cs="Times New Roman" w:eastAsia="Times New Roman" w:hAnsi="Times New Roman"/>
          <w:sz w:val="20"/>
          <w:szCs w:val="20"/>
          <w:u w:val="single" w:color="auto"/>
          <w:color w:val="0070C0"/>
        </w:rPr>
        <w:t>a Loan Document</w:t>
      </w:r>
      <w:r>
        <w:rPr>
          <w:rFonts w:ascii="Times New Roman" w:cs="Times New Roman" w:eastAsia="Times New Roman" w:hAnsi="Times New Roman"/>
          <w:sz w:val="20"/>
          <w:szCs w:val="20"/>
          <w:color w:val="auto"/>
        </w:rPr>
        <w:t>, the amount of any Investment shall be the amount actually invested, without adjustment for subsequent increases or decreases in the value of such Investment.</w:t>
      </w:r>
    </w:p>
    <w:p>
      <w:pPr>
        <w:spacing w:after="0" w:line="17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Grade Rating</w:t>
      </w:r>
      <w:r>
        <w:rPr>
          <w:rFonts w:ascii="Times New Roman" w:cs="Times New Roman" w:eastAsia="Times New Roman" w:hAnsi="Times New Roman"/>
          <w:sz w:val="20"/>
          <w:szCs w:val="20"/>
          <w:color w:val="auto"/>
        </w:rPr>
        <w:t>” means a Credit Rating of BBB- or higher from S&amp;P, Baa3 or higher from Moody’s or BBB- or higher from Fitch.</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ISP</w:t>
      </w:r>
      <w:r>
        <w:rPr>
          <w:rFonts w:ascii="Times New Roman" w:cs="Times New Roman" w:eastAsia="Times New Roman" w:hAnsi="Times New Roman"/>
          <w:sz w:val="20"/>
          <w:szCs w:val="20"/>
          <w:color w:val="auto"/>
        </w:rPr>
        <w:t>” means the International Standby Practices (1998 Revision, effective January 1, 1999), International Chamber of Commerce Publication No. 590.</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Issuing Banks</w:t>
      </w:r>
      <w:r>
        <w:rPr>
          <w:rFonts w:ascii="Times New Roman" w:cs="Times New Roman" w:eastAsia="Times New Roman" w:hAnsi="Times New Roman"/>
          <w:sz w:val="20"/>
          <w:szCs w:val="20"/>
          <w:color w:val="auto"/>
        </w:rPr>
        <w:t xml:space="preserve">” means each of Wells Fargo, JPMorgan Chase Bank, N.A., TD Bank, N.A. </w:t>
      </w:r>
      <w:r>
        <w:rPr>
          <w:rFonts w:ascii="Times New Roman" w:cs="Times New Roman" w:eastAsia="Times New Roman" w:hAnsi="Times New Roman"/>
          <w:sz w:val="20"/>
          <w:szCs w:val="20"/>
          <w:color w:val="ED0000"/>
        </w:rPr>
        <w:t>and Deutsche Bank AG New York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Branch</w:t>
      </w:r>
      <w:r>
        <w:rPr>
          <w:rFonts w:ascii="Times New Roman" w:cs="Times New Roman" w:eastAsia="Times New Roman" w:hAnsi="Times New Roman"/>
          <w:sz w:val="20"/>
          <w:szCs w:val="20"/>
          <w:u w:val="single" w:color="auto"/>
          <w:color w:val="0070C0"/>
        </w:rPr>
        <w:t>, BofA Securities, Inc., Bank of Montreal and Manufacturers and Traders Trust Company</w:t>
      </w:r>
      <w:r>
        <w:rPr>
          <w:rFonts w:ascii="Times New Roman" w:cs="Times New Roman" w:eastAsia="Times New Roman" w:hAnsi="Times New Roman"/>
          <w:sz w:val="20"/>
          <w:szCs w:val="20"/>
          <w:color w:val="000000"/>
        </w:rPr>
        <w:t>, each in its capacity as an issuer of Letters</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of Credit pursuant to Section 2.4., together with its respective successors and assigns. Any reference to “the Issuing Bank” herein shall be deemed to refer to each Issuing Bank, any Issuing Bank, the applicable Issuing Bank or all Issuing Banks,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-534670</wp:posOffset>
            </wp:positionV>
            <wp:extent cx="18783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Bookrunner</w:t>
      </w:r>
      <w:r>
        <w:rPr>
          <w:rFonts w:ascii="Times New Roman" w:cs="Times New Roman" w:eastAsia="Times New Roman" w:hAnsi="Times New Roman"/>
          <w:sz w:val="20"/>
          <w:szCs w:val="20"/>
          <w:color w:val="auto"/>
        </w:rPr>
        <w:t>” means each Person identified as such in the introductory paragraph hereof and shall include each such Person’s successor and permitted assigns.</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Subordinated Indenture</w:t>
      </w:r>
      <w:r>
        <w:rPr>
          <w:rFonts w:ascii="Times New Roman" w:cs="Times New Roman" w:eastAsia="Times New Roman" w:hAnsi="Times New Roman"/>
          <w:sz w:val="20"/>
          <w:szCs w:val="20"/>
          <w:color w:val="auto"/>
        </w:rPr>
        <w:t>” means that certain Junior Subordinated Indenture dated as of June 30, 2005 by and between SLGOP and JPMorgan Chase Bank, National Association, as Trustee.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KPIs</w:t>
      </w:r>
      <w:r>
        <w:rPr>
          <w:rFonts w:ascii="Times New Roman" w:cs="Times New Roman" w:eastAsia="Times New Roman" w:hAnsi="Times New Roman"/>
          <w:sz w:val="20"/>
          <w:szCs w:val="20"/>
          <w:u w:val="single" w:color="auto"/>
          <w:color w:val="0070C0"/>
        </w:rPr>
        <w:t>” means as provided in Section 12.24.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KPI Metrics</w:t>
      </w:r>
      <w:r>
        <w:rPr>
          <w:rFonts w:ascii="Times New Roman" w:cs="Times New Roman" w:eastAsia="Times New Roman" w:hAnsi="Times New Roman"/>
          <w:sz w:val="20"/>
          <w:szCs w:val="20"/>
          <w:u w:val="single" w:color="auto"/>
          <w:color w:val="0070C0"/>
        </w:rPr>
        <w:t>” means as provided in Section 12.24.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KPI Metrics Amendment</w:t>
      </w:r>
      <w:r>
        <w:rPr>
          <w:rFonts w:ascii="Times New Roman" w:cs="Times New Roman" w:eastAsia="Times New Roman" w:hAnsi="Times New Roman"/>
          <w:sz w:val="20"/>
          <w:szCs w:val="20"/>
          <w:u w:val="single" w:color="auto"/>
          <w:color w:val="0070C0"/>
        </w:rPr>
        <w:t>” means as provided in Section 12.24.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KPI Metrics Applicable Rate Adjustments</w:t>
      </w:r>
      <w:r>
        <w:rPr>
          <w:rFonts w:ascii="Times New Roman" w:cs="Times New Roman" w:eastAsia="Times New Roman" w:hAnsi="Times New Roman"/>
          <w:sz w:val="20"/>
          <w:szCs w:val="20"/>
          <w:u w:val="single" w:color="auto"/>
          <w:color w:val="0070C0"/>
        </w:rPr>
        <w:t>” means as provided in Section 12.24.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KPI Metrics Pricing Provisions</w:t>
      </w:r>
      <w:r>
        <w:rPr>
          <w:rFonts w:ascii="Times New Roman" w:cs="Times New Roman" w:eastAsia="Times New Roman" w:hAnsi="Times New Roman"/>
          <w:sz w:val="20"/>
          <w:szCs w:val="20"/>
          <w:u w:val="single" w:color="auto"/>
          <w:color w:val="0070C0"/>
        </w:rPr>
        <w:t>” means as provided in Section 12.24.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Commitment Amount</w:t>
      </w:r>
      <w:r>
        <w:rPr>
          <w:rFonts w:ascii="Times New Roman" w:cs="Times New Roman" w:eastAsia="Times New Roman" w:hAnsi="Times New Roman"/>
          <w:sz w:val="20"/>
          <w:szCs w:val="20"/>
          <w:color w:val="auto"/>
        </w:rPr>
        <w:t>” has the meaning given that term in Section 2.4.(a).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- 25 -</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Disbursement</w:t>
      </w:r>
      <w:r>
        <w:rPr>
          <w:rFonts w:ascii="Times New Roman" w:cs="Times New Roman" w:eastAsia="Times New Roman" w:hAnsi="Times New Roman"/>
          <w:sz w:val="20"/>
          <w:szCs w:val="20"/>
          <w:color w:val="auto"/>
        </w:rPr>
        <w:t>” has the meaning given that term in Section 3.9.(b).</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Lead Arranger</w:t>
      </w:r>
      <w:r>
        <w:rPr>
          <w:rFonts w:ascii="Times New Roman" w:cs="Times New Roman" w:eastAsia="Times New Roman" w:hAnsi="Times New Roman"/>
          <w:sz w:val="20"/>
          <w:szCs w:val="20"/>
          <w:color w:val="auto"/>
        </w:rPr>
        <w:t>” means each Person identified as such in the introductory paragraph hereof and shall include each such Person’s successor and permitted assigns.</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means each financial institution from time to time party hereto as a “Lender” or a “Designated Lender,” together with its respective successors and permitted assigns, and</w:t>
      </w:r>
      <w:r>
        <w:rPr>
          <w:rFonts w:ascii="Times New Roman" w:cs="Times New Roman" w:eastAsia="Times New Roman" w:hAnsi="Times New Roman"/>
          <w:sz w:val="20"/>
          <w:szCs w:val="20"/>
          <w:color w:val="ED0000"/>
          <w:strike w:val="1"/>
        </w:rPr>
        <w:t>, as the context requires, includes the Swingline Lenders</w:t>
      </w:r>
      <w:r>
        <w:rPr>
          <w:rFonts w:ascii="Times New Roman" w:cs="Times New Roman" w:eastAsia="Times New Roman" w:hAnsi="Times New Roman"/>
          <w:sz w:val="20"/>
          <w:szCs w:val="20"/>
          <w:color w:val="auto"/>
        </w:rPr>
        <w:t>; provided, however, that the term “Lender” (i) shall exclude each Designated Lender when used in reference to any Loan other than a Bid Rate Loan and the Commitments or terms relating to any Loan other than a Bid Rate Loan and shall further exclude each Designated Lender for all other purposes under the Loan Documents except that any Designated Lender which funds a Bid Rate Loan shall, subject to Section 12.5.(h), have only the rights (including the rights given to a Lender contained in Sections 12.2. and 12.9.) and obligations of a Lender associated with holding such Bid Rate Loan and (ii) except as otherwise expressly provided herein, shall exclude any Lender (or its Affiliates) in its capacity as a Specified Derivatives Provider.</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Parties</w:t>
      </w:r>
      <w:r>
        <w:rPr>
          <w:rFonts w:ascii="Times New Roman" w:cs="Times New Roman" w:eastAsia="Times New Roman" w:hAnsi="Times New Roman"/>
          <w:sz w:val="20"/>
          <w:szCs w:val="20"/>
          <w:color w:val="auto"/>
        </w:rPr>
        <w:t>” means, collectively, the Administrative Agent, the Lenders, the Issuing Banks, the Specified Derivatives Providers, each co-agent or sub-agent appointed by the Administrative Agent from time to time pursuant to Section 11.5., any other holder from time to time of any of any Obligations and, in each case, their respective successors and permitted assigns.</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Lending Office</w:t>
      </w:r>
      <w:r>
        <w:rPr>
          <w:rFonts w:ascii="Times New Roman" w:cs="Times New Roman" w:eastAsia="Times New Roman" w:hAnsi="Times New Roman"/>
          <w:sz w:val="20"/>
          <w:szCs w:val="20"/>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has the meaning given that term in Section 2.4.(a).</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Collateral Account</w:t>
      </w:r>
      <w:r>
        <w:rPr>
          <w:rFonts w:ascii="Times New Roman" w:cs="Times New Roman" w:eastAsia="Times New Roman" w:hAnsi="Times New Roman"/>
          <w:sz w:val="20"/>
          <w:szCs w:val="20"/>
          <w:color w:val="auto"/>
        </w:rPr>
        <w:t>” means a special deposit account maintained by the Administrative Agent, for the benefit of the Administrative Agent, the Issuing Banks and the Lenders, and under its sole dominion and control.</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Documents</w:t>
      </w:r>
      <w:r>
        <w:rPr>
          <w:rFonts w:ascii="Times New Roman" w:cs="Times New Roman" w:eastAsia="Times New Roman" w:hAnsi="Times New Roman"/>
          <w:sz w:val="20"/>
          <w:szCs w:val="20"/>
          <w:color w:val="auto"/>
        </w:rPr>
        <w:t>”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1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Liabilities</w:t>
      </w:r>
      <w:r>
        <w:rPr>
          <w:rFonts w:ascii="Times New Roman" w:cs="Times New Roman" w:eastAsia="Times New Roman" w:hAnsi="Times New Roman"/>
          <w:sz w:val="20"/>
          <w:szCs w:val="20"/>
          <w:color w:val="auto"/>
        </w:rPr>
        <w:t>” means, without duplication, at any time and in respect of any Letter of Credit, the sum of (a) the Stated Amount of such Letter of Credit plus (b) the aggregate unpaid principal amount of all Reimbursement Obligations of the Borrowers at such time due and payable in respect of all drawings made under such Letter of Credit. For purposes of this Agreement, (i) a Revolving Lender (other than a Lender then acting as an Issuing Bank with respect to the related Letter of Credit) shall be deemed to hold a Letter of Credit Liability in an amount equal to its participation interest under Section 2.4. in the related Letter of Credit, and the Issuing Bank with respect to such Letter of Credit shall be deemed to hold a Letter of Credit Liability in an amount equal to its retained interest in the related Letter of Credit after giving effect to the acquisition by the Revolving Lenders (other than the Issuing Bank with respect to such related Letter of Credit) of their participation interests under such Section and (ii) if on any date of determination a Letter of Credit has expired by its terms but any amount may still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- 26 -</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drawn thereunder by reason of the operation of Rule 3.14 of the ISP, such Letter of Credit shall be deemed to be “outstanding” in the amount so remaining available to be drawn.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Level</w:t>
      </w:r>
      <w:r>
        <w:rPr>
          <w:rFonts w:ascii="Times New Roman" w:cs="Times New Roman" w:eastAsia="Times New Roman" w:hAnsi="Times New Roman"/>
          <w:sz w:val="20"/>
          <w:szCs w:val="20"/>
          <w:color w:val="auto"/>
        </w:rPr>
        <w:t>” has the meaning given that term in the definition of the term “Applicable Margin.”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UCC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a Revolving Loan, a Term Loan</w:t>
      </w: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and</w:t>
      </w:r>
      <w:r>
        <w:rPr>
          <w:rFonts w:ascii="Times New Roman" w:cs="Times New Roman" w:eastAsia="Times New Roman" w:hAnsi="Times New Roman"/>
          <w:sz w:val="20"/>
          <w:szCs w:val="20"/>
          <w:color w:val="auto"/>
        </w:rPr>
        <w:t xml:space="preserve"> a Bid Rate Loan </w:t>
      </w:r>
      <w:r>
        <w:rPr>
          <w:rFonts w:ascii="Times New Roman" w:cs="Times New Roman" w:eastAsia="Times New Roman" w:hAnsi="Times New Roman"/>
          <w:sz w:val="20"/>
          <w:szCs w:val="20"/>
          <w:color w:val="ED0000"/>
        </w:rPr>
        <w:t>or a Swingline Loan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-59690</wp:posOffset>
            </wp:positionV>
            <wp:extent cx="10534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19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w:t>
      </w:r>
      <w:r>
        <w:rPr>
          <w:rFonts w:ascii="Times New Roman" w:cs="Times New Roman" w:eastAsia="Times New Roman" w:hAnsi="Times New Roman"/>
          <w:sz w:val="20"/>
          <w:szCs w:val="20"/>
          <w:color w:val="auto"/>
        </w:rPr>
        <w:t>” means this Agreement, each Note, each Letter of Credit Document, the New York Mortgages, and each other document or instrument now or hereafter executed and delivered by a Loan Party in connection with, pursuant to or relating to this Agreement (other than the Fee Letters and any Specified Derivatives Contract).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Party</w:t>
      </w:r>
      <w:r>
        <w:rPr>
          <w:rFonts w:ascii="Times New Roman" w:cs="Times New Roman" w:eastAsia="Times New Roman" w:hAnsi="Times New Roman"/>
          <w:sz w:val="20"/>
          <w:szCs w:val="20"/>
          <w:color w:val="auto"/>
        </w:rPr>
        <w:t>” means each Borrower.</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Mandatorily Redeemable Stock</w:t>
      </w:r>
      <w:r>
        <w:rPr>
          <w:rFonts w:ascii="Times New Roman" w:cs="Times New Roman" w:eastAsia="Times New Roman" w:hAnsi="Times New Roman"/>
          <w:sz w:val="19"/>
          <w:szCs w:val="19"/>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at the option of the issuer of such Equity Interest), (b) is convertible into or exchangeable or exercisable for Indebtedness or Mandatorily Redeemable Stock, or</w:t>
      </w:r>
    </w:p>
    <w:p>
      <w:pPr>
        <w:spacing w:after="0" w:line="1" w:lineRule="exact"/>
        <w:rPr>
          <w:sz w:val="20"/>
          <w:szCs w:val="20"/>
          <w:color w:val="auto"/>
        </w:rPr>
      </w:pPr>
    </w:p>
    <w:p>
      <w:pPr>
        <w:jc w:val="both"/>
        <w:ind w:firstLine="8"/>
        <w:spacing w:after="0" w:line="248" w:lineRule="auto"/>
        <w:tabs>
          <w:tab w:leader="none" w:pos="27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redeemable at the option of the holder thereof, in whole or part (other than an Equity Interest which is redeemable solely in exchange for common stock or other equivalent common Equity Interests), in each case on or prior to the latest of </w:t>
      </w:r>
      <w:r>
        <w:rPr>
          <w:rFonts w:ascii="Times New Roman" w:cs="Times New Roman" w:eastAsia="Times New Roman" w:hAnsi="Times New Roman"/>
          <w:sz w:val="20"/>
          <w:szCs w:val="20"/>
          <w:u w:val="single" w:color="auto"/>
          <w:color w:val="0070C0"/>
        </w:rPr>
        <w:t>is after the latest of</w:t>
      </w:r>
      <w:r>
        <w:rPr>
          <w:rFonts w:ascii="Times New Roman" w:cs="Times New Roman" w:eastAsia="Times New Roman" w:hAnsi="Times New Roman"/>
          <w:sz w:val="20"/>
          <w:szCs w:val="20"/>
          <w:color w:val="auto"/>
        </w:rPr>
        <w:t xml:space="preserve"> the Revolving Termination Date</w:t>
      </w:r>
      <w:r>
        <w:rPr>
          <w:rFonts w:ascii="Times New Roman" w:cs="Times New Roman" w:eastAsia="Times New Roman" w:hAnsi="Times New Roman"/>
          <w:sz w:val="20"/>
          <w:szCs w:val="20"/>
          <w:color w:val="ED0000"/>
          <w:strike w:val="1"/>
        </w:rPr>
        <w:t>, the Term A Loan Maturity Date and the Term B Loan Maturity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and the maturity date or termination date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respect to any other Class of Loans or Commitments created hereunder included hereunder including as a result of Section 12.25 hereof.</w:t>
      </w:r>
    </w:p>
    <w:p>
      <w:pPr>
        <w:spacing w:after="0" w:line="19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Marketable Securities</w:t>
      </w:r>
      <w:r>
        <w:rPr>
          <w:rFonts w:ascii="Times New Roman" w:cs="Times New Roman" w:eastAsia="Times New Roman" w:hAnsi="Times New Roman"/>
          <w:sz w:val="20"/>
          <w:szCs w:val="20"/>
          <w:u w:val="single" w:color="auto"/>
          <w:color w:val="0070C0"/>
        </w:rPr>
        <w:t>” means the securities owned by the Borrower or any of its Subsidiaries which are publicly traded on a nationally-recognized exchange or in the over-the-counter markets.</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 materially adverse effect on (a) the business, assets, liabilities, financial condition or results of operations of any Borrower and its respective Subsidiaries taken as a whole, (b) the ability of any Borrower or any other Loan Party to perform its obligations under any Loan Document or Fee Letter to which it is a party, (c) the validity or enforceability of any of the Loan Documents, (d) the rights and remedies of the Lenders, the Issuing Banks and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- 27 -</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Agent under any of the Loan Documents or (e) the timely payment of the principal of or interest on the Loans or other amounts payable in connection therewith or the timely payment of all Reimbursement Obligations.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Indebtedness</w:t>
      </w:r>
      <w:r>
        <w:rPr>
          <w:rFonts w:ascii="Times New Roman" w:cs="Times New Roman" w:eastAsia="Times New Roman" w:hAnsi="Times New Roman"/>
          <w:sz w:val="20"/>
          <w:szCs w:val="20"/>
          <w:color w:val="auto"/>
        </w:rPr>
        <w:t>” has the meaning given that term in Section 10.1.(d)(i).</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Subsidiary</w:t>
      </w:r>
      <w:r>
        <w:rPr>
          <w:rFonts w:ascii="Times New Roman" w:cs="Times New Roman" w:eastAsia="Times New Roman" w:hAnsi="Times New Roman"/>
          <w:sz w:val="20"/>
          <w:szCs w:val="20"/>
          <w:color w:val="auto"/>
        </w:rPr>
        <w:t>” means any Subsidiary to which more than seven and one-half of one percent (7.5%) of Total Asset Value is attributable on an individual basis.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means Moody’s Investors Service, Inc. and its successors.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 Receivable</w:t>
      </w:r>
      <w:r>
        <w:rPr>
          <w:rFonts w:ascii="Times New Roman" w:cs="Times New Roman" w:eastAsia="Times New Roman" w:hAnsi="Times New Roman"/>
          <w:sz w:val="20"/>
          <w:szCs w:val="20"/>
          <w:color w:val="auto"/>
        </w:rPr>
        <w:t>” means a promissory note secured by a Mortgage of which a Borrower, a Subsidiary or an Unconsolidated Affiliate is the holder and retains the rights of collection of all payments thereunder.</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Negative Pledge</w:t>
      </w:r>
      <w:r>
        <w:rPr>
          <w:rFonts w:ascii="Times New Roman" w:cs="Times New Roman" w:eastAsia="Times New Roman" w:hAnsi="Times New Roman"/>
          <w:sz w:val="20"/>
          <w:szCs w:val="20"/>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Operating Income</w:t>
      </w:r>
      <w:r>
        <w:rPr>
          <w:rFonts w:ascii="Times New Roman" w:cs="Times New Roman" w:eastAsia="Times New Roman" w:hAnsi="Times New Roman"/>
          <w:sz w:val="20"/>
          <w:szCs w:val="20"/>
          <w:color w:val="auto"/>
        </w:rPr>
        <w:t>” means, for any Property and for a given period, the sum of the following (without duplication and determined on a consistent basis with prior periods): (a) rents and other revenues recognized in accordance with GAAP from such Property (including proceeds of rent loss or business interruption insurance but excluding pre-paid rents and revenues and security deposits except to the extent applied in satisfaction of tenants’ obligations for rent) minus (b) all expenses recognized in accordance with GAAP (excluding interest but including an appropriate accrual for property taxes and insurance) related to the ownership, operation or maintenance of such Property, including but not limited to property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any Borrower and its Subsidiaries and any property management fees) minus (c) the actual property management fee paid during such period.</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York Mortgages</w:t>
      </w:r>
      <w:r>
        <w:rPr>
          <w:rFonts w:ascii="Times New Roman" w:cs="Times New Roman" w:eastAsia="Times New Roman" w:hAnsi="Times New Roman"/>
          <w:sz w:val="20"/>
          <w:szCs w:val="20"/>
          <w:color w:val="auto"/>
        </w:rPr>
        <w:t>” means each of the Mortgages described on Schedule 1.1. and any additional Mortgages encumbering real property located in the State of New York, in each case which have been assigned from time to time pursuant to Section 12.20.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- 28 -</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Newly-Acquired Property</w:t>
      </w:r>
      <w:r>
        <w:rPr>
          <w:rFonts w:ascii="Times New Roman" w:cs="Times New Roman" w:eastAsia="Times New Roman" w:hAnsi="Times New Roman"/>
          <w:sz w:val="19"/>
          <w:szCs w:val="19"/>
          <w:color w:val="auto"/>
        </w:rPr>
        <w:t>” means an Eligible Property acquired during the period of six fiscal quarters of the Parent most recently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ended.</w:t>
      </w:r>
    </w:p>
    <w:p>
      <w:pPr>
        <w:spacing w:after="0" w:line="19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means any Lender that does not approve any consent, waiver or amendment that (i) requires the approval of such Lender in accordance with the terms of Section 12.6.(b) and (ii) has been approved by the Requisite Lenders.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Nonrecourse Indebtedness</w:t>
      </w:r>
      <w:r>
        <w:rPr>
          <w:rFonts w:ascii="Times New Roman" w:cs="Times New Roman" w:eastAsia="Times New Roman" w:hAnsi="Times New Roman"/>
          <w:sz w:val="20"/>
          <w:szCs w:val="20"/>
          <w:color w:val="auto"/>
        </w:rPr>
        <w:t>” means, with respect to a Person, (a) Indebtedness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 (b) if such Person is a Single Asset Entity, any Secured Indebtedness of such Person (other than Indebtedness described in the immediately following clause (c)), or (c) if such Person is a Single Asset Holding Company or SL Green Funding (in either case, a “Holdco”), any Indebtedness (“Holdco Indebtedness”) of such Holdco resulting from a Guarantee of, or Lien securing, Indebtedness of a Single Asset Entity that is a Subsidiary of such Holdco, so long as, in the case of a Single Asset Holding Company, either (i) recourse for payment of such Holdco Indebtedness (except for customary exceptions for fraud, misapplication of funds, environmental indemnities, voluntary bankruptcy, collusive involuntary bankruptcy and other similar customary exceptions to nonrecourse liability) is contractually limited to the Equity Interests held by such Single Asset Holding Company in such Single Asset Entity or (ii) such Single Asset Holding Company has no assets other than Equity Interests in such Single Asset Entity and cash and other assets of nominal value incidental to the ownership of the such Single Asset Entity.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means a Revolving Note, Term Note</w:t>
      </w: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or</w:t>
      </w:r>
      <w:r>
        <w:rPr>
          <w:rFonts w:ascii="Times New Roman" w:cs="Times New Roman" w:eastAsia="Times New Roman" w:hAnsi="Times New Roman"/>
          <w:sz w:val="20"/>
          <w:szCs w:val="20"/>
          <w:color w:val="auto"/>
        </w:rPr>
        <w:t xml:space="preserve"> a Bid Rate Note </w:t>
      </w:r>
      <w:r>
        <w:rPr>
          <w:rFonts w:ascii="Times New Roman" w:cs="Times New Roman" w:eastAsia="Times New Roman" w:hAnsi="Times New Roman"/>
          <w:sz w:val="20"/>
          <w:szCs w:val="20"/>
          <w:color w:val="ED0000"/>
        </w:rPr>
        <w:t>or a Swingline Note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-59690</wp:posOffset>
            </wp:positionV>
            <wp:extent cx="10394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039495" cy="889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Borrowing</w:t>
      </w:r>
      <w:r>
        <w:rPr>
          <w:rFonts w:ascii="Times New Roman" w:cs="Times New Roman" w:eastAsia="Times New Roman" w:hAnsi="Times New Roman"/>
          <w:sz w:val="20"/>
          <w:szCs w:val="20"/>
          <w:color w:val="auto"/>
        </w:rPr>
        <w:t>” means a notice substantially in the form of Exhibit D (or such other form reasonably acceptable to the Administrative Agent and containing the information required in such Exhibit) to be delivered to the Administrative Agent pursuant to Section 2.1.(b) evidencing a Borrower’s request for a borrowing of Revolving Loans or Term Loans.</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Continuation</w:t>
      </w:r>
      <w:r>
        <w:rPr>
          <w:rFonts w:ascii="Times New Roman" w:cs="Times New Roman" w:eastAsia="Times New Roman" w:hAnsi="Times New Roman"/>
          <w:sz w:val="20"/>
          <w:szCs w:val="20"/>
          <w:color w:val="auto"/>
        </w:rPr>
        <w:t>” means a notice substantially in the form of Exhibit E (or such other form reasonably acceptable to the Administrative Agent and containing the information required in such Exhibit) to be delivered to the Administrative Agent pursuant to Section 2.10. evidencing a Borrower’s request for the Continuation of a SOFR Loan.</w:t>
      </w:r>
    </w:p>
    <w:p>
      <w:pPr>
        <w:spacing w:after="0" w:line="15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Conversion</w:t>
      </w:r>
      <w:r>
        <w:rPr>
          <w:rFonts w:ascii="Times New Roman" w:cs="Times New Roman" w:eastAsia="Times New Roman" w:hAnsi="Times New Roman"/>
          <w:sz w:val="20"/>
          <w:szCs w:val="20"/>
          <w:color w:val="auto"/>
        </w:rPr>
        <w:t xml:space="preserve">” means a notice substantially in the form of Exhibit F (or such other form reasonably acceptable to the Administrative Agent and containing the information required in such Exhibit) to be delivered to the Administrative Agent pursuant to Section 2.11. evidencing a Borrower’s request for the Conversion of a Loan (other than a Bid Rate Loan </w:t>
      </w:r>
      <w:r>
        <w:rPr>
          <w:rFonts w:ascii="Times New Roman" w:cs="Times New Roman" w:eastAsia="Times New Roman" w:hAnsi="Times New Roman"/>
          <w:sz w:val="20"/>
          <w:szCs w:val="20"/>
          <w:color w:val="ED0000"/>
        </w:rPr>
        <w:t>or a Swingline Loan</w:t>
      </w:r>
      <w:r>
        <w:rPr>
          <w:rFonts w:ascii="Times New Roman" w:cs="Times New Roman" w:eastAsia="Times New Roman" w:hAnsi="Times New Roman"/>
          <w:sz w:val="20"/>
          <w:szCs w:val="20"/>
          <w:color w:val="auto"/>
        </w:rPr>
        <w:t>) from one Type to another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5259070</wp:posOffset>
            </wp:positionH>
            <wp:positionV relativeFrom="paragraph">
              <wp:posOffset>-246380</wp:posOffset>
            </wp:positionV>
            <wp:extent cx="10534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053465" cy="8890"/>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Notice of Swingline Borrowing</w:t>
      </w:r>
      <w:r>
        <w:rPr>
          <w:rFonts w:ascii="Times New Roman" w:cs="Times New Roman" w:eastAsia="Times New Roman" w:hAnsi="Times New Roman"/>
          <w:sz w:val="20"/>
          <w:szCs w:val="20"/>
          <w:color w:val="ED0000"/>
          <w:strike w:val="1"/>
        </w:rPr>
        <w:t>” means a notice substantially in the form of Exhibit G (or such other form reasonably acceptable to the Administrative Agent and containing the information required in such Exhibit) to be delivered to a Swingline Lender pursuant to Section 2.5.(b) evidencing a Borrower’s request for a Swingline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- 29 -</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individually and collectively: (a) the aggregate principal balance of, and all accrued and unpaid interest on, all Loans; (b) all Reimbursement Obligations and all other Letter of Credit Liabilities; and (c) all other indebtedness, liabilities, obligations, covenants and duties of the Borrowers and the other Loan Parties owing to the Administrative Agent, any Issuing Bank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Occupancy Rate</w:t>
      </w:r>
      <w:r>
        <w:rPr>
          <w:rFonts w:ascii="Times New Roman" w:cs="Times New Roman" w:eastAsia="Times New Roman" w:hAnsi="Times New Roman"/>
          <w:sz w:val="20"/>
          <w:szCs w:val="20"/>
          <w:color w:val="auto"/>
        </w:rPr>
        <w:t>” means, with respect to a Property at any time, the ratio, expressed as a percentage, of (a) the net rentable square footage of such Property actually occupied by non-Affiliate tenants paying rent at rates not materially less than rates generally prevailing at the time the applicable lease was entered into, pursuant to binding leases as to which no default in the payment of fixed or basic rent has occurred and has continued unremedied for 60 or more days to (b) the aggregate net rentable square footage of such Property. For the purposes of the definition of “Occupancy Rate”, a tenant shall be deemed to actually occupy a Property notwithstanding a temporary cessation of operations for renovation, repairs or other temporary reason, or for the purpose of completing tenant build out or that is otherwise scheduled to be open for business within 90 days of such date.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U.S. Department of the Treasury’s Office of Foreign Assets Control.</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Offer Document</w:t>
      </w:r>
      <w:r>
        <w:rPr>
          <w:rFonts w:ascii="Times New Roman" w:cs="Times New Roman" w:eastAsia="Times New Roman" w:hAnsi="Times New Roman"/>
          <w:sz w:val="20"/>
          <w:szCs w:val="20"/>
          <w:color w:val="ED0000"/>
          <w:strike w:val="1"/>
        </w:rPr>
        <w:t>” means a Notice of an Offer to Purchase by the Unrestricted Subsidiary, together with all attachments thereto, substantially in the form of Exhibit R attached hereto.</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Original Effective Date</w:t>
      </w:r>
      <w:r>
        <w:rPr>
          <w:rFonts w:ascii="Times New Roman" w:cs="Times New Roman" w:eastAsia="Times New Roman" w:hAnsi="Times New Roman"/>
          <w:sz w:val="20"/>
          <w:szCs w:val="20"/>
          <w:color w:val="auto"/>
        </w:rPr>
        <w:t>” means the “Effective Date” of, and as defined in, the Existing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Outbound Investment Rules</w:t>
      </w:r>
      <w:r>
        <w:rPr>
          <w:rFonts w:ascii="Times New Roman" w:cs="Times New Roman" w:eastAsia="Times New Roman" w:hAnsi="Times New Roman"/>
          <w:sz w:val="20"/>
          <w:szCs w:val="20"/>
          <w:u w:val="single" w:color="auto"/>
          <w:color w:val="0070C0"/>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Overnight Rate</w:t>
      </w:r>
      <w:r>
        <w:rPr>
          <w:rFonts w:ascii="Times New Roman" w:cs="Times New Roman" w:eastAsia="Times New Roman" w:hAnsi="Times New Roman"/>
          <w:sz w:val="20"/>
          <w:szCs w:val="20"/>
          <w:color w:val="auto"/>
        </w:rPr>
        <w:t>” means, for any day, the greater of (a) the Federal Funds Rate and (b) an overnight rate determined by the Administrative Agent in accordance with banking industry rules on interbank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- 30 -</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Ownership Share</w:t>
      </w:r>
      <w:r>
        <w:rPr>
          <w:rFonts w:ascii="Times New Roman" w:cs="Times New Roman" w:eastAsia="Times New Roman" w:hAnsi="Times New Roman"/>
          <w:sz w:val="20"/>
          <w:szCs w:val="20"/>
          <w:color w:val="auto"/>
        </w:rPr>
        <w:t>” means, with respect to any Unconsolidated Affiliate of a Person, the greater of (a) such Person’s relative nominal direct and indirect ownership interest (expressed as a percentage) in such Unconsolidated Affiliate or (b) subject to compliance with the following paragraph,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Unconsolidated Affiliate.</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has the meaning given that term in the introductory paragraph hereof and shall include the Parent’s successors and permitted assigns.</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Pari Passu Indebtedness</w:t>
      </w:r>
      <w:r>
        <w:rPr>
          <w:rFonts w:ascii="Times New Roman" w:cs="Times New Roman" w:eastAsia="Times New Roman" w:hAnsi="Times New Roman"/>
          <w:sz w:val="20"/>
          <w:szCs w:val="20"/>
          <w:color w:val="auto"/>
        </w:rPr>
        <w:t>” means Indebtedness (a) owing by one or more of the Loan Parties; (b) evidenced by documents, instruments and agreements containing terms, conditions, representations, covenants and events of default substantially the same as, or less restrictive than, but in no event more restrictive when taken as a whole than, those contained in this Agreement and the other Loan Documents; (c) that is not Secured Indebtedness; and (d) that ranks pari passu with the Indebtedness owing hereunder.</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has the meaning given that term in Section 12.5.(d).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has the meaning given that term in Section 12.5.(d).</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Recipient</w:t>
      </w:r>
      <w:r>
        <w:rPr>
          <w:rFonts w:ascii="Times New Roman" w:cs="Times New Roman" w:eastAsia="Times New Roman" w:hAnsi="Times New Roman"/>
          <w:sz w:val="20"/>
          <w:szCs w:val="20"/>
          <w:color w:val="auto"/>
        </w:rPr>
        <w:t>” has the meaning given that term in Section 11.11.</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and any successor agency.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has the meaning assigned thereto in the definition of “Term SOFR”.</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xml:space="preserve">” means, with respect to any asset or property of a Person, (a)(i) Liens securing taxes, assessments and other charges or levies imposed by any Governmental Authority (excluding, other than for purposes of Sections 6.1.(f) and 9.2.,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intended use thereof in the business of such Person; (d) the rights of tenants under leases or subleases not interfering with the ordinary conduct of business of such Person; (e) </w:t>
      </w:r>
      <w:r>
        <w:rPr>
          <w:rFonts w:ascii="Times New Roman" w:cs="Times New Roman" w:eastAsia="Times New Roman" w:hAnsi="Times New Roman"/>
          <w:sz w:val="20"/>
          <w:szCs w:val="20"/>
          <w:u w:val="single" w:color="auto"/>
          <w:color w:val="0070C0"/>
        </w:rPr>
        <w:t>(i)</w:t>
      </w:r>
      <w:r>
        <w:rPr>
          <w:rFonts w:ascii="Times New Roman" w:cs="Times New Roman" w:eastAsia="Times New Roman" w:hAnsi="Times New Roman"/>
          <w:sz w:val="20"/>
          <w:szCs w:val="20"/>
          <w:color w:val="auto"/>
        </w:rPr>
        <w:t xml:space="preserve"> Liens in favor of the Administrative Agent for its benefit and the benefit of the other Lender Parties </w:t>
      </w:r>
      <w:r>
        <w:rPr>
          <w:rFonts w:ascii="Times New Roman" w:cs="Times New Roman" w:eastAsia="Times New Roman" w:hAnsi="Times New Roman"/>
          <w:sz w:val="20"/>
          <w:szCs w:val="20"/>
          <w:u w:val="single" w:color="auto"/>
          <w:color w:val="0070C0"/>
        </w:rPr>
        <w:t>and (ii) any Liens securing the Tranche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Term Loan Agreement pursuant to Section 12.20 thereof (or any replacement thereof)</w:t>
      </w:r>
      <w:r>
        <w:rPr>
          <w:rFonts w:ascii="Times New Roman" w:cs="Times New Roman" w:eastAsia="Times New Roman" w:hAnsi="Times New Roman"/>
          <w:sz w:val="20"/>
          <w:szCs w:val="20"/>
          <w:color w:val="000000"/>
        </w:rPr>
        <w:t>; (f) Liens securing judgments not constituting an Event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of Default under Section 10.1.(h); (g) Liens (i) of a collection bank arising under Section 4-210 of the UCC on items in the course of collection, (ii) attaching to commodity trading accounts or other commodities brokerage accounts incurred in the ordinary course of business, and (iii) in favor of a banking or other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- 31 -</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arising as a matter of law or under customary general terms and conditions encumbering deposits (including the right of set-off) and which are within the general parameters customary in the banking industry; (h) Liens (i) on earnest money deposits in connection with purchases and sales of properties, (ii) on cash advances in favor of the seller of any property to be acquired in an Investment permitted pursuant to this Agreement, or (iii) consisting of an agreement to dispose of any property; (i) Liens in favor of any Borrower or any of its Subsidiaries; (j) Liens arising from precautionary UCC financing statement filings regarding leases entered into by any Borrower or any of its Subsidiaries in the ordinary course of business; (k) Liens deemed to exist in connection with Investments in repurchase agreements permitted under this Agreement; (l) Liens encumbering reasonable customary initial deposits and margin deposits and similar Liens attaching to commodity trading accounts or other brokerage accounts incurred in the ordinary course of business and not for speculative purposes; and (m) other Liens not specifically listed above securing obligations in an aggregate principal amount not to exceed $10,000,000;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Liens described in the foregoing clauses (</w:t>
      </w:r>
      <w:r>
        <w:rPr>
          <w:rFonts w:ascii="Times New Roman" w:cs="Times New Roman" w:eastAsia="Times New Roman" w:hAnsi="Times New Roman"/>
          <w:sz w:val="20"/>
          <w:szCs w:val="20"/>
          <w:u w:val="single" w:color="auto"/>
          <w:color w:val="0070C0"/>
        </w:rPr>
        <w:t>e)(ii) and (</w:t>
      </w:r>
      <w:r>
        <w:rPr>
          <w:rFonts w:ascii="Times New Roman" w:cs="Times New Roman" w:eastAsia="Times New Roman" w:hAnsi="Times New Roman"/>
          <w:sz w:val="20"/>
          <w:szCs w:val="20"/>
          <w:color w:val="auto"/>
        </w:rPr>
        <w:t>g) through (m) shall constitute Permitted Liens solely for purposes of Sections 6.1.(f) and 9.2.</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Post-Default Rate</w:t>
      </w:r>
      <w:r>
        <w:rPr>
          <w:rFonts w:ascii="Times New Roman" w:cs="Times New Roman" w:eastAsia="Times New Roman" w:hAnsi="Times New Roman"/>
          <w:sz w:val="20"/>
          <w:szCs w:val="20"/>
          <w:color w:val="auto"/>
        </w:rPr>
        <w:t xml:space="preserve">” means, in respect of any principal of any Loan or any Reimbursement Obligation, the rate otherwise applicable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two percent (2.0%) per annum and with respect to any other Obligation, a rate per annum equal to the Base Rate as in effect from time to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for Revolving Loans that are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two percent (2.0%).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Dividends</w:t>
      </w:r>
      <w:r>
        <w:rPr>
          <w:rFonts w:ascii="Times New Roman" w:cs="Times New Roman" w:eastAsia="Times New Roman" w:hAnsi="Times New Roman"/>
          <w:sz w:val="20"/>
          <w:szCs w:val="20"/>
          <w:color w:val="auto"/>
        </w:rPr>
        <w:t>” means, as to any Person, for any period and without duplication, all Restricted Payments paid during such period on Preferred Equity Interests issued by such Person. Preferred Dividends shall not include dividends or distributions (a) paid or payable solely in Equity Interests (other than Mandatorily Redeemable Stock) payable to holders of that class of Equity Interests, (b) paid or payable to such Person, or (c) constituting or resulting in the redemption of Preferred Equity Interests, other than scheduled redemptions not constituting balloon, bullet or similar redemptions in full.</w:t>
      </w:r>
    </w:p>
    <w:p>
      <w:pPr>
        <w:spacing w:after="0" w:line="168"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Preferred Equity Interests</w:t>
      </w:r>
      <w:r>
        <w:rPr>
          <w:rFonts w:ascii="Times New Roman" w:cs="Times New Roman" w:eastAsia="Times New Roman" w:hAnsi="Times New Roman"/>
          <w:sz w:val="19"/>
          <w:szCs w:val="19"/>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Prime Rate</w:t>
      </w:r>
      <w:r>
        <w:rPr>
          <w:rFonts w:ascii="Times New Roman" w:cs="Times New Roman" w:eastAsia="Times New Roman" w:hAnsi="Times New Roman"/>
          <w:sz w:val="20"/>
          <w:szCs w:val="20"/>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- 32 -</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Office</w:t>
      </w:r>
      <w:r>
        <w:rPr>
          <w:rFonts w:ascii="Times New Roman" w:cs="Times New Roman" w:eastAsia="Times New Roman" w:hAnsi="Times New Roman"/>
          <w:sz w:val="19"/>
          <w:szCs w:val="19"/>
          <w:color w:val="auto"/>
        </w:rPr>
        <w:t xml:space="preserve">” means the office of the Administrative Agent located at </w:t>
      </w:r>
      <w:r>
        <w:rPr>
          <w:rFonts w:ascii="Times New Roman" w:cs="Times New Roman" w:eastAsia="Times New Roman" w:hAnsi="Times New Roman"/>
          <w:sz w:val="19"/>
          <w:szCs w:val="19"/>
          <w:color w:val="ED0000"/>
          <w:strike w:val="1"/>
        </w:rPr>
        <w:t>600</w:t>
      </w:r>
      <w:r>
        <w:rPr>
          <w:rFonts w:ascii="Times New Roman" w:cs="Times New Roman" w:eastAsia="Times New Roman" w:hAnsi="Times New Roman"/>
          <w:sz w:val="19"/>
          <w:szCs w:val="19"/>
          <w:color w:val="0070C0"/>
        </w:rPr>
        <w:t>Wells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Fargo Bank, National Association, Real Estate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Banking, 550</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South</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ED0000"/>
          <w:strike w:val="1"/>
        </w:rPr>
        <w:t>4</w:t>
      </w:r>
      <w:r>
        <w:rPr>
          <w:rFonts w:ascii="Times New Roman" w:cs="Times New Roman" w:eastAsia="Times New Roman" w:hAnsi="Times New Roman"/>
          <w:sz w:val="24"/>
          <w:szCs w:val="24"/>
          <w:color w:val="ED0000"/>
          <w:strike w:val="1"/>
          <w:vertAlign w:val="superscript"/>
        </w:rPr>
        <w:t>th</w:t>
      </w:r>
      <w:r>
        <w:rPr>
          <w:rFonts w:ascii="Times New Roman" w:cs="Times New Roman" w:eastAsia="Times New Roman" w:hAnsi="Times New Roman"/>
          <w:sz w:val="19"/>
          <w:szCs w:val="19"/>
          <w:u w:val="single" w:color="auto"/>
          <w:color w:val="0070C0"/>
        </w:rPr>
        <w:t>Tryon</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Street,</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ED0000"/>
          <w:strike w:val="1"/>
        </w:rPr>
        <w:t>8</w:t>
      </w:r>
      <w:r>
        <w:rPr>
          <w:rFonts w:ascii="Times New Roman" w:cs="Times New Roman" w:eastAsia="Times New Roman" w:hAnsi="Times New Roman"/>
          <w:sz w:val="24"/>
          <w:szCs w:val="24"/>
          <w:color w:val="ED0000"/>
          <w:strike w:val="1"/>
          <w:vertAlign w:val="superscript"/>
        </w:rPr>
        <w:t>th</w:t>
      </w:r>
      <w:r>
        <w:rPr>
          <w:rFonts w:ascii="Times New Roman" w:cs="Times New Roman" w:eastAsia="Times New Roman" w:hAnsi="Times New Roman"/>
          <w:sz w:val="19"/>
          <w:szCs w:val="19"/>
          <w:u w:val="single" w:color="auto"/>
          <w:color w:val="0070C0"/>
        </w:rPr>
        <w:t>22</w:t>
      </w:r>
      <w:r>
        <w:rPr>
          <w:rFonts w:ascii="Times New Roman" w:cs="Times New Roman" w:eastAsia="Times New Roman" w:hAnsi="Times New Roman"/>
          <w:sz w:val="24"/>
          <w:szCs w:val="24"/>
          <w:u w:val="single" w:color="auto"/>
          <w:color w:val="0070C0"/>
          <w:vertAlign w:val="superscript"/>
        </w:rPr>
        <w:t>nd</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Floor,</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ED0000"/>
          <w:strike w:val="1"/>
        </w:rPr>
        <w:t>Minneapolis, Minnesota 55415</w:t>
      </w:r>
      <w:r>
        <w:rPr>
          <w:rFonts w:ascii="Times New Roman" w:cs="Times New Roman" w:eastAsia="Times New Roman" w:hAnsi="Times New Roman"/>
          <w:sz w:val="19"/>
          <w:szCs w:val="19"/>
          <w:u w:val="single" w:color="auto"/>
          <w:color w:val="0070C0"/>
        </w:rPr>
        <w:t>Charlotte, NC 28202</w:t>
      </w:r>
      <w:r>
        <w:rPr>
          <w:rFonts w:ascii="Times New Roman" w:cs="Times New Roman" w:eastAsia="Times New Roman" w:hAnsi="Times New Roman"/>
          <w:sz w:val="19"/>
          <w:szCs w:val="19"/>
          <w:color w:val="000000"/>
        </w:rPr>
        <w:t>, or any other subsequent office that</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the Administrative Agent shall have specified as the Principal Office by written notice to the Borrower Representative and the Lenders.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means, with respect to a Lender, the ratio, expressed as a percentage of (a) the sum of (i) the amount of such Lender’s Revolving Commitment then in effect (or, if the Revolving Commitments have been terminated, the amount of such Lender’s Credit Exposure plus the aggregate outstanding principal amount of such Lender’s Bid Rate Loans), (ii) the outstanding principal amount of such Lender’s Term A Loan and (iii) the outstanding principal amount of such Lender’s Term B Loan to (b) the sum of (i) the aggregate amount of the Revolving Commitments then in effect (or, if the Revolving Commitments have been terminated, the aggregate amount of the Credit Exposures of all Lenders plus the aggregate outstanding principal amount of all Bid Rate Loans), (ii) the outstanding principal amount of all Term A Loans and (iii) the outstanding principal amount of all Term B Loans.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Proceeding</w:t>
      </w:r>
      <w:r>
        <w:rPr>
          <w:rFonts w:ascii="Times New Roman" w:cs="Times New Roman" w:eastAsia="Times New Roman" w:hAnsi="Times New Roman"/>
          <w:sz w:val="20"/>
          <w:szCs w:val="20"/>
          <w:color w:val="ED0000"/>
          <w:strike w:val="1"/>
        </w:rPr>
        <w:t>” has the meaning given that term in Section 12.5.(i)(viii).</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Property</w:t>
      </w:r>
      <w:r>
        <w:rPr>
          <w:rFonts w:ascii="Times New Roman" w:cs="Times New Roman" w:eastAsia="Times New Roman" w:hAnsi="Times New Roman"/>
          <w:sz w:val="20"/>
          <w:szCs w:val="20"/>
          <w:color w:val="auto"/>
        </w:rPr>
        <w:t>” means a parcel (or group of related parcels) of real property owned or leased by a Borrower, any Subsidiary or any Unconsolidated Affiliate.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QI</w:t>
      </w:r>
      <w:r>
        <w:rPr>
          <w:rFonts w:ascii="Times New Roman" w:cs="Times New Roman" w:eastAsia="Times New Roman" w:hAnsi="Times New Roman"/>
          <w:sz w:val="20"/>
          <w:szCs w:val="20"/>
          <w:color w:val="auto"/>
        </w:rPr>
        <w:t>” has the meaning given that term in the definition of 1031 Property.</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Qualified Forward Equity Contract</w:t>
      </w:r>
      <w:r>
        <w:rPr>
          <w:rFonts w:ascii="Times New Roman" w:cs="Times New Roman" w:eastAsia="Times New Roman" w:hAnsi="Times New Roman"/>
          <w:sz w:val="20"/>
          <w:szCs w:val="20"/>
          <w:u w:val="single" w:color="auto"/>
          <w:color w:val="0070C0"/>
        </w:rPr>
        <w:t xml:space="preserve">” means a forward equity contract with respect to common Equity Interests of the REIT, entered into by the REIT and a Person (other than the Borrower, its Subsidiaries or their respective Affiliates); provided that, Qualified Forward Equity Contract shall exclude each forward equity contract, if any, with respect to which any of the following apply (x) the REIT or the counterparty would not reasonably be expected (as determined in good faith by the General Partner), for any reason, to be able to fulfill its obligations thereunder prior to the Maturity Date, (y) the REIT no longer intends to issue shares sufficient to realize such proceeds or (z) the REIT does not intend to contribute the net cash proceeds received </w:t>
      </w:r>
      <w:r>
        <w:rPr>
          <w:rFonts w:ascii="Times New Roman" w:cs="Times New Roman" w:eastAsia="Times New Roman" w:hAnsi="Times New Roman"/>
          <w:sz w:val="20"/>
          <w:szCs w:val="20"/>
          <w:u w:val="single" w:color="auto"/>
          <w:color w:val="388600"/>
        </w:rPr>
        <w:t>in connection with any such</w:t>
      </w:r>
      <w:r>
        <w:rPr>
          <w:rFonts w:ascii="Times New Roman" w:cs="Times New Roman" w:eastAsia="Times New Roman" w:hAnsi="Times New Roman"/>
          <w:sz w:val="20"/>
          <w:szCs w:val="20"/>
          <w:u w:val="single" w:color="auto"/>
          <w:color w:val="0070C0"/>
        </w:rPr>
        <w:t xml:space="preserve"> forward equity contracts to the Borrower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-189865</wp:posOffset>
            </wp:positionV>
            <wp:extent cx="311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Plan</w:t>
      </w:r>
      <w:r>
        <w:rPr>
          <w:rFonts w:ascii="Times New Roman" w:cs="Times New Roman" w:eastAsia="Times New Roman" w:hAnsi="Times New Roman"/>
          <w:sz w:val="20"/>
          <w:szCs w:val="20"/>
          <w:color w:val="auto"/>
        </w:rPr>
        <w:t>” means a Benefit Arrangement that is intended to be tax-qualified under Section 401(a) of the Internal Revenue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Rated Borrower</w:t>
      </w:r>
      <w:r>
        <w:rPr>
          <w:rFonts w:ascii="Times New Roman" w:cs="Times New Roman" w:eastAsia="Times New Roman" w:hAnsi="Times New Roman"/>
          <w:sz w:val="20"/>
          <w:szCs w:val="20"/>
          <w:color w:val="auto"/>
        </w:rPr>
        <w:t>” has the meaning given that term in the definition of the term “Applicable Margin”.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Rating Agency</w:t>
      </w:r>
      <w:r>
        <w:rPr>
          <w:rFonts w:ascii="Times New Roman" w:cs="Times New Roman" w:eastAsia="Times New Roman" w:hAnsi="Times New Roman"/>
          <w:sz w:val="20"/>
          <w:szCs w:val="20"/>
          <w:color w:val="auto"/>
        </w:rPr>
        <w:t>” means S&amp;P, Moody’s or Fitch.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means (a) the Administrative Agent, (b) any Lender or (c) any Issuing Bank, as applicable.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Reference Year</w:t>
      </w:r>
      <w:r>
        <w:rPr>
          <w:rFonts w:ascii="Times New Roman" w:cs="Times New Roman" w:eastAsia="Times New Roman" w:hAnsi="Times New Roman"/>
          <w:sz w:val="20"/>
          <w:szCs w:val="20"/>
          <w:color w:val="ED0000"/>
          <w:strike w:val="1"/>
        </w:rPr>
        <w:t>” has the meaning given that term in the definition of “Applicable Sustainability Adjustment”.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has the meaning given that term in Section 12.5.(c).</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Change</w:t>
      </w:r>
      <w:r>
        <w:rPr>
          <w:rFonts w:ascii="Times New Roman" w:cs="Times New Roman" w:eastAsia="Times New Roman" w:hAnsi="Times New Roman"/>
          <w:sz w:val="20"/>
          <w:szCs w:val="20"/>
          <w:color w:val="auto"/>
        </w:rPr>
        <w:t xml:space="preserve">” means, with respect to any Lender, any change effective after the </w:t>
      </w:r>
      <w:r>
        <w:rPr>
          <w:rFonts w:ascii="Times New Roman" w:cs="Times New Roman" w:eastAsia="Times New Roman" w:hAnsi="Times New Roman"/>
          <w:sz w:val="20"/>
          <w:szCs w:val="20"/>
          <w:color w:val="ED0000"/>
          <w:strike w:val="1"/>
        </w:rPr>
        <w:t>Agreement</w:t>
      </w:r>
      <w:r>
        <w:rPr>
          <w:rFonts w:ascii="Times New Roman" w:cs="Times New Roman" w:eastAsia="Times New Roman" w:hAnsi="Times New Roman"/>
          <w:sz w:val="20"/>
          <w:szCs w:val="20"/>
          <w:u w:val="single" w:color="auto"/>
          <w:color w:val="0070C0"/>
        </w:rPr>
        <w:t>First Amendment</w:t>
      </w:r>
      <w:r>
        <w:rPr>
          <w:rFonts w:ascii="Times New Roman" w:cs="Times New Roman" w:eastAsia="Times New Roman" w:hAnsi="Times New Roman"/>
          <w:sz w:val="20"/>
          <w:szCs w:val="20"/>
          <w:color w:val="auto"/>
        </w:rPr>
        <w:t xml:space="preserve"> Date in Applicable Law (including without limitation, Regulation 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- 33 -</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 Notwithstanding anything herein to the contrary: (a) 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“Regulatory Change”, regardless of the date enacted, adopted or issued.</w:t>
      </w:r>
    </w:p>
    <w:p>
      <w:pPr>
        <w:spacing w:after="0" w:line="17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Obligation</w:t>
      </w:r>
      <w:r>
        <w:rPr>
          <w:rFonts w:ascii="Times New Roman" w:cs="Times New Roman" w:eastAsia="Times New Roman" w:hAnsi="Times New Roman"/>
          <w:sz w:val="20"/>
          <w:szCs w:val="20"/>
          <w:color w:val="auto"/>
        </w:rPr>
        <w:t>” means the absolute, unconditional and irrevocable obligation of the Borrowers to reimburse an Issuing Bank for any drawing honored by such Issuing Bank under a Letter of Credit.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REIT</w:t>
      </w:r>
      <w:r>
        <w:rPr>
          <w:rFonts w:ascii="Times New Roman" w:cs="Times New Roman" w:eastAsia="Times New Roman" w:hAnsi="Times New Roman"/>
          <w:sz w:val="20"/>
          <w:szCs w:val="20"/>
          <w:color w:val="auto"/>
        </w:rPr>
        <w:t>” means a Person qualifying for treatment as a “real estate investment trust” under the Internal Revenue Code.</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means, with respect to any Person, such Person’s Affiliates and the partners, shareholders, directors, officers, employees, agents, counsel, other advisors and representatives of such Person and of such Person’s Affiliates.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FRB or the Federal Reserve Bank of New York, or a committee officially endorsed or convened by the FRB or the Federal Reserve Bank of New York, or any successor thereto.</w:t>
      </w:r>
    </w:p>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Requisite Lenders</w:t>
      </w:r>
      <w:r>
        <w:rPr>
          <w:rFonts w:ascii="Times New Roman" w:cs="Times New Roman" w:eastAsia="Times New Roman" w:hAnsi="Times New Roman"/>
          <w:sz w:val="19"/>
          <w:szCs w:val="19"/>
          <w:color w:val="auto"/>
        </w:rPr>
        <w:t xml:space="preserve">” means, as of any date, Lenders having more than 50.0% of (i) the aggregate amount of the Revolving Commitments then in effect (or, if the Revolving Commitments have been terminated, the aggregate amount of the Credit Exposures of all Lenders plus the aggregate outstanding principal amount of all Bid Rate Loans), (ii) the outstanding principal amount of all Term A Loans and (iii) the outstanding principal amount of all Term B Loans; provided that (x) in determining such percentage at any given time, all then existing Defaulting Lenders will be disregarded and excluded, and (y) at all times when two or more Lenders (excluding Defaulting Lenders) are party to this Agreement, the term “Requisite Lenders” shall in no event mean less than two Lenders. For purposes of this definition, a Revolving Lender shall be deemed to hold </w:t>
      </w:r>
      <w:r>
        <w:rPr>
          <w:rFonts w:ascii="Times New Roman" w:cs="Times New Roman" w:eastAsia="Times New Roman" w:hAnsi="Times New Roman"/>
          <w:sz w:val="19"/>
          <w:szCs w:val="19"/>
          <w:color w:val="ED0000"/>
          <w:strike w:val="1"/>
        </w:rPr>
        <w:t>a Swingline Loan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4"/>
          <w:szCs w:val="24"/>
          <w:u w:val="single" w:color="auto"/>
          <w:color w:val="0070C0"/>
          <w:vertAlign w:val="superscript"/>
        </w:rPr>
        <w:t>1</w:t>
      </w:r>
      <w:r>
        <w:rPr>
          <w:rFonts w:ascii="Times New Roman" w:cs="Times New Roman" w:eastAsia="Times New Roman" w:hAnsi="Times New Roman"/>
          <w:sz w:val="19"/>
          <w:szCs w:val="19"/>
          <w:color w:val="auto"/>
        </w:rPr>
        <w:t xml:space="preserve"> a Letter of Credit Liability to the extent such Lender has acquired a participation therein under the terms of this Agreement and has not failed to perform its obligations in respect of such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-194310</wp:posOffset>
            </wp:positionV>
            <wp:extent cx="482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4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Requisite Revolving Lenders</w:t>
      </w:r>
      <w:r>
        <w:rPr>
          <w:rFonts w:ascii="Times New Roman" w:cs="Times New Roman" w:eastAsia="Times New Roman" w:hAnsi="Times New Roman"/>
          <w:sz w:val="20"/>
          <w:szCs w:val="20"/>
          <w:color w:val="auto"/>
        </w:rPr>
        <w:t>” means, as of any date, (a) Revolving Lenders having more than 50.0% of the aggregate amount of the Revolving Commitments of all Revolving Lenders, or (b) if Revolving Commitments have been terminated or reduced to zero, the Revolving Lenders holding more than 50.0% of the principal amount of the aggregate outstanding Revolving Loans</w:t>
      </w: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and</w:t>
      </w:r>
      <w:r>
        <w:rPr>
          <w:rFonts w:ascii="Times New Roman" w:cs="Times New Roman" w:eastAsia="Times New Roman" w:hAnsi="Times New Roman"/>
          <w:sz w:val="20"/>
          <w:szCs w:val="20"/>
          <w:color w:val="auto"/>
        </w:rPr>
        <w:t xml:space="preserve"> Bid Rate Loans </w:t>
      </w:r>
      <w:r>
        <w:rPr>
          <w:rFonts w:ascii="Times New Roman" w:cs="Times New Roman" w:eastAsia="Times New Roman" w:hAnsi="Times New Roman"/>
          <w:sz w:val="20"/>
          <w:szCs w:val="20"/>
          <w:color w:val="ED0000"/>
          <w:strike w:val="1"/>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Swingline Loans</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and Letter of Credit Liabilities; provided that (i) in determining such percentage at any given time, all then existing</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Defaulting Lenders will be disregarded and excluded, and (ii) at all times when two or more Revolving Lenders (excluding Defaulting Lenders) are party to this Agreement, the term “Requisite Revolving Lenders” shall in no event mean less than two Revolving Lenders.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6459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6" w:lineRule="exact"/>
        <w:rPr>
          <w:sz w:val="20"/>
          <w:szCs w:val="20"/>
          <w:color w:val="auto"/>
        </w:rPr>
      </w:pPr>
    </w:p>
    <w:p>
      <w:pPr>
        <w:ind w:left="340" w:right="20" w:hanging="332"/>
        <w:spacing w:after="0" w:line="231" w:lineRule="auto"/>
        <w:tabs>
          <w:tab w:leader="none" w:pos="281" w:val="left"/>
        </w:tabs>
        <w:numPr>
          <w:ilvl w:val="0"/>
          <w:numId w:val="2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u w:val="single" w:color="auto"/>
          <w:color w:val="0070C0"/>
        </w:rPr>
        <w:t>NTD: The deletion of the reference to Swingline Loan in the First Amendment is a technical amendment deemed to have been effected under Section 12.6(d) hereof.</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9" w:lineRule="exact"/>
        <w:rPr>
          <w:rFonts w:ascii="Times New Roman" w:cs="Times New Roman" w:eastAsia="Times New Roman" w:hAnsi="Times New Roman"/>
          <w:sz w:val="23"/>
          <w:szCs w:val="23"/>
          <w:color w:val="auto"/>
          <w:vertAlign w:val="superscript"/>
        </w:rPr>
      </w:pPr>
    </w:p>
    <w:p>
      <w:pPr>
        <w:ind w:left="320" w:hanging="114"/>
        <w:spacing w:after="0"/>
        <w:tabs>
          <w:tab w:leader="none" w:pos="320"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34 -</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purposes of this definition, a Revolving Lender (other than </w:t>
      </w:r>
      <w:r>
        <w:rPr>
          <w:rFonts w:ascii="Times New Roman" w:cs="Times New Roman" w:eastAsia="Times New Roman" w:hAnsi="Times New Roman"/>
          <w:sz w:val="20"/>
          <w:szCs w:val="20"/>
          <w:color w:val="ED0000"/>
          <w:strike w:val="1"/>
        </w:rPr>
        <w:t>a Swingline Lender, in its capacity as such) shall be deemed to hold a 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Loan and a Revolving Lender (other than</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an Issuing Bank, in its capacity as such) shall be deemed to hold a Letter of Credit Liability</w:t>
      </w:r>
      <w:r>
        <w:rPr>
          <w:rFonts w:ascii="Times New Roman" w:cs="Times New Roman" w:eastAsia="Times New Roman" w:hAnsi="Times New Roman"/>
          <w:sz w:val="20"/>
          <w:szCs w:val="20"/>
          <w:color w:val="ED0000"/>
          <w:strike w:val="1"/>
        </w:rPr>
        <w:t>, in each</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ED0000"/>
          <w:strike w:val="1"/>
        </w:rPr>
        <w:t>case,</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to the extent such Revolving Lender has acquired a participation therein under the terms of this Agreement and has not failed to</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perform its obligations in respect of such participation.</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Requisite Term A Loan Lenders</w:t>
      </w:r>
      <w:r>
        <w:rPr>
          <w:rFonts w:ascii="Times New Roman" w:cs="Times New Roman" w:eastAsia="Times New Roman" w:hAnsi="Times New Roman"/>
          <w:sz w:val="20"/>
          <w:szCs w:val="20"/>
          <w:color w:val="auto"/>
        </w:rPr>
        <w:t>” means, as of any date, Term A Loan Lenders holding more than 50.0% of the aggregate amount of the principal amount of the aggregate outstanding Term A Loans; provided that (i) in determining such percentage at any given time, all then existing Defaulting Lenders will be disregarded and excluded, and (ii) at all times when two or more Term A Loan Lenders (excluding Defaulting Lenders) are party to this Agreement, the term “Requisite Term A Loan Lenders” shall in no event mean less than two Term A Loan Lenders.</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Requisite Term B Loan Lenders</w:t>
      </w:r>
      <w:r>
        <w:rPr>
          <w:rFonts w:ascii="Times New Roman" w:cs="Times New Roman" w:eastAsia="Times New Roman" w:hAnsi="Times New Roman"/>
          <w:sz w:val="20"/>
          <w:szCs w:val="20"/>
          <w:color w:val="auto"/>
        </w:rPr>
        <w:t>” means, as of any date, Term B Loan Lenders holding more than 50.0% of the principal amount of the aggregate outstanding Term B Loans; provided that (i) in determining such percentage at any given time, all then existing Defaulting Lenders will be disregarded and excluded, and (ii) at all times when two or more Term B Loan Lenders (excluding Defaulting Lenders) are party to this Agreement, the term “Requisite Term B Loan Lenders” shall in no event mean less than two Term B Loan Lenders.</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Indebtedness</w:t>
      </w:r>
      <w:r>
        <w:rPr>
          <w:rFonts w:ascii="Times New Roman" w:cs="Times New Roman" w:eastAsia="Times New Roman" w:hAnsi="Times New Roman"/>
          <w:sz w:val="20"/>
          <w:szCs w:val="20"/>
          <w:color w:val="auto"/>
        </w:rPr>
        <w:t>” means Indebtedness of the type described in clause (a), (b), (c) or (f) of the definition thereof or of the type described in clause (i) or (j) of the definition thereof entered into with respect to Indebtedness of the type described in clauses (a), (b),</w:t>
      </w:r>
    </w:p>
    <w:p>
      <w:pPr>
        <w:spacing w:after="0"/>
        <w:rPr>
          <w:sz w:val="20"/>
          <w:szCs w:val="20"/>
          <w:color w:val="auto"/>
        </w:rPr>
      </w:pPr>
      <w:r>
        <w:rPr>
          <w:rFonts w:ascii="Times New Roman" w:cs="Times New Roman" w:eastAsia="Times New Roman" w:hAnsi="Times New Roman"/>
          <w:sz w:val="20"/>
          <w:szCs w:val="20"/>
          <w:color w:val="auto"/>
        </w:rPr>
        <w:t>(c) or (f) of the definition thereof (other than Nonrecourse Indebtedness and Indebtedness of a Subsidiary owing to a Borrower).</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means with respect to any Loan Party, the chairman, the chief executive officer, the chief operating officer, the chief financial officer, the treasurer, the general counsel, any executive vice president and any senior vice president of such Loan Party, and with respect to any Subsidiary (other than a Loan Party), the chief executive officer, the chief operating officer and the chief financial officer.</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w:t>
      </w:r>
      <w:r>
        <w:rPr>
          <w:rFonts w:ascii="Times New Roman" w:cs="Times New Roman" w:eastAsia="Times New Roman" w:hAnsi="Times New Roman"/>
          <w:sz w:val="20"/>
          <w:szCs w:val="20"/>
          <w:color w:val="auto"/>
        </w:rPr>
        <w:t>” means (a) any dividend or other distribution, direct or indirect, on account of any Equity Interest of the Parent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Parent or any of its Subsidiaries now or hereafter outstanding; and (c) any payment made to retire, or to obtain the surrender of, any outstanding warrants, options or other rights to acquire any Equity Interests of the Parent or any of its Subsidiaries now or hereafter outstanding.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Retired Loans</w:t>
      </w:r>
      <w:r>
        <w:rPr>
          <w:rFonts w:ascii="Times New Roman" w:cs="Times New Roman" w:eastAsia="Times New Roman" w:hAnsi="Times New Roman"/>
          <w:sz w:val="20"/>
          <w:szCs w:val="20"/>
          <w:color w:val="ED0000"/>
          <w:strike w:val="1"/>
        </w:rPr>
        <w:t>” has the meaning given that term in Section 12.5.(i)(ii).</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Retirement Date Commitment Percentages</w:t>
      </w:r>
      <w:r>
        <w:rPr>
          <w:rFonts w:ascii="Times New Roman" w:cs="Times New Roman" w:eastAsia="Times New Roman" w:hAnsi="Times New Roman"/>
          <w:sz w:val="20"/>
          <w:szCs w:val="20"/>
          <w:color w:val="ED0000"/>
          <w:strike w:val="1"/>
        </w:rPr>
        <w:t>” has the meaning given that term in Section 12.5.(i)(ii)(3).</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w:t>
      </w:r>
      <w:r>
        <w:rPr>
          <w:rFonts w:ascii="Times New Roman" w:cs="Times New Roman" w:eastAsia="Times New Roman" w:hAnsi="Times New Roman"/>
          <w:sz w:val="20"/>
          <w:szCs w:val="20"/>
          <w:color w:val="auto"/>
        </w:rPr>
        <w:t>” means, as to each Revolving Lender, such Revolving Lender’s obligation to make Revolving Loans pursuant to Section 2.1.</w:t>
      </w: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and</w:t>
      </w:r>
      <w:r>
        <w:rPr>
          <w:rFonts w:ascii="Times New Roman" w:cs="Times New Roman" w:eastAsia="Times New Roman" w:hAnsi="Times New Roman"/>
          <w:sz w:val="20"/>
          <w:szCs w:val="20"/>
          <w:color w:val="auto"/>
        </w:rPr>
        <w:t xml:space="preserve"> to issue (in the case of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- 35 -</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to participate (in the case of the other Lenders) in Letters of Credit pursuant to Section 2.4.(i</w:t>
      </w:r>
      <w:r>
        <w:rPr>
          <w:rFonts w:ascii="Times New Roman" w:cs="Times New Roman" w:eastAsia="Times New Roman" w:hAnsi="Times New Roman"/>
          <w:sz w:val="20"/>
          <w:szCs w:val="20"/>
          <w:color w:val="ED0000"/>
          <w:strike w:val="1"/>
        </w:rPr>
        <w:t>), and, in the case of Revolving Lenders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other than a Revolving Lender then acting as a Swingline Lender, to participate in Swingline Loans pursuant to Section 2.5.(e</w:t>
      </w:r>
      <w:r>
        <w:rPr>
          <w:rFonts w:ascii="Times New Roman" w:cs="Times New Roman" w:eastAsia="Times New Roman" w:hAnsi="Times New Roman"/>
          <w:sz w:val="20"/>
          <w:szCs w:val="20"/>
          <w:color w:val="000000"/>
        </w:rPr>
        <w:t>), in an amount</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up to, but not exceeding the amount set forth for such Lender on Schedule I as such Lender’s “Revolving Commitment Amount” or as set forth in any applicable Assignment and Assumption, or agreement executed by a Revolving Lender becoming a party hereto in accordance with Section 2.19., as the same may be reduced from time to time pursuant to Section 2.13. or increased or reduced as appropriate to reflect any assignments to or by such Revolving Lender effected in accordance with Section 12.5. or increased as appropriate to reflect any increase effected in accordance with Section 2.19.</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 Percentage</w:t>
      </w:r>
      <w:r>
        <w:rPr>
          <w:rFonts w:ascii="Times New Roman" w:cs="Times New Roman" w:eastAsia="Times New Roman" w:hAnsi="Times New Roman"/>
          <w:sz w:val="20"/>
          <w:szCs w:val="20"/>
          <w:color w:val="auto"/>
        </w:rPr>
        <w:t>” means, as to each Revolving Lender, the ratio, expressed as a percentage, of (a) the amount of such Revolving Lender’s Revolving Commitment to (b) the aggregate amount of the Revolving Commitments of all Revolving Lenders; provided, however, that if at the time of determination the Revolving Commitments have been terminated or been reduced to zero, the “Revolving Commitment Percentage” of each Revolving Lender shall be the “Revolving Commitment Percentage” of such Revolving Lender in effect immediately prior to such termination or reduction.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 Reduction Notice</w:t>
      </w:r>
      <w:r>
        <w:rPr>
          <w:rFonts w:ascii="Times New Roman" w:cs="Times New Roman" w:eastAsia="Times New Roman" w:hAnsi="Times New Roman"/>
          <w:sz w:val="20"/>
          <w:szCs w:val="20"/>
          <w:color w:val="auto"/>
        </w:rPr>
        <w:t>” has the meaning given that term in Section 2.13.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Facility</w:t>
      </w:r>
      <w:r>
        <w:rPr>
          <w:rFonts w:ascii="Times New Roman" w:cs="Times New Roman" w:eastAsia="Times New Roman" w:hAnsi="Times New Roman"/>
          <w:sz w:val="20"/>
          <w:szCs w:val="20"/>
          <w:color w:val="auto"/>
        </w:rPr>
        <w:t>” means, at any time, the aggregate amount of the Revolving Lenders’ Revolving Commitments at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means a Lender having a Revolving Commitment, or if the Revolving Commitments have terminated, holding any Revolving Loans.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w:t>
      </w:r>
      <w:r>
        <w:rPr>
          <w:rFonts w:ascii="Times New Roman" w:cs="Times New Roman" w:eastAsia="Times New Roman" w:hAnsi="Times New Roman"/>
          <w:sz w:val="20"/>
          <w:szCs w:val="20"/>
          <w:color w:val="auto"/>
        </w:rPr>
        <w:t>” means a loan made by a Revolving Lender to a Borrower pursuant to Section 2.1.(a).</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Note</w:t>
      </w:r>
      <w:r>
        <w:rPr>
          <w:rFonts w:ascii="Times New Roman" w:cs="Times New Roman" w:eastAsia="Times New Roman" w:hAnsi="Times New Roman"/>
          <w:sz w:val="20"/>
          <w:szCs w:val="20"/>
          <w:color w:val="auto"/>
        </w:rPr>
        <w:t>” means a promissory note of the Borrowers substantially in the form of Exhibit H, payable to a Revolving Lender or its registered assignees in a principal amount equal to the amount of such Revolving Lender’s Commitment.</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Termination Date</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ED0000"/>
          <w:strike w:val="1"/>
        </w:rPr>
        <w:t>May 15</w:t>
      </w:r>
      <w:r>
        <w:rPr>
          <w:rFonts w:ascii="Times New Roman" w:cs="Times New Roman" w:eastAsia="Times New Roman" w:hAnsi="Times New Roman"/>
          <w:sz w:val="20"/>
          <w:szCs w:val="20"/>
          <w:u w:val="single" w:color="auto"/>
          <w:color w:val="0070C0"/>
        </w:rPr>
        <w:t>June 30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2026</w:t>
      </w:r>
      <w:r>
        <w:rPr>
          <w:rFonts w:ascii="Times New Roman" w:cs="Times New Roman" w:eastAsia="Times New Roman" w:hAnsi="Times New Roman"/>
          <w:sz w:val="20"/>
          <w:szCs w:val="20"/>
          <w:u w:val="single" w:color="auto"/>
          <w:color w:val="0070C0"/>
        </w:rPr>
        <w:t>2030</w:t>
      </w:r>
      <w:r>
        <w:rPr>
          <w:rFonts w:ascii="Times New Roman" w:cs="Times New Roman" w:eastAsia="Times New Roman" w:hAnsi="Times New Roman"/>
          <w:sz w:val="20"/>
          <w:szCs w:val="20"/>
          <w:color w:val="auto"/>
        </w:rPr>
        <w:t>, or such later date to which the Revolving Termination Date may be extended pursuant to Section 2.14.</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means, at any time, a country, territory or region which is, or whose government is, the subject or target of any Sanctions.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xml:space="preserve">” means, at any time, (a) any Person listed in any Sanctions-related list of designated Persons maintained by any Governmental Authority of the United States of America, including without limitation, OFAC or the U.S. Department of State, or by the United Nations Security Council, </w:t>
      </w:r>
      <w:r>
        <w:rPr>
          <w:rFonts w:ascii="Times New Roman" w:cs="Times New Roman" w:eastAsia="Times New Roman" w:hAnsi="Times New Roman"/>
          <w:sz w:val="20"/>
          <w:szCs w:val="20"/>
          <w:color w:val="ED0000"/>
          <w:strike w:val="1"/>
        </w:rPr>
        <w:t>Her</w:t>
      </w:r>
      <w:r>
        <w:rPr>
          <w:rFonts w:ascii="Times New Roman" w:cs="Times New Roman" w:eastAsia="Times New Roman" w:hAnsi="Times New Roman"/>
          <w:sz w:val="20"/>
          <w:szCs w:val="20"/>
          <w:u w:val="single" w:color="auto"/>
          <w:color w:val="0070C0"/>
        </w:rPr>
        <w:t>His</w:t>
      </w:r>
      <w:r>
        <w:rPr>
          <w:rFonts w:ascii="Times New Roman" w:cs="Times New Roman" w:eastAsia="Times New Roman" w:hAnsi="Times New Roman"/>
          <w:sz w:val="20"/>
          <w:szCs w:val="20"/>
          <w:color w:val="auto"/>
        </w:rPr>
        <w:t xml:space="preserve"> Majesty’s Treasury, the European Union or any other Governmental Authority, (b) any Person located, operating, organized or resident in a Sanctioned Country, (c) an agency of the government of a Sanctioned Country or (d) any Person Controlled by any Person or agency described in any of the preceding clauses (a) through (c).</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xml:space="preserve">” means any sanctions or trade embargoes imposed, administered or enforced by any Governmental Authority of the United States of America, including without limitation, OFAC or the U.S. Department of State, or by the United Nations Security Council, </w:t>
      </w:r>
      <w:r>
        <w:rPr>
          <w:rFonts w:ascii="Times New Roman" w:cs="Times New Roman" w:eastAsia="Times New Roman" w:hAnsi="Times New Roman"/>
          <w:sz w:val="20"/>
          <w:szCs w:val="20"/>
          <w:color w:val="ED0000"/>
          <w:strike w:val="1"/>
        </w:rPr>
        <w:t>Her</w:t>
      </w:r>
      <w:r>
        <w:rPr>
          <w:rFonts w:ascii="Times New Roman" w:cs="Times New Roman" w:eastAsia="Times New Roman" w:hAnsi="Times New Roman"/>
          <w:sz w:val="20"/>
          <w:szCs w:val="20"/>
          <w:u w:val="single" w:color="auto"/>
          <w:color w:val="0070C0"/>
        </w:rPr>
        <w:t>His</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Majesty’s Treasury, the European Union or any other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- 36 -</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Indebtedness</w:t>
      </w:r>
      <w:r>
        <w:rPr>
          <w:rFonts w:ascii="Times New Roman" w:cs="Times New Roman" w:eastAsia="Times New Roman" w:hAnsi="Times New Roman"/>
          <w:sz w:val="20"/>
          <w:szCs w:val="20"/>
          <w:color w:val="auto"/>
        </w:rPr>
        <w:t>” means, with respect to a Person as of a given date, the aggregate principal amount of all Indebtedness of such Person outstanding on such date that is secured in any manner by any Lien on any property, including any Nonrecourse Indebtedness of such Person that is secured only by a pledge of Equity Interests, but excluding, for the avoidance of doubt, the Obligations.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together with all rules and regulations issued thereunder.</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SEV Operator</w:t>
      </w:r>
      <w:r>
        <w:rPr>
          <w:rFonts w:ascii="Times New Roman" w:cs="Times New Roman" w:eastAsia="Times New Roman" w:hAnsi="Times New Roman"/>
          <w:sz w:val="20"/>
          <w:szCs w:val="20"/>
          <w:u w:val="single" w:color="auto"/>
          <w:color w:val="0070C0"/>
        </w:rPr>
        <w:t>” means Summit Entertainment Venture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388600"/>
        </w:rPr>
        <w:t>LLC, a Delaware limited liability company</w:t>
      </w:r>
      <w:r>
        <w:rPr>
          <w:rFonts w:ascii="Times New Roman" w:cs="Times New Roman" w:eastAsia="Times New Roman" w:hAnsi="Times New Roman"/>
          <w:sz w:val="20"/>
          <w:szCs w:val="20"/>
          <w:color w:val="0070C0"/>
        </w:rPr>
        <w:t xml:space="preserve"> and its direct and indirect </w:t>
      </w:r>
      <w:r>
        <w:rPr>
          <w:rFonts w:ascii="Times New Roman" w:cs="Times New Roman" w:eastAsia="Times New Roman" w:hAnsi="Times New Roman"/>
          <w:sz w:val="20"/>
          <w:szCs w:val="20"/>
          <w:u w:val="single" w:color="auto"/>
          <w:color w:val="0070C0"/>
        </w:rPr>
        <w:t>Subsidiaries so long as Summit Entertainment Venture LLC and/or such Subsidiaries are (i) Subsidiaries of the Parent and (ii) own SEV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5702935</wp:posOffset>
            </wp:positionH>
            <wp:positionV relativeFrom="paragraph">
              <wp:posOffset>-354965</wp:posOffset>
            </wp:positionV>
            <wp:extent cx="14281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SEV Investments</w:t>
      </w:r>
      <w:r>
        <w:rPr>
          <w:rFonts w:ascii="Times New Roman" w:cs="Times New Roman" w:eastAsia="Times New Roman" w:hAnsi="Times New Roman"/>
          <w:sz w:val="20"/>
          <w:szCs w:val="20"/>
          <w:u w:val="single" w:color="auto"/>
          <w:color w:val="0070C0"/>
        </w:rPr>
        <w:t>” means Investments that are comprised of the ownership, management, and strategic development of immersive and experiential consumer offerings, including consulting services, food and beverage programming, and the creation of proprietary software and technology intellectual property; provided that, for purposes of calculating SEV Value included in Unencumbered Asset Value (i) such Investment shall not be subject to any Lien or Negative Pledge, (ii) if such Investment is owned by a Subsidiary, no Borrower’s direct or indirect ownership interest in such Subsidiary is subject to any Lien or Negative Pledge, (iii) a Borrower has a right, directly or indirectly through a Subsidiary, to create Liens on such Investment as security for Indebtedness of such Borrower and to sell, transfer or otherwise dispose of such Investment, without the consent of any Person and (iv) with respect to which Investment no obligor, if applicable, is more than 60 days past due on payment obligations (including any required distributions thereof) thereunder. For the avoidance of doubt, no SEV Investment shall constitute a Newly-Acquired Property, a Transition Asset, a Development Property or a “property acquired during the six fiscal quarters most recently ended” or similar terms as used in the Loan Documents.</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SEV Value</w:t>
      </w:r>
      <w:r>
        <w:rPr>
          <w:rFonts w:ascii="Times New Roman" w:cs="Times New Roman" w:eastAsia="Times New Roman" w:hAnsi="Times New Roman"/>
          <w:sz w:val="20"/>
          <w:szCs w:val="20"/>
          <w:u w:val="single" w:color="auto"/>
          <w:color w:val="0070C0"/>
        </w:rPr>
        <w:t xml:space="preserve">” means, for any date of determination, EBITDA of the SEV Operator generated from the ownership of SEV Investments for the immediately preceding </w:t>
      </w:r>
      <w:r>
        <w:rPr>
          <w:rFonts w:ascii="Times New Roman" w:cs="Times New Roman" w:eastAsia="Times New Roman" w:hAnsi="Times New Roman"/>
          <w:sz w:val="20"/>
          <w:szCs w:val="20"/>
          <w:u w:val="single" w:color="auto"/>
          <w:color w:val="388600"/>
        </w:rPr>
        <w:t>period of four consecutive fiscal quarters</w:t>
      </w:r>
      <w:r>
        <w:rPr>
          <w:rFonts w:ascii="Times New Roman" w:cs="Times New Roman" w:eastAsia="Times New Roman" w:hAnsi="Times New Roman"/>
          <w:sz w:val="20"/>
          <w:szCs w:val="20"/>
          <w:u w:val="single" w:color="auto"/>
          <w:color w:val="0070C0"/>
        </w:rPr>
        <w:t xml:space="preserve"> (excluding EBITDA contributions from SEV Investments, which the Borrower has elected to value pursuant to the proviso to this definition), divided by 10.0%; provided that, with respect to any SEV Investment that has been held by the SEV Operator less than two years prior to such date of determination, the Borrower may elect to include in the SEV Value the book value of such SEV Investment determined in accordance with GAAP (notwithstanding this proviso, once the Borrower elects to determine the value of any SEV Investment as its EBITDA contribution divided by the 10.0%, such election shall be irrevocable).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Single Asset Entity</w:t>
      </w:r>
      <w:r>
        <w:rPr>
          <w:rFonts w:ascii="Times New Roman" w:cs="Times New Roman" w:eastAsia="Times New Roman" w:hAnsi="Times New Roman"/>
          <w:sz w:val="20"/>
          <w:szCs w:val="20"/>
          <w:color w:val="auto"/>
        </w:rPr>
        <w:t>” means a Person (other than an individual) that (a) only owns either (x) a single Property or (y) Structured Finance Investments, and in either case, cash and other assets of nominal value incidental to such Person’s ownership of such Property or such Structured Finance Investments, as the case may be; (b) is engaged only in the business of owning, developing and/or leasing such Property or owning and/or servicing such Structured Finance Investment, as the case may be; and (c) receives substantially all of its gross revenues from such Property or Structured Finance Investments, as the case may be. In addition, if the assets of a Person consist solely of (i) Equity Interests in one or more other Single Asset Entities owning Properties and not Structured Finance Investments and (ii) cash and other assets of nominal value incidental to such Person’s ownership of the other Single Asset Entities, such Person shall also be deemed to be a Single Asset Entity for purposes of this Agreement (such an entity, a “Single Asset Holding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- 37 -</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Single Asset Holding Company</w:t>
      </w:r>
      <w:r>
        <w:rPr>
          <w:rFonts w:ascii="Times New Roman" w:cs="Times New Roman" w:eastAsia="Times New Roman" w:hAnsi="Times New Roman"/>
          <w:sz w:val="20"/>
          <w:szCs w:val="20"/>
          <w:color w:val="auto"/>
        </w:rPr>
        <w:t>” has the meaning given that term in the definition of Single Asset Entity.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SLGOP</w:t>
      </w:r>
      <w:r>
        <w:rPr>
          <w:rFonts w:ascii="Times New Roman" w:cs="Times New Roman" w:eastAsia="Times New Roman" w:hAnsi="Times New Roman"/>
          <w:sz w:val="19"/>
          <w:szCs w:val="19"/>
          <w:color w:val="auto"/>
        </w:rPr>
        <w:t>” has the meaning given that term in the introductory paragraph hereof and shall include SLGOP’s successors and permitted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SL Green Funding</w:t>
      </w:r>
      <w:r>
        <w:rPr>
          <w:rFonts w:ascii="Times New Roman" w:cs="Times New Roman" w:eastAsia="Times New Roman" w:hAnsi="Times New Roman"/>
          <w:sz w:val="20"/>
          <w:szCs w:val="20"/>
          <w:color w:val="auto"/>
        </w:rPr>
        <w:t>” means SL Green Funding LLC, a New York limited liability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Auction</w:t>
      </w:r>
      <w:r>
        <w:rPr>
          <w:rFonts w:ascii="Times New Roman" w:cs="Times New Roman" w:eastAsia="Times New Roman" w:hAnsi="Times New Roman"/>
          <w:sz w:val="20"/>
          <w:szCs w:val="20"/>
          <w:color w:val="auto"/>
        </w:rPr>
        <w:t>” means a solicitation of Bid Rate Quotes setting forth SOFR Margin Loans pursuant to Section 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Determination Day</w:t>
      </w:r>
      <w:r>
        <w:rPr>
          <w:rFonts w:ascii="Times New Roman" w:cs="Times New Roman" w:eastAsia="Times New Roman" w:hAnsi="Times New Roman"/>
          <w:sz w:val="20"/>
          <w:szCs w:val="20"/>
          <w:color w:val="auto"/>
        </w:rPr>
        <w:t>” has the meaning specified in the definition of “Daily Simple SOFR”.</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xml:space="preserve">” means a </w:t>
      </w:r>
      <w:r>
        <w:rPr>
          <w:rFonts w:ascii="Times New Roman" w:cs="Times New Roman" w:eastAsia="Times New Roman" w:hAnsi="Times New Roman"/>
          <w:sz w:val="20"/>
          <w:szCs w:val="20"/>
          <w:color w:val="ED0000"/>
          <w:strike w:val="1"/>
        </w:rPr>
        <w:t>Revolving Loan or Term Loan (or any portion thereof) (other than a Base Rate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388600"/>
          <w:strike w:val="1"/>
        </w:rPr>
        <w:t>bearing interest at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388600"/>
          <w:strike w:val="1"/>
        </w:rPr>
        <w:t>rate based on</w:t>
      </w:r>
      <w:r>
        <w:rPr>
          <w:rFonts w:ascii="Times New Roman" w:cs="Times New Roman" w:eastAsia="Times New Roman" w:hAnsi="Times New Roman"/>
          <w:sz w:val="20"/>
          <w:szCs w:val="20"/>
          <w:color w:val="388600"/>
        </w:rPr>
        <w:t xml:space="preserve"> </w:t>
      </w:r>
      <w:r>
        <w:rPr>
          <w:rFonts w:ascii="Times New Roman" w:cs="Times New Roman" w:eastAsia="Times New Roman" w:hAnsi="Times New Roman"/>
          <w:sz w:val="20"/>
          <w:szCs w:val="20"/>
          <w:color w:val="ED0000"/>
          <w:strike w:val="1"/>
        </w:rPr>
        <w:t>Adjusted</w:t>
      </w:r>
      <w:r>
        <w:rPr>
          <w:rFonts w:ascii="Times New Roman" w:cs="Times New Roman" w:eastAsia="Times New Roman" w:hAnsi="Times New Roman"/>
          <w:sz w:val="20"/>
          <w:szCs w:val="20"/>
          <w:u w:val="single" w:color="auto"/>
          <w:color w:val="0070C0"/>
        </w:rPr>
        <w:t>Daily Simple SOFR Loan or a</w:t>
      </w:r>
      <w:r>
        <w:rPr>
          <w:rFonts w:ascii="Times New Roman" w:cs="Times New Roman" w:eastAsia="Times New Roman" w:hAnsi="Times New Roman"/>
          <w:sz w:val="20"/>
          <w:szCs w:val="20"/>
          <w:color w:val="388600"/>
        </w:rPr>
        <w:t xml:space="preserve"> </w:t>
      </w:r>
      <w:r>
        <w:rPr>
          <w:rFonts w:ascii="Times New Roman" w:cs="Times New Roman" w:eastAsia="Times New Roman" w:hAnsi="Times New Roman"/>
          <w:sz w:val="20"/>
          <w:szCs w:val="20"/>
          <w:color w:val="000000"/>
        </w:rPr>
        <w:t>Term SOFR</w:t>
      </w:r>
      <w:r>
        <w:rPr>
          <w:rFonts w:ascii="Times New Roman" w:cs="Times New Roman" w:eastAsia="Times New Roman" w:hAnsi="Times New Roman"/>
          <w:sz w:val="20"/>
          <w:szCs w:val="20"/>
          <w:color w:val="388600"/>
        </w:rPr>
        <w:t xml:space="preserve"> </w:t>
      </w:r>
      <w:r>
        <w:rPr>
          <w:rFonts w:ascii="Times New Roman" w:cs="Times New Roman" w:eastAsia="Times New Roman" w:hAnsi="Times New Roman"/>
          <w:sz w:val="20"/>
          <w:szCs w:val="20"/>
          <w:u w:val="single" w:color="auto"/>
          <w:color w:val="0070C0"/>
        </w:rPr>
        <w:t>Loan</w:t>
      </w:r>
      <w:r>
        <w:rPr>
          <w:rFonts w:ascii="Times New Roman" w:cs="Times New Roman" w:eastAsia="Times New Roman" w:hAnsi="Times New Roman"/>
          <w:sz w:val="20"/>
          <w:szCs w:val="20"/>
          <w:color w:val="000000"/>
        </w:rPr>
        <w: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Margin</w:t>
      </w:r>
      <w:r>
        <w:rPr>
          <w:rFonts w:ascii="Times New Roman" w:cs="Times New Roman" w:eastAsia="Times New Roman" w:hAnsi="Times New Roman"/>
          <w:sz w:val="20"/>
          <w:szCs w:val="20"/>
          <w:color w:val="auto"/>
        </w:rPr>
        <w:t>” has the meaning given that term in Section 2.3.(c)(ii)(D).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Margin Loan</w:t>
      </w:r>
      <w:r>
        <w:rPr>
          <w:rFonts w:ascii="Times New Roman" w:cs="Times New Roman" w:eastAsia="Times New Roman" w:hAnsi="Times New Roman"/>
          <w:sz w:val="20"/>
          <w:szCs w:val="20"/>
          <w:color w:val="auto"/>
        </w:rPr>
        <w:t xml:space="preserve">” means a Bid Rate Loan the interest rate on which is determined on the basis of </w:t>
      </w:r>
      <w:r>
        <w:rPr>
          <w:rFonts w:ascii="Times New Roman" w:cs="Times New Roman" w:eastAsia="Times New Roman" w:hAnsi="Times New Roman"/>
          <w:sz w:val="20"/>
          <w:szCs w:val="20"/>
          <w:color w:val="ED0000"/>
          <w:strike w:val="1"/>
        </w:rPr>
        <w:t>Adjusted</w:t>
      </w:r>
      <w:r>
        <w:rPr>
          <w:rFonts w:ascii="Times New Roman" w:cs="Times New Roman" w:eastAsia="Times New Roman" w:hAnsi="Times New Roman"/>
          <w:sz w:val="20"/>
          <w:szCs w:val="20"/>
          <w:color w:val="auto"/>
        </w:rPr>
        <w:t xml:space="preserve"> Term SOFR pursuant to a SOFR Auction.</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Derivatives Contract</w:t>
      </w:r>
      <w:r>
        <w:rPr>
          <w:rFonts w:ascii="Times New Roman" w:cs="Times New Roman" w:eastAsia="Times New Roman" w:hAnsi="Times New Roman"/>
          <w:sz w:val="20"/>
          <w:szCs w:val="20"/>
          <w:color w:val="auto"/>
        </w:rPr>
        <w:t>” means any Derivatives Contract, together with any Derivatives Support Document relating thereto, that is made or entered into at any time, or in effect at any time now or hereafter, whether as a result of an assignment or transfer or otherwise, between a Loan Party and any Specified Derivatives Provider.</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Derivatives Obligations</w:t>
      </w:r>
      <w:r>
        <w:rPr>
          <w:rFonts w:ascii="Times New Roman" w:cs="Times New Roman" w:eastAsia="Times New Roman" w:hAnsi="Times New Roman"/>
          <w:sz w:val="20"/>
          <w:szCs w:val="20"/>
          <w:color w:val="auto"/>
        </w:rPr>
        <w:t>” means all indebtedness, liabilities, obligations, covenants and duties of any Loan Party or its Subsidiaries under or in respect of any Specified Derivatives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- 38 -</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whether direct or indirect, absolute or contingent, due or not due, liquidated or unliquidated, and whether or not evidenced by any written confirmation.</w:t>
      </w:r>
    </w:p>
    <w:p>
      <w:pPr>
        <w:spacing w:after="0" w:line="1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Derivatives Provider</w:t>
      </w:r>
      <w:r>
        <w:rPr>
          <w:rFonts w:ascii="Times New Roman" w:cs="Times New Roman" w:eastAsia="Times New Roman" w:hAnsi="Times New Roman"/>
          <w:sz w:val="20"/>
          <w:szCs w:val="20"/>
          <w:color w:val="auto"/>
        </w:rPr>
        <w:t>” means any Person that (a) at the time it enters into a Specified Derivatives Contract with a Loan Party, is a Lender or an Affiliate of a Lender or (b) at the time it (or its Affiliate) becomes a Lender or the Administrative Agent (including on the Effective Date), is a party to a Specified Derivatives Contract with a Loan Party, in each case in its capacity as a party to such Specified Derivatives Contract.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S&amp;P</w:t>
      </w:r>
      <w:r>
        <w:rPr>
          <w:rFonts w:ascii="Times New Roman" w:cs="Times New Roman" w:eastAsia="Times New Roman" w:hAnsi="Times New Roman"/>
          <w:sz w:val="20"/>
          <w:szCs w:val="20"/>
          <w:color w:val="auto"/>
        </w:rPr>
        <w:t>” means Standard &amp; Poor’s Ratings Services, a Standard &amp; Poor’s Financial Services LLC business, or any successor.</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Stated Amount</w:t>
      </w:r>
      <w:r>
        <w:rPr>
          <w:rFonts w:ascii="Times New Roman" w:cs="Times New Roman" w:eastAsia="Times New Roman" w:hAnsi="Times New Roman"/>
          <w:sz w:val="20"/>
          <w:szCs w:val="20"/>
          <w:color w:val="auto"/>
        </w:rPr>
        <w:t>” means the amount available to be drawn by a beneficiary under a Letter of Credit from time to time, as such amount may be increased or reduced from time to time in accordance with the terms of, or by amendment to, such Letter of Credit.</w:t>
      </w:r>
    </w:p>
    <w:p>
      <w:pPr>
        <w:spacing w:after="0" w:line="13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Structured Finance Investments</w:t>
      </w:r>
      <w:r>
        <w:rPr>
          <w:rFonts w:ascii="Times New Roman" w:cs="Times New Roman" w:eastAsia="Times New Roman" w:hAnsi="Times New Roman"/>
          <w:sz w:val="19"/>
          <w:szCs w:val="19"/>
          <w:color w:val="auto"/>
        </w:rPr>
        <w:t xml:space="preserve">” means, collectively, Investments directly or indirectly in (i) Indebtedness secured by Mortgages and Indebtedness in the form of mezzanine loans, (ii) preferred equity Investments (including preferred limited partnership interests) in entities owning (or leasing pursuant to a Ground Lease) real estate properties </w:t>
      </w:r>
      <w:r>
        <w:rPr>
          <w:rFonts w:ascii="Times New Roman" w:cs="Times New Roman" w:eastAsia="Times New Roman" w:hAnsi="Times New Roman"/>
          <w:sz w:val="19"/>
          <w:szCs w:val="19"/>
          <w:color w:val="ED0000"/>
          <w:strike w:val="1"/>
        </w:rPr>
        <w:t>and</w:t>
      </w:r>
      <w:r>
        <w:rPr>
          <w:rFonts w:ascii="Times New Roman" w:cs="Times New Roman" w:eastAsia="Times New Roman" w:hAnsi="Times New Roman"/>
          <w:sz w:val="19"/>
          <w:szCs w:val="19"/>
          <w:u w:val="single" w:color="auto"/>
          <w:color w:val="0070C0"/>
        </w:rPr>
        <w:t>,</w:t>
      </w:r>
      <w:r>
        <w:rPr>
          <w:rFonts w:ascii="Times New Roman" w:cs="Times New Roman" w:eastAsia="Times New Roman" w:hAnsi="Times New Roman"/>
          <w:sz w:val="19"/>
          <w:szCs w:val="19"/>
          <w:color w:val="auto"/>
        </w:rPr>
        <w:t xml:space="preserve"> (iii) certificates, notes or similar instruments issued by vehicles holding promissory notes secured by a Mortgage</w:t>
      </w:r>
      <w:r>
        <w:rPr>
          <w:rFonts w:ascii="Times New Roman" w:cs="Times New Roman" w:eastAsia="Times New Roman" w:hAnsi="Times New Roman"/>
          <w:sz w:val="19"/>
          <w:szCs w:val="19"/>
          <w:color w:val="ED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and (iv) securitizations (including any transaction which is a “securitisation” 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defined in the EU Securitisation Regulation) or other obligation issued by a special purpose vehicle and secured directly by, referenced to, or representing ownership of, a pool of receivables or other financial assets of any obligor, including collateralized debt obligations and mortgaged-backed securities, any finance lease, debt securities, equity securities or composite or combination securities; including synthetic securities that provide synthetic credit exposure to any such receivables or assets, that entitle the holders thereof to receive payments that (A) depend on the cash flow from a portfolio consisting primarily of ownership interests in any such receivables or assets or (B) are subject to losses owing to credit events (howsoever defined) under credit derivative transactions with respect to any such receivables or assets.</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Structured Finance Value</w:t>
      </w:r>
      <w:r>
        <w:rPr>
          <w:rFonts w:ascii="Times New Roman" w:cs="Times New Roman" w:eastAsia="Times New Roman" w:hAnsi="Times New Roman"/>
          <w:sz w:val="20"/>
          <w:szCs w:val="20"/>
          <w:color w:val="auto"/>
        </w:rPr>
        <w:t>” means (a) for the purpose of determining Total Asset Value, an amount equal to the value (as determined in accordance with GAAP) of each Structured Finance Investment and (b) for the purpose of determining Unencumbered Asset Value, an amount equal to the value (as determined in accordance with GAAP) of each Structured Finance Investment (i) that is owned by a Borrower or a Wholly Owned Subsidiary, (ii) that is not subject to any Lien or Negative Pledge, (iii) that if owned by a Subsidiary, no Borrower’s direct or indirect ownership interest in such Subsidiary is subject to any Lien or Negative Pledge, (iv) with respect to which a Borrower has a right, directly or indirectly through a Subsidiary, to create Liens on such Structured Finance Investment as security for Indebtedness of such Borrower and to sell, transfer or otherwise dispose of such Structured Finance Investment, in the case, without the consent of any Person and (v) in respect of which no obligor is more than 60 days past due in respect of its payment obligations thereunder.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for any Person, any corporation, partnership, limited liability company or other entity of which at least a majority of the Equity Interests having by the terms thereof ordinary voting power to elect a majority of the board of directors or other individuals performing similar functions of such corporation, partnership, limited liability company or other entity (without regard to the occurrence of any contingency) is at the time directly or indirectly owned or controlled by such Person or one or more Subsidiaries of such Person or by such Person and one or more Subsidiaries of such Person,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- 39 -</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shall include all Persons the accounts of which are consolidated with those of such Person pursuant to GAAP. </w:t>
      </w:r>
      <w:r>
        <w:rPr>
          <w:rFonts w:ascii="Times New Roman" w:cs="Times New Roman" w:eastAsia="Times New Roman" w:hAnsi="Times New Roman"/>
          <w:sz w:val="20"/>
          <w:szCs w:val="20"/>
          <w:color w:val="ED0000"/>
          <w:strike w:val="1"/>
        </w:rPr>
        <w:t>Notwithstanding anything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the contrary contained in this Agreement</w:t>
      </w:r>
      <w:r>
        <w:rPr>
          <w:rFonts w:ascii="Times New Roman" w:cs="Times New Roman" w:eastAsia="Times New Roman" w:hAnsi="Times New Roman"/>
          <w:sz w:val="20"/>
          <w:szCs w:val="20"/>
          <w:color w:val="388600"/>
          <w:strike w:val="1"/>
        </w:rPr>
        <w:t>, in no event shall the</w:t>
      </w:r>
      <w:r>
        <w:rPr>
          <w:rFonts w:ascii="Times New Roman" w:cs="Times New Roman" w:eastAsia="Times New Roman" w:hAnsi="Times New Roman"/>
          <w:sz w:val="20"/>
          <w:szCs w:val="20"/>
          <w:color w:val="ED0000"/>
          <w:strike w:val="1"/>
        </w:rPr>
        <w:t xml:space="preserve"> Unrestricted Subsidiary </w:t>
      </w:r>
      <w:r>
        <w:rPr>
          <w:rFonts w:ascii="Times New Roman" w:cs="Times New Roman" w:eastAsia="Times New Roman" w:hAnsi="Times New Roman"/>
          <w:sz w:val="20"/>
          <w:szCs w:val="20"/>
          <w:color w:val="388600"/>
          <w:strike w:val="1"/>
        </w:rPr>
        <w:t>be deemed to be a</w:t>
      </w:r>
      <w:r>
        <w:rPr>
          <w:rFonts w:ascii="Times New Roman" w:cs="Times New Roman" w:eastAsia="Times New Roman" w:hAnsi="Times New Roman"/>
          <w:sz w:val="20"/>
          <w:szCs w:val="20"/>
          <w:color w:val="ED0000"/>
          <w:strike w:val="1"/>
        </w:rPr>
        <w:t xml:space="preserve"> Subsidiary except for purposes of Sections 8.1. and 8.2.</w:t>
      </w:r>
    </w:p>
    <w:p>
      <w:pPr>
        <w:spacing w:after="0" w:line="17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SUMMIT One Vanderbilt</w:t>
      </w:r>
      <w:r>
        <w:rPr>
          <w:rFonts w:ascii="Times New Roman" w:cs="Times New Roman" w:eastAsia="Times New Roman" w:hAnsi="Times New Roman"/>
          <w:sz w:val="20"/>
          <w:szCs w:val="20"/>
          <w:color w:val="auto"/>
        </w:rPr>
        <w:t>” means the Property comprising the Summit observatory located at the Property known as One Vanderbilt. For the avoidance of doubt, SUMMIT One Vanderbilt shall not constitute a Newly-Acquired Property, a Transition Asset, a Development Property or a “property acquired during the six fiscal quarters most recently ended” or similar terms as used in the Loan Documents.</w:t>
      </w:r>
    </w:p>
    <w:p>
      <w:pPr>
        <w:spacing w:after="0" w:line="16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SUMMIT One Vanderbilt Operator</w:t>
      </w:r>
      <w:r>
        <w:rPr>
          <w:rFonts w:ascii="Times New Roman" w:cs="Times New Roman" w:eastAsia="Times New Roman" w:hAnsi="Times New Roman"/>
          <w:sz w:val="20"/>
          <w:szCs w:val="20"/>
          <w:color w:val="auto"/>
        </w:rPr>
        <w:t>” means Summit OVA Tenant LLC d/b/a Summit One Vanderbilt, a Subsidiary of the Parent, which operates SUMMIT One Vanderbilt.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SUMMIT One Vanderbilt Value</w:t>
      </w:r>
      <w:r>
        <w:rPr>
          <w:rFonts w:ascii="Times New Roman" w:cs="Times New Roman" w:eastAsia="Times New Roman" w:hAnsi="Times New Roman"/>
          <w:sz w:val="20"/>
          <w:szCs w:val="20"/>
          <w:color w:val="auto"/>
        </w:rPr>
        <w:t xml:space="preserve">” means, at a given time, </w:t>
      </w:r>
      <w:r>
        <w:rPr>
          <w:rFonts w:ascii="Times New Roman" w:cs="Times New Roman" w:eastAsia="Times New Roman" w:hAnsi="Times New Roman"/>
          <w:sz w:val="20"/>
          <w:szCs w:val="20"/>
          <w:color w:val="ED0000"/>
          <w:strike w:val="1"/>
        </w:rPr>
        <w:t>(a) prior to the date which is three years from the Effective Date,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 xml:space="preserve">amount equal to the book value of Investments made by the Parent and its Subsidiaries in the SUMMIT One Vanderbilt Operator prior to such time; provided that the Borrowers may at any time during such period irrevocably elect to determine the SUMMIT One Vanderbilt Value based on EBITDA of the SUMMIT One Vanderbilt Operator divided by the Capitalization Rate pursuant to clause (b) below in lieu of the book value of Investments pursuant to this clause (a) and (b) on and after the date which is three years from the Effective Date, </w:t>
      </w:r>
      <w:r>
        <w:rPr>
          <w:rFonts w:ascii="Times New Roman" w:cs="Times New Roman" w:eastAsia="Times New Roman" w:hAnsi="Times New Roman"/>
          <w:sz w:val="20"/>
          <w:szCs w:val="20"/>
          <w:color w:val="000000"/>
          <w:strike w:val="1"/>
        </w:rPr>
        <w:t>EBITDA</w:t>
      </w:r>
      <w:r>
        <w:rPr>
          <w:rFonts w:ascii="Times New Roman" w:cs="Times New Roman" w:eastAsia="Times New Roman" w:hAnsi="Times New Roman"/>
          <w:sz w:val="20"/>
          <w:szCs w:val="20"/>
          <w:color w:val="ED0000"/>
          <w:strike w:val="1"/>
        </w:rPr>
        <w:t xml:space="preserve"> </w:t>
      </w:r>
      <w:r>
        <w:rPr>
          <w:rFonts w:ascii="Times New Roman" w:cs="Times New Roman" w:eastAsia="Times New Roman" w:hAnsi="Times New Roman"/>
          <w:sz w:val="20"/>
          <w:szCs w:val="20"/>
          <w:color w:val="000000"/>
          <w:strike w:val="1"/>
        </w:rPr>
        <w:t>of the SUMMIT One Vanderbilt Operator for the immediately preceding period of four consecutive fiscal quarters divided by the Capitalization Rate.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Sustainability Adjustment Limitations</w:t>
      </w:r>
      <w:r>
        <w:rPr>
          <w:rFonts w:ascii="Times New Roman" w:cs="Times New Roman" w:eastAsia="Times New Roman" w:hAnsi="Times New Roman"/>
          <w:sz w:val="20"/>
          <w:szCs w:val="20"/>
          <w:u w:val="single" w:color="auto"/>
          <w:color w:val="0070C0"/>
        </w:rPr>
        <w:t>” means as set forth in Section 12.25.</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Sustainability Linked Loan Principles</w:t>
      </w:r>
      <w:r>
        <w:rPr>
          <w:rFonts w:ascii="Times New Roman" w:cs="Times New Roman" w:eastAsia="Times New Roman" w:hAnsi="Times New Roman"/>
          <w:sz w:val="20"/>
          <w:szCs w:val="20"/>
          <w:u w:val="single" w:color="auto"/>
          <w:color w:val="0070C0"/>
        </w:rPr>
        <w:t>” means the Sustainability Linked Loan Principles (as published in March, 2025 by the Loan Market Association, Asia Pacific Loan Market Association and Loan Syndications &amp; Trading Association).</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Sustainability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70C0"/>
        </w:rPr>
        <w:t>Structuring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xml:space="preserve">” means Wells Fargo </w:t>
      </w:r>
      <w:r>
        <w:rPr>
          <w:rFonts w:ascii="Times New Roman" w:cs="Times New Roman" w:eastAsia="Times New Roman" w:hAnsi="Times New Roman"/>
          <w:sz w:val="20"/>
          <w:szCs w:val="20"/>
          <w:color w:val="ED0000"/>
          <w:strike w:val="1"/>
        </w:rPr>
        <w:t>Bank, National Association in its capacity as such, and</w:t>
      </w:r>
      <w:r>
        <w:rPr>
          <w:rFonts w:ascii="Times New Roman" w:cs="Times New Roman" w:eastAsia="Times New Roman" w:hAnsi="Times New Roman"/>
          <w:sz w:val="20"/>
          <w:szCs w:val="20"/>
          <w:u w:val="single" w:color="auto"/>
          <w:color w:val="0070C0"/>
        </w:rPr>
        <w:t>Securities, LLC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sustainability structuring agent under this agreement, or</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any successor</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ED0000"/>
          <w:strike w:val="1"/>
        </w:rPr>
        <w:t>thereto or assignee thereof</w:t>
      </w:r>
      <w:r>
        <w:rPr>
          <w:rFonts w:ascii="Times New Roman" w:cs="Times New Roman" w:eastAsia="Times New Roman" w:hAnsi="Times New Roman"/>
          <w:sz w:val="20"/>
          <w:szCs w:val="20"/>
          <w:u w:val="single" w:color="auto"/>
          <w:color w:val="0070C0"/>
        </w:rPr>
        <w:t>Sustainability Structuring Agent</w:t>
      </w:r>
      <w:r>
        <w:rPr>
          <w:rFonts w:ascii="Times New Roman" w:cs="Times New Roman" w:eastAsia="Times New Roman" w:hAnsi="Times New Roman"/>
          <w:sz w:val="20"/>
          <w:szCs w:val="20"/>
          <w:color w:val="000000"/>
        </w:rPr>
        <w:t>.</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Sustainability Adjustment Date</w:t>
      </w:r>
      <w:r>
        <w:rPr>
          <w:rFonts w:ascii="Times New Roman" w:cs="Times New Roman" w:eastAsia="Times New Roman" w:hAnsi="Times New Roman"/>
          <w:sz w:val="20"/>
          <w:szCs w:val="20"/>
          <w:color w:val="ED0000"/>
          <w:strike w:val="1"/>
        </w:rPr>
        <w:t>” means the Business Day immediately following the date on which the Parent provides to the Administrative Agent a Compliance Certificate referencing the Applicable Sustainability Adjustment for the applicable Reference Year; provided that if more than one Compliance Certificate is provided referencing the Applicable Sustainability Adjustment for the applicable Reference Year, the Sustainability Adjustment Date shall be the Business Day immediately following the date on which the Parent provides the first such Compliance Certificate to the Administrative Agent.</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Sustainability Adjustment Period</w:t>
      </w:r>
      <w:r>
        <w:rPr>
          <w:rFonts w:ascii="Times New Roman" w:cs="Times New Roman" w:eastAsia="Times New Roman" w:hAnsi="Times New Roman"/>
          <w:sz w:val="20"/>
          <w:szCs w:val="20"/>
          <w:color w:val="ED0000"/>
          <w:strike w:val="1"/>
        </w:rPr>
        <w:t>” means, (a) in the case of the initial Sustainability Adjustment Period, the period commencing on the first Sustainability Adjustment Date following the Effective Date and ending on (but excluding) the next Sustainability Adjustment Date and (b) in the case of each other Sustainability Adjustment Period, the period commencing on the last day of the immediately preceding Sustainability Adjustment Period and ending on (but excluding) the next Sustainability Adjustment Date.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Sustainability Certification Inaccuracy</w:t>
      </w:r>
      <w:r>
        <w:rPr>
          <w:rFonts w:ascii="Times New Roman" w:cs="Times New Roman" w:eastAsia="Times New Roman" w:hAnsi="Times New Roman"/>
          <w:sz w:val="20"/>
          <w:szCs w:val="20"/>
          <w:color w:val="ED0000"/>
          <w:strike w:val="1"/>
        </w:rPr>
        <w:t>” has the meaning given that term in Section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- 40 -</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Sustainability Rating</w:t>
      </w:r>
      <w:r>
        <w:rPr>
          <w:rFonts w:ascii="Times New Roman" w:cs="Times New Roman" w:eastAsia="Times New Roman" w:hAnsi="Times New Roman"/>
          <w:sz w:val="20"/>
          <w:szCs w:val="20"/>
          <w:color w:val="ED0000"/>
          <w:strike w:val="1"/>
        </w:rPr>
        <w:t>” means, with respect to any Reference Year, the “GRESB Score”, as calculated and assigned to the Parent from time to time by GRESB and published in the most recently released GRESB Real Estate Assessment thereof. It is understood and agreed that the first Sustainability Rating is expected to be for the Reference Year ending December 31, 2021, which is expected to be available and reported in the Compliance Certificate to be delivered for the fiscal quarter ending September 30, 2022, and the Sustainability Rating is expected to be updated and reported for each subsequent Reference Year in the Compliance Certificate for the fiscal quarter ending September 30 of the calendar year immediately following such Reference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-635635</wp:posOffset>
            </wp:positionV>
            <wp:extent cx="400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Sustainability Rating Change</w:t>
      </w:r>
      <w:r>
        <w:rPr>
          <w:rFonts w:ascii="Times New Roman" w:cs="Times New Roman" w:eastAsia="Times New Roman" w:hAnsi="Times New Roman"/>
          <w:sz w:val="20"/>
          <w:szCs w:val="20"/>
          <w:color w:val="ED0000"/>
          <w:strike w:val="1"/>
        </w:rPr>
        <w:t>” means, for any Reference Year, the percentage change of the Sustainability Rating over the Sustainability Rating for the immediately preceding Reference Year.</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Swingline Commitment</w:t>
      </w:r>
      <w:r>
        <w:rPr>
          <w:rFonts w:ascii="Times New Roman" w:cs="Times New Roman" w:eastAsia="Times New Roman" w:hAnsi="Times New Roman"/>
          <w:sz w:val="20"/>
          <w:szCs w:val="20"/>
          <w:color w:val="ED0000"/>
          <w:strike w:val="1"/>
        </w:rPr>
        <w:t>” means the Swingline Lenders’ obligation to make Swingline Loans pursuant to Section 2.5. in an amount up to, but not exceeding the amount set forth in the first sentence of Section 2.5.(a), as such amount may be reduced from time to time in accordance with the terms hereof.</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Swingline Lenders</w:t>
      </w:r>
      <w:r>
        <w:rPr>
          <w:rFonts w:ascii="Times New Roman" w:cs="Times New Roman" w:eastAsia="Times New Roman" w:hAnsi="Times New Roman"/>
          <w:sz w:val="20"/>
          <w:szCs w:val="20"/>
          <w:color w:val="ED0000"/>
          <w:strike w:val="1"/>
        </w:rPr>
        <w:t>” means each of Wells Fargo, JPMorgan Chase Bank, N.A., T.D. Bank, N.A. and Deutsche Bank AG New York Branch, each in its capacity as a Lender to make Swingline Loans pursuant to Section 2.5., together with its respective successors and assigns. Any reference to “the Swingline Lender” herein shall be deemed to refer to each Swingline Lender, any Swingline Lender, the applicable Swingline Lender or all Swingline Lenders, as the context may require.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Swingline Loan</w:t>
      </w:r>
      <w:r>
        <w:rPr>
          <w:rFonts w:ascii="Times New Roman" w:cs="Times New Roman" w:eastAsia="Times New Roman" w:hAnsi="Times New Roman"/>
          <w:sz w:val="20"/>
          <w:szCs w:val="20"/>
          <w:color w:val="ED0000"/>
          <w:strike w:val="1"/>
        </w:rPr>
        <w:t>” means a loan made by a Swingline Lender to a Borrower pursuant to Section 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Swingline Maturity Date</w:t>
      </w:r>
      <w:r>
        <w:rPr>
          <w:rFonts w:ascii="Times New Roman" w:cs="Times New Roman" w:eastAsia="Times New Roman" w:hAnsi="Times New Roman"/>
          <w:sz w:val="20"/>
          <w:szCs w:val="20"/>
          <w:color w:val="ED0000"/>
          <w:strike w:val="1"/>
        </w:rPr>
        <w:t>” means the date which is seven (7) Business Days prior to the Revolving Termination Date.</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Swingline Note</w:t>
      </w:r>
      <w:r>
        <w:rPr>
          <w:rFonts w:ascii="Times New Roman" w:cs="Times New Roman" w:eastAsia="Times New Roman" w:hAnsi="Times New Roman"/>
          <w:sz w:val="20"/>
          <w:szCs w:val="20"/>
          <w:color w:val="ED0000"/>
          <w:strike w:val="1"/>
        </w:rPr>
        <w:t>” means a promissory note of the Borrowers substantially in the form of Exhibit I, payable to a Swingline Lender, or its registered assignees, in a principal amount equal to the amount of the Swingline Commitment as originally in effect and otherwise duly completed.</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Syndication Agent</w:t>
      </w:r>
      <w:r>
        <w:rPr>
          <w:rFonts w:ascii="Times New Roman" w:cs="Times New Roman" w:eastAsia="Times New Roman" w:hAnsi="Times New Roman"/>
          <w:sz w:val="20"/>
          <w:szCs w:val="20"/>
          <w:color w:val="auto"/>
        </w:rPr>
        <w:t>” means the Person identified as such in the introductory paragraph hereof and shall include such Person’s successors and permitted assigns.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 Loan</w:t>
      </w:r>
      <w:r>
        <w:rPr>
          <w:rFonts w:ascii="Times New Roman" w:cs="Times New Roman" w:eastAsia="Times New Roman" w:hAnsi="Times New Roman"/>
          <w:sz w:val="20"/>
          <w:szCs w:val="20"/>
          <w:color w:val="auto"/>
        </w:rPr>
        <w:t>” means a loan made by a Term A Loan Lender as described in Section 2.2.(a).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 Loan Facility</w:t>
      </w:r>
      <w:r>
        <w:rPr>
          <w:rFonts w:ascii="Times New Roman" w:cs="Times New Roman" w:eastAsia="Times New Roman" w:hAnsi="Times New Roman"/>
          <w:sz w:val="20"/>
          <w:szCs w:val="20"/>
          <w:color w:val="auto"/>
        </w:rPr>
        <w:t>” means the aggregate outstanding principal amount of the Term A Loans at such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 Loan Lender</w:t>
      </w:r>
      <w:r>
        <w:rPr>
          <w:rFonts w:ascii="Times New Roman" w:cs="Times New Roman" w:eastAsia="Times New Roman" w:hAnsi="Times New Roman"/>
          <w:sz w:val="20"/>
          <w:szCs w:val="20"/>
          <w:color w:val="auto"/>
        </w:rPr>
        <w:t>” means a Lender holding any Term A Loan.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 Loan Maturity Date</w:t>
      </w:r>
      <w:r>
        <w:rPr>
          <w:rFonts w:ascii="Times New Roman" w:cs="Times New Roman" w:eastAsia="Times New Roman" w:hAnsi="Times New Roman"/>
          <w:sz w:val="20"/>
          <w:szCs w:val="20"/>
          <w:color w:val="auto"/>
        </w:rPr>
        <w:t>” means May 15,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- 41 -</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8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 Loan Note</w:t>
      </w:r>
      <w:r>
        <w:rPr>
          <w:rFonts w:ascii="Times New Roman" w:cs="Times New Roman" w:eastAsia="Times New Roman" w:hAnsi="Times New Roman"/>
          <w:sz w:val="20"/>
          <w:szCs w:val="20"/>
          <w:color w:val="auto"/>
        </w:rPr>
        <w:t>” means a promissory note of the Borrowers substantially in the form of Exhibit J-1, payable to a Term A Loan Lender or its registered assignees in a principal amount equal to the amount of such Term A Loan Lender’s Term A Loan.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 Loan</w:t>
      </w:r>
      <w:r>
        <w:rPr>
          <w:rFonts w:ascii="Times New Roman" w:cs="Times New Roman" w:eastAsia="Times New Roman" w:hAnsi="Times New Roman"/>
          <w:sz w:val="20"/>
          <w:szCs w:val="20"/>
          <w:color w:val="auto"/>
        </w:rPr>
        <w:t>” means a loan made by a Term B Loan Lender as described in Section 2.2.(c).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 Loan Facility</w:t>
      </w:r>
      <w:r>
        <w:rPr>
          <w:rFonts w:ascii="Times New Roman" w:cs="Times New Roman" w:eastAsia="Times New Roman" w:hAnsi="Times New Roman"/>
          <w:sz w:val="20"/>
          <w:szCs w:val="20"/>
          <w:color w:val="auto"/>
        </w:rPr>
        <w:t>” means the aggregate outstanding principal amount of the Term B Loans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 Loan Lender</w:t>
      </w:r>
      <w:r>
        <w:rPr>
          <w:rFonts w:ascii="Times New Roman" w:cs="Times New Roman" w:eastAsia="Times New Roman" w:hAnsi="Times New Roman"/>
          <w:sz w:val="20"/>
          <w:szCs w:val="20"/>
          <w:color w:val="auto"/>
        </w:rPr>
        <w:t>” means a Lender holding any Term B Loan.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 Loan Maturity Date</w:t>
      </w:r>
      <w:r>
        <w:rPr>
          <w:rFonts w:ascii="Times New Roman" w:cs="Times New Roman" w:eastAsia="Times New Roman" w:hAnsi="Times New Roman"/>
          <w:sz w:val="20"/>
          <w:szCs w:val="20"/>
          <w:color w:val="auto"/>
        </w:rPr>
        <w:t>” means November 21, 2024.</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 Loan Note</w:t>
      </w:r>
      <w:r>
        <w:rPr>
          <w:rFonts w:ascii="Times New Roman" w:cs="Times New Roman" w:eastAsia="Times New Roman" w:hAnsi="Times New Roman"/>
          <w:sz w:val="20"/>
          <w:szCs w:val="20"/>
          <w:color w:val="auto"/>
        </w:rPr>
        <w:t>” means a promissory note of the Borrowers substantially in the form of Exhibit J-2, payable to a Term B Loan Lender or its registered assignees in a principal amount equal to the amount of such Term B Loan Lender’s Term B Loan.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means a Term A Loan</w:t>
      </w: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4472C4"/>
        </w:rPr>
        <w:t>or</w:t>
      </w:r>
      <w:r>
        <w:rPr>
          <w:rFonts w:ascii="Times New Roman" w:cs="Times New Roman" w:eastAsia="Times New Roman" w:hAnsi="Times New Roman"/>
          <w:sz w:val="20"/>
          <w:szCs w:val="20"/>
          <w:color w:val="auto"/>
        </w:rPr>
        <w:t xml:space="preserve"> a Term B Loan </w:t>
      </w:r>
      <w:r>
        <w:rPr>
          <w:rFonts w:ascii="Times New Roman" w:cs="Times New Roman" w:eastAsia="Times New Roman" w:hAnsi="Times New Roman"/>
          <w:sz w:val="20"/>
          <w:szCs w:val="20"/>
          <w:color w:val="ED0000"/>
        </w:rPr>
        <w:t>or an Additional Term Loan made pursuant to Section 2.19.</w:t>
      </w:r>
      <w:r>
        <w:rPr>
          <w:rFonts w:ascii="Times New Roman" w:cs="Times New Roman" w:eastAsia="Times New Roman" w:hAnsi="Times New Roman"/>
          <w:sz w:val="20"/>
          <w:szCs w:val="20"/>
          <w:u w:val="single" w:color="auto"/>
          <w:color w:val="4472C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-59690</wp:posOffset>
            </wp:positionV>
            <wp:extent cx="30264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026410" cy="8255"/>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Lender</w:t>
      </w:r>
      <w:r>
        <w:rPr>
          <w:rFonts w:ascii="Times New Roman" w:cs="Times New Roman" w:eastAsia="Times New Roman" w:hAnsi="Times New Roman"/>
          <w:sz w:val="20"/>
          <w:szCs w:val="20"/>
          <w:color w:val="auto"/>
        </w:rPr>
        <w:t>” means a Term A Loan Lender or a Term B Loan Lender.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Note</w:t>
      </w:r>
      <w:r>
        <w:rPr>
          <w:rFonts w:ascii="Times New Roman" w:cs="Times New Roman" w:eastAsia="Times New Roman" w:hAnsi="Times New Roman"/>
          <w:sz w:val="20"/>
          <w:szCs w:val="20"/>
          <w:color w:val="auto"/>
        </w:rPr>
        <w:t>” means a Term A Loan Note or a Term B Loan Note.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ED0000"/>
          <w:strike w:val="1"/>
        </w:rPr>
        <w:t>for any calculation with respect to a SOFR Loan,</w:t>
      </w:r>
      <w:r>
        <w:rPr>
          <w:rFonts w:ascii="Times New Roman" w:cs="Times New Roman" w:eastAsia="Times New Roman" w:hAnsi="Times New Roman"/>
          <w:sz w:val="20"/>
          <w:szCs w:val="20"/>
          <w:color w:val="auto"/>
        </w:rPr>
        <w:t xml:space="preserve">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r>
        <w:rPr>
          <w:rFonts w:ascii="Times New Roman" w:cs="Times New Roman" w:eastAsia="Times New Roman" w:hAnsi="Times New Roman"/>
          <w:sz w:val="20"/>
          <w:szCs w:val="20"/>
          <w:u w:val="single" w:color="auto"/>
          <w:color w:val="0070C0"/>
        </w:rPr>
        <w:t>; provided that, with respect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to Revolving Loans, if Term SOFR as so determined shall ever be less than the Floor, then Term SOFR</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388600"/>
        </w:rPr>
        <w:t>shall be deemed to be</w:t>
      </w:r>
      <w:r>
        <w:rPr>
          <w:rFonts w:ascii="Times New Roman" w:cs="Times New Roman" w:eastAsia="Times New Roman" w:hAnsi="Times New Roman"/>
          <w:sz w:val="20"/>
          <w:szCs w:val="20"/>
          <w:color w:val="0070C0"/>
        </w:rPr>
        <w:t xml:space="preserv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-34925</wp:posOffset>
            </wp:positionV>
            <wp:extent cx="4883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53"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Adjustment</w:t>
      </w:r>
      <w:r>
        <w:rPr>
          <w:rFonts w:ascii="Times New Roman" w:cs="Times New Roman" w:eastAsia="Times New Roman" w:hAnsi="Times New Roman"/>
          <w:sz w:val="20"/>
          <w:szCs w:val="20"/>
          <w:color w:val="auto"/>
        </w:rPr>
        <w:t xml:space="preserve">” means for any calculation with respect to a </w:t>
      </w:r>
      <w:r>
        <w:rPr>
          <w:rFonts w:ascii="Times New Roman" w:cs="Times New Roman" w:eastAsia="Times New Roman" w:hAnsi="Times New Roman"/>
          <w:sz w:val="20"/>
          <w:szCs w:val="20"/>
          <w:color w:val="ED0000"/>
          <w:strike w:val="1"/>
        </w:rPr>
        <w:t>SOFR</w:t>
      </w:r>
      <w:r>
        <w:rPr>
          <w:rFonts w:ascii="Times New Roman" w:cs="Times New Roman" w:eastAsia="Times New Roman" w:hAnsi="Times New Roman"/>
          <w:sz w:val="20"/>
          <w:szCs w:val="20"/>
          <w:u w:val="single" w:color="auto"/>
          <w:color w:val="0070C0"/>
        </w:rPr>
        <w:t>Term A</w:t>
      </w:r>
      <w:r>
        <w:rPr>
          <w:rFonts w:ascii="Times New Roman" w:cs="Times New Roman" w:eastAsia="Times New Roman" w:hAnsi="Times New Roman"/>
          <w:sz w:val="20"/>
          <w:szCs w:val="20"/>
          <w:color w:val="auto"/>
        </w:rPr>
        <w:t xml:space="preserve"> Loan </w:t>
      </w:r>
      <w:r>
        <w:rPr>
          <w:rFonts w:ascii="Times New Roman" w:cs="Times New Roman" w:eastAsia="Times New Roman" w:hAnsi="Times New Roman"/>
          <w:sz w:val="20"/>
          <w:szCs w:val="20"/>
          <w:u w:val="single" w:color="auto"/>
          <w:color w:val="0070C0"/>
        </w:rPr>
        <w:t>bearing interest at Term SOFR</w:t>
      </w:r>
      <w:r>
        <w:rPr>
          <w:rFonts w:ascii="Times New Roman" w:cs="Times New Roman" w:eastAsia="Times New Roman" w:hAnsi="Times New Roman"/>
          <w:sz w:val="20"/>
          <w:szCs w:val="20"/>
          <w:color w:val="auto"/>
        </w:rPr>
        <w:t>, a percentage per annum as set forth below for the applicable type of such Loan and (if applicable) Interest Period therefor:</w:t>
      </w:r>
    </w:p>
    <w:p>
      <w:pPr>
        <w:spacing w:after="0" w:line="186" w:lineRule="exact"/>
        <w:rPr>
          <w:sz w:val="20"/>
          <w:szCs w:val="20"/>
          <w:color w:val="auto"/>
        </w:rPr>
      </w:pPr>
    </w:p>
    <w:tbl>
      <w:tblPr>
        <w:tblLayout w:type="fixed"/>
        <w:tblInd w:w="1630" w:type="dxa"/>
        <w:tblCellMar>
          <w:top w:w="0" w:type="dxa"/>
          <w:left w:w="0" w:type="dxa"/>
          <w:bottom w:w="0" w:type="dxa"/>
          <w:right w:w="0" w:type="dxa"/>
        </w:tblCellMar>
      </w:tblPr>
      <w:tr>
        <w:trPr>
          <w:trHeight w:val="270"/>
        </w:trPr>
        <w:tc>
          <w:tcPr>
            <w:tcW w:w="3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Interest Period</w:t>
            </w:r>
          </w:p>
        </w:tc>
        <w:tc>
          <w:tcPr>
            <w:tcW w:w="24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Percentage</w:t>
            </w:r>
          </w:p>
        </w:tc>
      </w:tr>
      <w:tr>
        <w:trPr>
          <w:trHeight w:val="25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One month</w:t>
            </w:r>
          </w:p>
        </w:tc>
        <w:tc>
          <w:tcPr>
            <w:tcW w:w="2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0.10%</w:t>
            </w:r>
          </w:p>
        </w:tc>
      </w:tr>
      <w:tr>
        <w:trPr>
          <w:trHeight w:val="25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Three months</w:t>
            </w:r>
          </w:p>
        </w:tc>
        <w:tc>
          <w:tcPr>
            <w:tcW w:w="2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- 42 -</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8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Term SOFR Loan</w:t>
      </w:r>
      <w:r>
        <w:rPr>
          <w:rFonts w:ascii="Times New Roman" w:cs="Times New Roman" w:eastAsia="Times New Roman" w:hAnsi="Times New Roman"/>
          <w:sz w:val="20"/>
          <w:szCs w:val="20"/>
          <w:u w:val="single" w:color="auto"/>
          <w:color w:val="0070C0"/>
        </w:rPr>
        <w:t>” means a Loan that bears interest at a rate based on Adjusted Term SOFR or Term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Titled Agents</w:t>
      </w:r>
      <w:r>
        <w:rPr>
          <w:rFonts w:ascii="Times New Roman" w:cs="Times New Roman" w:eastAsia="Times New Roman" w:hAnsi="Times New Roman"/>
          <w:sz w:val="20"/>
          <w:szCs w:val="20"/>
          <w:color w:val="auto"/>
        </w:rPr>
        <w:t xml:space="preserve">” means each of the Lead Arrangers, the Joint Bookrunners, the Syndication Agent, the Documentation Agents, the Senior Managing Agents, the Managing Agents </w:t>
      </w:r>
      <w:r>
        <w:rPr>
          <w:rFonts w:ascii="Times New Roman" w:cs="Times New Roman" w:eastAsia="Times New Roman" w:hAnsi="Times New Roman"/>
          <w:sz w:val="20"/>
          <w:szCs w:val="20"/>
          <w:color w:val="ED0000"/>
        </w:rPr>
        <w:t>and</w:t>
      </w: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color w:val="auto"/>
        </w:rPr>
        <w:t xml:space="preserve"> the Co-Agents </w:t>
      </w:r>
      <w:r>
        <w:rPr>
          <w:rFonts w:ascii="Times New Roman" w:cs="Times New Roman" w:eastAsia="Times New Roman" w:hAnsi="Times New Roman"/>
          <w:sz w:val="20"/>
          <w:szCs w:val="20"/>
          <w:color w:val="0070C0"/>
        </w:rPr>
        <w:t>and the Sustainability Structuring Agent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-108585</wp:posOffset>
            </wp:positionV>
            <wp:extent cx="212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-57150</wp:posOffset>
            </wp:positionV>
            <wp:extent cx="20554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55495" cy="8255"/>
                    </a:xfrm>
                    <a:prstGeom prst="rect">
                      <a:avLst/>
                    </a:prstGeom>
                    <a:noFill/>
                  </pic:spPr>
                </pic:pic>
              </a:graphicData>
            </a:graphic>
          </wp:anchor>
        </w:drawing>
      </w:r>
    </w:p>
    <w:p>
      <w:pPr>
        <w:spacing w:after="0" w:line="1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Asset Value</w:t>
      </w:r>
      <w:r>
        <w:rPr>
          <w:rFonts w:ascii="Times New Roman" w:cs="Times New Roman" w:eastAsia="Times New Roman" w:hAnsi="Times New Roman"/>
          <w:sz w:val="20"/>
          <w:szCs w:val="20"/>
          <w:color w:val="auto"/>
        </w:rPr>
        <w:t xml:space="preserve">” means, with respect to a Person, at a given time, the sum (without duplication) of all of the following of such Person and its Subsidiaries determined on a consolidated basis in accordance with GAAP applied on a consistent basis: (a) cash and Cash Equivalents (other than tenant deposits and other cash and Cash Equivalents that are subject to a Lien or a Negative Pledge or the disposition of which is restricted in any way); plus (b) the quotient of (i) EBITDA of such Person and its Subsidiaries for the immediately preceding period of four consecutive fiscal quarters, divided by (ii) the Capitalization Rate; provided that, for the Annualization Period for a Newly-Acquired Property or Transition Asset, the EBITDA attributable to such Newly-Acquired Property or such Transition Asset, as applicable, shall be determined on an Annualized basis; plus (c) the GAAP book value of Properties acquired during the six fiscal quarters most recently ended; plus (d) the GAAP book value of all Development Properties; plus (e) the GAAP book value of Unimproved Land, Mortgage Receivables and other promissory notes plus (f) the </w:t>
      </w:r>
      <w:r>
        <w:rPr>
          <w:rFonts w:ascii="Times New Roman" w:cs="Times New Roman" w:eastAsia="Times New Roman" w:hAnsi="Times New Roman"/>
          <w:sz w:val="20"/>
          <w:szCs w:val="20"/>
          <w:u w:val="single" w:color="auto"/>
          <w:color w:val="0070C0"/>
        </w:rPr>
        <w:t>sum of the</w:t>
      </w:r>
      <w:r>
        <w:rPr>
          <w:rFonts w:ascii="Times New Roman" w:cs="Times New Roman" w:eastAsia="Times New Roman" w:hAnsi="Times New Roman"/>
          <w:sz w:val="20"/>
          <w:szCs w:val="20"/>
          <w:color w:val="auto"/>
        </w:rPr>
        <w:t xml:space="preserve"> Structured Finance Value </w:t>
      </w:r>
      <w:r>
        <w:rPr>
          <w:rFonts w:ascii="Times New Roman" w:cs="Times New Roman" w:eastAsia="Times New Roman" w:hAnsi="Times New Roman"/>
          <w:sz w:val="20"/>
          <w:szCs w:val="20"/>
          <w:u w:val="single" w:color="auto"/>
          <w:color w:val="0070C0"/>
        </w:rPr>
        <w:t>and the Fund Investment Value</w:t>
      </w:r>
      <w:r>
        <w:rPr>
          <w:rFonts w:ascii="Times New Roman" w:cs="Times New Roman" w:eastAsia="Times New Roman" w:hAnsi="Times New Roman"/>
          <w:sz w:val="20"/>
          <w:szCs w:val="20"/>
          <w:color w:val="auto"/>
        </w:rPr>
        <w:t xml:space="preserve">; plus (g) the GAAP book value of Transition Assets; plus (h) </w:t>
      </w:r>
      <w:r>
        <w:rPr>
          <w:rFonts w:ascii="Times New Roman" w:cs="Times New Roman" w:eastAsia="Times New Roman" w:hAnsi="Times New Roman"/>
          <w:sz w:val="20"/>
          <w:szCs w:val="20"/>
          <w:u w:val="single" w:color="auto"/>
          <w:color w:val="0070C0"/>
        </w:rPr>
        <w:t>sum of</w:t>
      </w:r>
      <w:r>
        <w:rPr>
          <w:rFonts w:ascii="Times New Roman" w:cs="Times New Roman" w:eastAsia="Times New Roman" w:hAnsi="Times New Roman"/>
          <w:sz w:val="20"/>
          <w:szCs w:val="20"/>
          <w:color w:val="auto"/>
        </w:rPr>
        <w:t xml:space="preserve"> the SUMMIT One Vanderbilt Value </w:t>
      </w:r>
      <w:r>
        <w:rPr>
          <w:rFonts w:ascii="Times New Roman" w:cs="Times New Roman" w:eastAsia="Times New Roman" w:hAnsi="Times New Roman"/>
          <w:sz w:val="20"/>
          <w:szCs w:val="20"/>
          <w:u w:val="single" w:color="auto"/>
          <w:color w:val="0070C0"/>
        </w:rPr>
        <w:t>and the SEV Value</w:t>
      </w:r>
      <w:r>
        <w:rPr>
          <w:rFonts w:ascii="Times New Roman" w:cs="Times New Roman" w:eastAsia="Times New Roman" w:hAnsi="Times New Roman"/>
          <w:sz w:val="20"/>
          <w:szCs w:val="20"/>
          <w:color w:val="auto"/>
        </w:rPr>
        <w:t xml:space="preserve"> as of such date</w:t>
      </w: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color w:val="auto"/>
        </w:rPr>
        <w:t xml:space="preserve"> plus (i</w:t>
      </w:r>
      <w:r>
        <w:rPr>
          <w:rFonts w:ascii="Times New Roman" w:cs="Times New Roman" w:eastAsia="Times New Roman" w:hAnsi="Times New Roman"/>
          <w:sz w:val="20"/>
          <w:szCs w:val="20"/>
          <w:u w:val="single" w:color="auto"/>
          <w:color w:val="0070C0"/>
        </w:rPr>
        <w:t>) mark-to-market value of Marketable Securities (provided that such Marketable Securities must not be subject to any lock-up or other transfer restrictions) and the aggregate positive amount of net cash proceeds that would be due to such Person from all Qualified Forward Equity Contracts that have not yet settled as of such date, calculated as if such Qualified Forward Equity Contracts were settled by such Person’s delivery of its common shares as of, and such net cash proceeds were actually received on, the last day of the applicable calculation period; plus (j</w:t>
      </w:r>
      <w:r>
        <w:rPr>
          <w:rFonts w:ascii="Times New Roman" w:cs="Times New Roman" w:eastAsia="Times New Roman" w:hAnsi="Times New Roman"/>
          <w:sz w:val="20"/>
          <w:szCs w:val="20"/>
          <w:color w:val="000000"/>
        </w:rPr>
        <w:t>) the GAAP book value of Investments in Unconsolidated Affiliates (for the avoidance of doubt, assets owned by Unconsolidated</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Affiliates which are described in clauses (a) – (</w:t>
      </w:r>
      <w:r>
        <w:rPr>
          <w:rFonts w:ascii="Times New Roman" w:cs="Times New Roman" w:eastAsia="Times New Roman" w:hAnsi="Times New Roman"/>
          <w:sz w:val="20"/>
          <w:szCs w:val="20"/>
          <w:color w:val="ED0000"/>
          <w:strike w:val="1"/>
        </w:rPr>
        <w:t>h</w:t>
      </w:r>
      <w:r>
        <w:rPr>
          <w:rFonts w:ascii="Times New Roman" w:cs="Times New Roman" w:eastAsia="Times New Roman" w:hAnsi="Times New Roman"/>
          <w:sz w:val="20"/>
          <w:szCs w:val="20"/>
          <w:u w:val="single" w:color="auto"/>
          <w:color w:val="0070C0"/>
        </w:rPr>
        <w:t>i</w:t>
      </w:r>
      <w:r>
        <w:rPr>
          <w:rFonts w:ascii="Times New Roman" w:cs="Times New Roman" w:eastAsia="Times New Roman" w:hAnsi="Times New Roman"/>
          <w:sz w:val="20"/>
          <w:szCs w:val="20"/>
          <w:color w:val="000000"/>
        </w:rPr>
        <w:t xml:space="preserve">) above shall not </w:t>
      </w:r>
      <w:r>
        <w:rPr>
          <w:rFonts w:ascii="Times New Roman" w:cs="Times New Roman" w:eastAsia="Times New Roman" w:hAnsi="Times New Roman"/>
          <w:sz w:val="20"/>
          <w:szCs w:val="20"/>
          <w:u w:val="single" w:color="auto"/>
          <w:color w:val="0070C0"/>
        </w:rPr>
        <w:t>separately</w:t>
      </w:r>
      <w:r>
        <w:rPr>
          <w:rFonts w:ascii="Times New Roman" w:cs="Times New Roman" w:eastAsia="Times New Roman" w:hAnsi="Times New Roman"/>
          <w:sz w:val="20"/>
          <w:szCs w:val="20"/>
          <w:color w:val="000000"/>
        </w:rPr>
        <w:t xml:space="preserve"> be included in the calculation of Total Asset Value). EBITDA attributable to (</w:t>
      </w:r>
      <w:r>
        <w:rPr>
          <w:rFonts w:ascii="Times New Roman" w:cs="Times New Roman" w:eastAsia="Times New Roman" w:hAnsi="Times New Roman"/>
          <w:sz w:val="20"/>
          <w:szCs w:val="20"/>
          <w:color w:val="ED0000"/>
          <w:strike w:val="1"/>
        </w:rPr>
        <w:t>w</w:t>
      </w:r>
      <w:r>
        <w:rPr>
          <w:rFonts w:ascii="Times New Roman" w:cs="Times New Roman" w:eastAsia="Times New Roman" w:hAnsi="Times New Roman"/>
          <w:sz w:val="20"/>
          <w:szCs w:val="20"/>
          <w:u w:val="single" w:color="auto"/>
          <w:color w:val="0070C0"/>
        </w:rPr>
        <w:t>s</w:t>
      </w:r>
      <w:r>
        <w:rPr>
          <w:rFonts w:ascii="Times New Roman" w:cs="Times New Roman" w:eastAsia="Times New Roman" w:hAnsi="Times New Roman"/>
          <w:sz w:val="20"/>
          <w:szCs w:val="20"/>
          <w:color w:val="000000"/>
        </w:rPr>
        <w:t>) SUMMIT One Vanderbilt Operator, (x</w:t>
      </w:r>
      <w:r>
        <w:rPr>
          <w:rFonts w:ascii="Times New Roman" w:cs="Times New Roman" w:eastAsia="Times New Roman" w:hAnsi="Times New Roman"/>
          <w:sz w:val="20"/>
          <w:szCs w:val="20"/>
          <w:u w:val="single" w:color="auto"/>
          <w:color w:val="0070C0"/>
        </w:rPr>
        <w:t>t) SEV Operator, (u</w:t>
      </w:r>
      <w:r>
        <w:rPr>
          <w:rFonts w:ascii="Times New Roman" w:cs="Times New Roman" w:eastAsia="Times New Roman" w:hAnsi="Times New Roman"/>
          <w:sz w:val="20"/>
          <w:szCs w:val="20"/>
          <w:color w:val="000000"/>
        </w:rPr>
        <w:t xml:space="preserve">) Properties acquired or disposed of during the six fiscal quarters ending immediately prior to any date of determination of Total Asset Value </w:t>
      </w:r>
      <w:r>
        <w:rPr>
          <w:rFonts w:ascii="Times New Roman" w:cs="Times New Roman" w:eastAsia="Times New Roman" w:hAnsi="Times New Roman"/>
          <w:sz w:val="20"/>
          <w:szCs w:val="20"/>
          <w:color w:val="ED0000"/>
          <w:strike w:val="1"/>
        </w:rPr>
        <w:t>or</w:t>
      </w: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ED0000"/>
          <w:strike w:val="1"/>
        </w:rPr>
        <w:t>y</w:t>
      </w:r>
      <w:r>
        <w:rPr>
          <w:rFonts w:ascii="Times New Roman" w:cs="Times New Roman" w:eastAsia="Times New Roman" w:hAnsi="Times New Roman"/>
          <w:sz w:val="20"/>
          <w:szCs w:val="20"/>
          <w:u w:val="single" w:color="auto"/>
          <w:color w:val="0070C0"/>
        </w:rPr>
        <w:t>v</w:t>
      </w:r>
      <w:r>
        <w:rPr>
          <w:rFonts w:ascii="Times New Roman" w:cs="Times New Roman" w:eastAsia="Times New Roman" w:hAnsi="Times New Roman"/>
          <w:sz w:val="20"/>
          <w:szCs w:val="20"/>
          <w:color w:val="000000"/>
        </w:rPr>
        <w:t xml:space="preserve">) Properties that were Development Properties at the end of such fiscal quarter </w:t>
      </w:r>
      <w:r>
        <w:rPr>
          <w:rFonts w:ascii="Times New Roman" w:cs="Times New Roman" w:eastAsia="Times New Roman" w:hAnsi="Times New Roman"/>
          <w:sz w:val="20"/>
          <w:szCs w:val="20"/>
          <w:color w:val="ED0000"/>
        </w:rPr>
        <w:t>or (z) Transition Assets</w:t>
      </w:r>
      <w:r>
        <w:rPr>
          <w:rFonts w:ascii="Times New Roman" w:cs="Times New Roman" w:eastAsia="Times New Roman" w:hAnsi="Times New Roman"/>
          <w:sz w:val="20"/>
          <w:szCs w:val="20"/>
          <w:u w:val="single" w:color="auto"/>
          <w:color w:val="0070C0"/>
        </w:rPr>
        <w:t>, (w) Mortgage Receivables or other promissory notes, (x) Structured Finance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0C0"/>
        </w:rPr>
        <w:t>Investments or Fund Investments, (y) Transition Assets or (z) Marketable Securities or forward equity trades</w:t>
      </w:r>
      <w:r>
        <w:rPr>
          <w:rFonts w:ascii="Times New Roman" w:cs="Times New Roman" w:eastAsia="Times New Roman" w:hAnsi="Times New Roman"/>
          <w:sz w:val="20"/>
          <w:szCs w:val="20"/>
          <w:color w:val="000000"/>
        </w:rPr>
        <w:t>, shall not be included in the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calculation of Total Asset Value </w:t>
      </w:r>
      <w:r>
        <w:rPr>
          <w:rFonts w:ascii="Times New Roman" w:cs="Times New Roman" w:eastAsia="Times New Roman" w:hAnsi="Times New Roman"/>
          <w:sz w:val="20"/>
          <w:szCs w:val="20"/>
          <w:u w:val="single" w:color="auto"/>
          <w:color w:val="0070C0"/>
        </w:rPr>
        <w:t>under clause (b) above</w:t>
      </w:r>
      <w:r>
        <w:rPr>
          <w:rFonts w:ascii="Times New Roman" w:cs="Times New Roman" w:eastAsia="Times New Roman" w:hAnsi="Times New Roman"/>
          <w:sz w:val="20"/>
          <w:szCs w:val="20"/>
          <w:color w:val="000000"/>
        </w:rPr>
        <w:t xml:space="preserve">. Notwithstanding the foregoing (I) if the contribution from clause (f) above should exceed </w:t>
      </w:r>
      <w:r>
        <w:rPr>
          <w:rFonts w:ascii="Times New Roman" w:cs="Times New Roman" w:eastAsia="Times New Roman" w:hAnsi="Times New Roman"/>
          <w:sz w:val="20"/>
          <w:szCs w:val="20"/>
          <w:color w:val="ED0000"/>
          <w:strike w:val="1"/>
        </w:rPr>
        <w:t>15</w:t>
      </w:r>
      <w:r>
        <w:rPr>
          <w:rFonts w:ascii="Times New Roman" w:cs="Times New Roman" w:eastAsia="Times New Roman" w:hAnsi="Times New Roman"/>
          <w:sz w:val="20"/>
          <w:szCs w:val="20"/>
          <w:u w:val="single" w:color="auto"/>
          <w:color w:val="0070C0"/>
        </w:rPr>
        <w:t>20</w:t>
      </w:r>
      <w:r>
        <w:rPr>
          <w:rFonts w:ascii="Times New Roman" w:cs="Times New Roman" w:eastAsia="Times New Roman" w:hAnsi="Times New Roman"/>
          <w:sz w:val="20"/>
          <w:szCs w:val="20"/>
          <w:color w:val="000000"/>
        </w:rPr>
        <w:t xml:space="preserve">% of Total Asset Value, such excess shall be excluded from the calculation of Total Asset Value, (II) if the contribution from clause (ij) above should exceed 35% of Total Asset Value, such excess shall be excluded from the calculation of Total Asset Value </w:t>
      </w:r>
      <w:r>
        <w:rPr>
          <w:rFonts w:ascii="Times New Roman" w:cs="Times New Roman" w:eastAsia="Times New Roman" w:hAnsi="Times New Roman"/>
          <w:sz w:val="20"/>
          <w:szCs w:val="20"/>
          <w:color w:val="ED0000"/>
          <w:strike w:val="1"/>
        </w:rPr>
        <w:t>and</w:t>
      </w: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color w:val="000000"/>
        </w:rPr>
        <w:t xml:space="preserve"> (III) if the contribution </w:t>
      </w:r>
      <w:r>
        <w:rPr>
          <w:rFonts w:ascii="Times New Roman" w:cs="Times New Roman" w:eastAsia="Times New Roman" w:hAnsi="Times New Roman"/>
          <w:sz w:val="20"/>
          <w:szCs w:val="20"/>
          <w:u w:val="single" w:color="auto"/>
          <w:color w:val="0070C0"/>
        </w:rPr>
        <w:t>from SEV Value should exceed 5% of Total Asset Value, such excess shall be excluded from the calculation of Total Asset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0C0"/>
        </w:rPr>
        <w:t>Value and (IV) if the contribution from</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(A) Unimproved Land, (B) Equity Interests in Persons (other than consolidated Subsidiaries and</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Unconsolidated Affiliates), (C) Mortgage Receivables in favor of such Person or any of its Subsidiaries (valued based on aggregate book value), (D) Structured Finance Value </w:t>
      </w:r>
      <w:r>
        <w:rPr>
          <w:rFonts w:ascii="Times New Roman" w:cs="Times New Roman" w:eastAsia="Times New Roman" w:hAnsi="Times New Roman"/>
          <w:sz w:val="20"/>
          <w:szCs w:val="20"/>
          <w:color w:val="0070C0"/>
        </w:rPr>
        <w:t>and Fund Investment Value</w:t>
      </w:r>
      <w:r>
        <w:rPr>
          <w:rFonts w:ascii="Times New Roman" w:cs="Times New Roman" w:eastAsia="Times New Roman" w:hAnsi="Times New Roman"/>
          <w:sz w:val="20"/>
          <w:szCs w:val="20"/>
          <w:color w:val="000000"/>
        </w:rPr>
        <w: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-1279525</wp:posOffset>
            </wp:positionV>
            <wp:extent cx="132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32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-19050</wp:posOffset>
            </wp:positionV>
            <wp:extent cx="1409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- 43 -</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Investments in Properties that are not (1) office Properties or (2) retail or multifamily Properties that are located in New York City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color w:val="auto"/>
        </w:rPr>
        <w:t xml:space="preserve"> (F) </w:t>
      </w:r>
      <w:r>
        <w:rPr>
          <w:rFonts w:ascii="Times New Roman" w:cs="Times New Roman" w:eastAsia="Times New Roman" w:hAnsi="Times New Roman"/>
          <w:sz w:val="20"/>
          <w:szCs w:val="20"/>
          <w:u w:val="single" w:color="auto"/>
          <w:color w:val="0070C0"/>
        </w:rPr>
        <w:t>the SEV Value and (G)</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the aggregate amount of the costs incurred with respect to (1) any Property of such Person or any of its Subsidiaries</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that is under construction (including any Development Property) and (2) any Transition Asset of such Person or any of its Subsidiaries, in each case determined on the basis of “construction-in-process” in accordance with GAAP, if applicable, and if not applicable, by the GAAP book value of such Property, in the aggregate for clauses (A) – (</w:t>
      </w:r>
      <w:r>
        <w:rPr>
          <w:rFonts w:ascii="Times New Roman" w:cs="Times New Roman" w:eastAsia="Times New Roman" w:hAnsi="Times New Roman"/>
          <w:sz w:val="20"/>
          <w:szCs w:val="20"/>
          <w:color w:val="ED0000"/>
          <w:strike w:val="1"/>
        </w:rPr>
        <w:t>F</w:t>
      </w:r>
      <w:r>
        <w:rPr>
          <w:rFonts w:ascii="Times New Roman" w:cs="Times New Roman" w:eastAsia="Times New Roman" w:hAnsi="Times New Roman"/>
          <w:sz w:val="20"/>
          <w:szCs w:val="20"/>
          <w:u w:val="single" w:color="auto"/>
          <w:color w:val="0070C0"/>
        </w:rPr>
        <w:t>G</w:t>
      </w:r>
      <w:r>
        <w:rPr>
          <w:rFonts w:ascii="Times New Roman" w:cs="Times New Roman" w:eastAsia="Times New Roman" w:hAnsi="Times New Roman"/>
          <w:sz w:val="20"/>
          <w:szCs w:val="20"/>
          <w:color w:val="000000"/>
        </w:rPr>
        <w:t>) should exceed 40% of Total Asset Value, such excess shall be excluded from the calculation of Total Asset Value.</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Indebtedness</w:t>
      </w:r>
      <w:r>
        <w:rPr>
          <w:rFonts w:ascii="Times New Roman" w:cs="Times New Roman" w:eastAsia="Times New Roman" w:hAnsi="Times New Roman"/>
          <w:sz w:val="20"/>
          <w:szCs w:val="20"/>
          <w:color w:val="auto"/>
        </w:rPr>
        <w:t>” means, with respect to any Person at any time of determination, all Indebtedness of such Person and its Subsidiaries determined on a consolidated basis in accordance with GAAP applied on a consistent basis.</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Tranche C Term Loan Agreement</w:t>
      </w:r>
      <w:r>
        <w:rPr>
          <w:rFonts w:ascii="Times New Roman" w:cs="Times New Roman" w:eastAsia="Times New Roman" w:hAnsi="Times New Roman"/>
          <w:sz w:val="20"/>
          <w:szCs w:val="20"/>
          <w:u w:val="single" w:color="auto"/>
          <w:color w:val="0070C0"/>
        </w:rPr>
        <w:t>” means that certain Term Loan Agreement dated as of the First Amendment Date, by and among the Borrowers, the financial institutions from time to time party thereto,</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388600"/>
        </w:rPr>
        <w:t>Wells Fargo Bank, National Association,</w:t>
      </w:r>
      <w:r>
        <w:rPr>
          <w:rFonts w:ascii="Times New Roman" w:cs="Times New Roman" w:eastAsia="Times New Roman" w:hAnsi="Times New Roman"/>
          <w:sz w:val="20"/>
          <w:szCs w:val="20"/>
          <w:color w:val="0070C0"/>
        </w:rPr>
        <w:t xml:space="preserve"> as administrative </w:t>
      </w:r>
      <w:r>
        <w:rPr>
          <w:rFonts w:ascii="Times New Roman" w:cs="Times New Roman" w:eastAsia="Times New Roman" w:hAnsi="Times New Roman"/>
          <w:sz w:val="20"/>
          <w:szCs w:val="20"/>
          <w:u w:val="single" w:color="auto"/>
          <w:color w:val="0070C0"/>
        </w:rPr>
        <w:t>agent, and the other parties thereto, as amended by any amendment, restatement, modification, refinancing, refunding, renewal, replacement or extension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6224905</wp:posOffset>
            </wp:positionH>
            <wp:positionV relativeFrom="paragraph">
              <wp:posOffset>-349250</wp:posOffset>
            </wp:positionV>
            <wp:extent cx="9118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Transition Asset</w:t>
      </w:r>
      <w:r>
        <w:rPr>
          <w:rFonts w:ascii="Times New Roman" w:cs="Times New Roman" w:eastAsia="Times New Roman" w:hAnsi="Times New Roman"/>
          <w:sz w:val="20"/>
          <w:szCs w:val="20"/>
          <w:color w:val="auto"/>
        </w:rPr>
        <w:t>” means, at any time of determination, either (a) Property that was acquired by a Borrower, a Subsidiary or an Unconsolidated Affiliate within the period of six fiscal quarters most recently ended and when acquired had an Occupancy Rate of less than seventy percent (70.0%) or (b) a Property identified by the Borrower Representative in a written notice (which may be by telecopy or electronic mail) to the Administrative Agent on which the existing building is undergoing a renovation or redevelopment that will result in at least thirty percent (30%) of the total gross leasable area of such building being unavailable for occupancy. A Transition Asset of the type described in clause (a) of this definition will cease to be a Transition Asset immediately following the last day of the period of six fiscal quarters commencing with the fiscal quarter in which such Property was acquired, and a Transition Asset of the type described in clause (b) of this definition will cease to be a Transition Asset immediately following the last day of the period of six fiscal quarters commencing with the fiscal quarter in which all improvements related to the renovation or redevelopment were completed. A Transition Asset of the type described in clause (a) of this definition shall in no event be considered to be a Newly-Acquired Property.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w:t>
      </w:r>
      <w:r>
        <w:rPr>
          <w:rFonts w:ascii="Times New Roman" w:cs="Times New Roman" w:eastAsia="Times New Roman" w:hAnsi="Times New Roman"/>
          <w:sz w:val="20"/>
          <w:szCs w:val="20"/>
          <w:color w:val="auto"/>
        </w:rPr>
        <w:t>” means SL Green Capital Trust I, a Delaware statutory trust.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Type</w:t>
      </w:r>
      <w:r>
        <w:rPr>
          <w:rFonts w:ascii="Times New Roman" w:cs="Times New Roman" w:eastAsia="Times New Roman" w:hAnsi="Times New Roman"/>
          <w:sz w:val="20"/>
          <w:szCs w:val="20"/>
          <w:color w:val="auto"/>
        </w:rPr>
        <w:t xml:space="preserve">” with respect to any Revolving Loan or Term Loan, refers to whether such Loan or portion thereof is a </w:t>
      </w:r>
      <w:r>
        <w:rPr>
          <w:rFonts w:ascii="Times New Roman" w:cs="Times New Roman" w:eastAsia="Times New Roman" w:hAnsi="Times New Roman"/>
          <w:sz w:val="20"/>
          <w:szCs w:val="20"/>
          <w:u w:val="single" w:color="auto"/>
          <w:color w:val="0070C0"/>
        </w:rPr>
        <w:t>Daily Simple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Loan, a Term</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SOFR Loan or a Base Rate Loan.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means the Uniform Commercial Code as in effect in any applicable jurisdiction.</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- 44 -</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8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Unconsolidated Affiliate</w:t>
      </w:r>
      <w:r>
        <w:rPr>
          <w:rFonts w:ascii="Times New Roman" w:cs="Times New Roman" w:eastAsia="Times New Roman" w:hAnsi="Times New Roman"/>
          <w:sz w:val="20"/>
          <w:szCs w:val="20"/>
          <w:color w:val="auto"/>
        </w:rPr>
        <w:t xml:space="preserve">”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w:t>
      </w:r>
      <w:r>
        <w:rPr>
          <w:rFonts w:ascii="Times New Roman" w:cs="Times New Roman" w:eastAsia="Times New Roman" w:hAnsi="Times New Roman"/>
          <w:sz w:val="20"/>
          <w:szCs w:val="20"/>
          <w:color w:val="ED0000"/>
          <w:strike w:val="1"/>
        </w:rPr>
        <w:t>Notwithstanding anything to the contrary contained in this Agreement, in no event shall the Unrestricted Subsidiary be deemed to be an Unconsolidated Affiliate.</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Unencumbered Adjusted NOI</w:t>
      </w:r>
      <w:r>
        <w:rPr>
          <w:rFonts w:ascii="Times New Roman" w:cs="Times New Roman" w:eastAsia="Times New Roman" w:hAnsi="Times New Roman"/>
          <w:sz w:val="20"/>
          <w:szCs w:val="20"/>
          <w:color w:val="auto"/>
        </w:rPr>
        <w:t xml:space="preserve">” means, for any period, </w:t>
      </w:r>
      <w:r>
        <w:rPr>
          <w:rFonts w:ascii="Times New Roman" w:cs="Times New Roman" w:eastAsia="Times New Roman" w:hAnsi="Times New Roman"/>
          <w:sz w:val="20"/>
          <w:szCs w:val="20"/>
          <w:color w:val="ED0000"/>
          <w:strike w:val="1"/>
        </w:rPr>
        <w:t>(a)</w:t>
      </w:r>
      <w:r>
        <w:rPr>
          <w:rFonts w:ascii="Times New Roman" w:cs="Times New Roman" w:eastAsia="Times New Roman" w:hAnsi="Times New Roman"/>
          <w:sz w:val="20"/>
          <w:szCs w:val="20"/>
          <w:color w:val="auto"/>
        </w:rPr>
        <w:t xml:space="preserve"> Net Operating Income from all Eligible Properties</w:t>
      </w:r>
      <w:r>
        <w:rPr>
          <w:rFonts w:ascii="Times New Roman" w:cs="Times New Roman" w:eastAsia="Times New Roman" w:hAnsi="Times New Roman"/>
          <w:sz w:val="20"/>
          <w:szCs w:val="20"/>
          <w:color w:val="ED0000"/>
          <w:strike w:val="1"/>
        </w:rPr>
        <w:t>, minus (b)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Reserves for such period</w:t>
      </w:r>
      <w:r>
        <w:rPr>
          <w:rFonts w:ascii="Times New Roman" w:cs="Times New Roman" w:eastAsia="Times New Roman" w:hAnsi="Times New Roman"/>
          <w:sz w:val="20"/>
          <w:szCs w:val="20"/>
          <w:color w:val="000000"/>
        </w:rPr>
        <w:t>.</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Unencumbered Asset Value</w:t>
      </w:r>
      <w:r>
        <w:rPr>
          <w:rFonts w:ascii="Times New Roman" w:cs="Times New Roman" w:eastAsia="Times New Roman" w:hAnsi="Times New Roman"/>
          <w:sz w:val="19"/>
          <w:szCs w:val="19"/>
          <w:color w:val="auto"/>
        </w:rPr>
        <w:t xml:space="preserve">” means, without duplication (a) the Unencumbered Adjusted NOI (excluding Net Operating Income attributable to (i) Development Properties, (ii) Transition Assets, (iii) Newly-Acquired Properties </w:t>
      </w:r>
      <w:r>
        <w:rPr>
          <w:rFonts w:ascii="Times New Roman" w:cs="Times New Roman" w:eastAsia="Times New Roman" w:hAnsi="Times New Roman"/>
          <w:sz w:val="19"/>
          <w:szCs w:val="19"/>
          <w:color w:val="ED0000"/>
        </w:rPr>
        <w:t>and</w:t>
      </w:r>
      <w:r>
        <w:rPr>
          <w:rFonts w:ascii="Times New Roman" w:cs="Times New Roman" w:eastAsia="Times New Roman" w:hAnsi="Times New Roman"/>
          <w:sz w:val="19"/>
          <w:szCs w:val="19"/>
          <w:u w:val="single" w:color="auto"/>
          <w:color w:val="0070C0"/>
        </w:rPr>
        <w:t>,</w:t>
      </w:r>
      <w:r>
        <w:rPr>
          <w:rFonts w:ascii="Times New Roman" w:cs="Times New Roman" w:eastAsia="Times New Roman" w:hAnsi="Times New Roman"/>
          <w:sz w:val="19"/>
          <w:szCs w:val="19"/>
          <w:color w:val="auto"/>
        </w:rPr>
        <w:t xml:space="preserve"> (iv) SUMMIT One Vanderbilt </w:t>
      </w:r>
      <w:r>
        <w:rPr>
          <w:rFonts w:ascii="Times New Roman" w:cs="Times New Roman" w:eastAsia="Times New Roman" w:hAnsi="Times New Roman"/>
          <w:sz w:val="19"/>
          <w:szCs w:val="19"/>
          <w:color w:val="0070C0"/>
        </w:rPr>
        <w:t>and (v)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any Investment owned by the SEV Operator</w:t>
      </w:r>
      <w:r>
        <w:rPr>
          <w:rFonts w:ascii="Times New Roman" w:cs="Times New Roman" w:eastAsia="Times New Roman" w:hAnsi="Times New Roman"/>
          <w:sz w:val="19"/>
          <w:szCs w:val="19"/>
          <w:color w:val="000000"/>
        </w:rPr>
        <w:t>) for the immediately preceding period of four consecutive fiscal quarters divided by the</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 xml:space="preserve">Capitalization Rate; provided that, for the Annualization Period for a Newly-Acquired Property or Transition Asset, the Unencumbered Adjusted NOI for such Newly-Acquired Property or Transition Asset, as applicable, shall be determined on an Annualized basis, plus (b) the GAAP book value of all Eligible Properties acquired during the six fiscal quarters most recently ended, plus (c) the </w:t>
      </w:r>
      <w:r>
        <w:rPr>
          <w:rFonts w:ascii="Times New Roman" w:cs="Times New Roman" w:eastAsia="Times New Roman" w:hAnsi="Times New Roman"/>
          <w:sz w:val="19"/>
          <w:szCs w:val="19"/>
          <w:u w:val="single" w:color="auto"/>
          <w:color w:val="0070C0"/>
        </w:rPr>
        <w:t>sum of the</w:t>
      </w:r>
      <w:r>
        <w:rPr>
          <w:rFonts w:ascii="Times New Roman" w:cs="Times New Roman" w:eastAsia="Times New Roman" w:hAnsi="Times New Roman"/>
          <w:sz w:val="19"/>
          <w:szCs w:val="19"/>
          <w:color w:val="000000"/>
        </w:rPr>
        <w:t xml:space="preserve"> Structured Finance </w:t>
      </w:r>
      <w:r>
        <w:rPr>
          <w:rFonts w:ascii="Times New Roman" w:cs="Times New Roman" w:eastAsia="Times New Roman" w:hAnsi="Times New Roman"/>
          <w:sz w:val="19"/>
          <w:szCs w:val="19"/>
          <w:u w:val="single" w:color="auto"/>
          <w:color w:val="0070C0"/>
        </w:rPr>
        <w:t>Value and the Fund Investment</w:t>
      </w:r>
      <w:r>
        <w:rPr>
          <w:rFonts w:ascii="Times New Roman" w:cs="Times New Roman" w:eastAsia="Times New Roman" w:hAnsi="Times New Roman"/>
          <w:sz w:val="19"/>
          <w:szCs w:val="19"/>
          <w:color w:val="000000"/>
        </w:rPr>
        <w:t xml:space="preserve"> Value, plus (d) the GAAP book value of Development Properties or Transition Assets that would be “Eligible Properties” if fully developed; plus (e) the GAAP book value of Mortgage Receivables held by a Borrower, a Subsidiary or an Unconsolidated Affiliate (i) that are not, and if held by a Subsidiary or Unconsolidated Affiliate, no Borrower’s direct or indirect ownership interest in such Subsidiary or Unconsolidated Affiliate is, subject to any Lien (other than Permitted Liens) or any Negative Pledge, and (ii) with respect to which a Borrower has a right, directly or indirectly through a Subsidiary or Unconsolidated Affiliate, to create Liens on such Mortgage Receivables as security for Indebtedness of such Borrower and to sell, transfer or otherwise dispose of such Mortgage Receivable, in each case, without the need to obtain the consent of any Person; plus (f) cash and Cash Equivalents (other than tenant deposits and other cash and Cash Equivalents that are subject to a Lien or a Negative Pledge or the disposition of which is restricted in any way) of the Borrower, any Subsidiary or any Unconsolidated Affiliate, excluding any Subsidiary or Unconsolidated Affiliate whose Equity Interests are subject to a Lien or a Negative Pledge</w:t>
      </w:r>
      <w:r>
        <w:rPr>
          <w:rFonts w:ascii="Times New Roman" w:cs="Times New Roman" w:eastAsia="Times New Roman" w:hAnsi="Times New Roman"/>
          <w:sz w:val="19"/>
          <w:szCs w:val="19"/>
          <w:u w:val="single" w:color="auto"/>
          <w:color w:val="0070C0"/>
        </w:rPr>
        <w:t>;</w:t>
      </w:r>
      <w:r>
        <w:rPr>
          <w:rFonts w:ascii="Times New Roman" w:cs="Times New Roman" w:eastAsia="Times New Roman" w:hAnsi="Times New Roman"/>
          <w:sz w:val="19"/>
          <w:szCs w:val="19"/>
          <w:color w:val="000000"/>
        </w:rPr>
        <w:t xml:space="preserve"> plus (g) the SUMMIT One Vanderbilt Value to the extent that SUMMIT One Vanderbilt qualifies as an “Eligible Property”</w:t>
      </w:r>
      <w:r>
        <w:rPr>
          <w:rFonts w:ascii="Times New Roman" w:cs="Times New Roman" w:eastAsia="Times New Roman" w:hAnsi="Times New Roman"/>
          <w:sz w:val="19"/>
          <w:szCs w:val="19"/>
          <w:u w:val="single" w:color="auto"/>
          <w:color w:val="0070C0"/>
        </w:rPr>
        <w:t>; plus (h) the SEV Value; plus (i) marked-to-market value of Marketable Securities (provided that such Marketable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70C0"/>
        </w:rPr>
        <w:t>Securities (i) must not be subject to any lock-up or other transfer restrictions, (ii) are not, and if held by a Subsidiary or Unconsolidated Affiliate, no Borrower’s direct or indirect ownership interest in such Subsidiary or Unconsolidated Affiliate is, subject to any Lien (other than Permitted Liens) or any Negative Pledge, and (iii) with respect to which a Borrower has a right, directly or indirectly through a Subsidiary or Unconsolidated Affiliate, to create Liens on such Marketable Security as security for Indebtedness of such Borrower and to sell, transfer or otherwise dispose of such Marketable Security, in each case, without the need to obtain the consent of any Person)</w:t>
      </w:r>
      <w:r>
        <w:rPr>
          <w:rFonts w:ascii="Times New Roman" w:cs="Times New Roman" w:eastAsia="Times New Roman" w:hAnsi="Times New Roman"/>
          <w:sz w:val="19"/>
          <w:szCs w:val="19"/>
          <w:color w:val="000000"/>
        </w:rPr>
        <w:t>. For purposes of this</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definition, to the extent that the percentage of Unencumbered Asset Value attributable to (x</w:t>
      </w:r>
      <w:r>
        <w:rPr>
          <w:rFonts w:ascii="Times New Roman" w:cs="Times New Roman" w:eastAsia="Times New Roman" w:hAnsi="Times New Roman"/>
          <w:sz w:val="19"/>
          <w:szCs w:val="19"/>
          <w:u w:val="single" w:color="auto"/>
          <w:color w:val="0070C0"/>
        </w:rPr>
        <w:t>) SEV Value would exceed 5% of 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70C0"/>
        </w:rPr>
        <w:t>Unencumbered Asset Value, (y</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(A) assets identified in clauses (c), (d) (not including 760 Madison Avenue, New York, New York), (e)</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ED0000"/>
        </w:rPr>
        <w:t>and</w:t>
      </w:r>
      <w:r>
        <w:rPr>
          <w:rFonts w:ascii="Times New Roman" w:cs="Times New Roman" w:eastAsia="Times New Roman" w:hAnsi="Times New Roman"/>
          <w:sz w:val="19"/>
          <w:szCs w:val="19"/>
          <w:u w:val="single" w:color="auto"/>
          <w:color w:val="0070C0"/>
        </w:rPr>
        <w:t>,</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(g</w:t>
      </w:r>
      <w:r>
        <w:rPr>
          <w:rFonts w:ascii="Times New Roman" w:cs="Times New Roman" w:eastAsia="Times New Roman" w:hAnsi="Times New Roman"/>
          <w:sz w:val="19"/>
          <w:szCs w:val="19"/>
          <w:u w:val="single" w:color="auto"/>
          <w:color w:val="0070C0"/>
        </w:rPr>
        <w:t>) and (h</w:t>
      </w:r>
      <w:r>
        <w:rPr>
          <w:rFonts w:ascii="Times New Roman" w:cs="Times New Roman" w:eastAsia="Times New Roman" w:hAnsi="Times New Roman"/>
          <w:sz w:val="19"/>
          <w:szCs w:val="19"/>
          <w:color w:val="000000"/>
        </w:rPr>
        <w:t>) above, (B) Unencumbered Adjusted NOI attributable to Unconsolidated Affiliates and (C) the GAAP book value of Eligible Properties acquired during the six fiscal quarters most recently ended and cash and Cash Equivalents which, with respect to this clause (C), are owned by, Unconsolidated Affiliates, would, for clauses (A) – (C) in the aggregate exceed 35.0%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-3712210</wp:posOffset>
            </wp:positionV>
            <wp:extent cx="212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6730365</wp:posOffset>
            </wp:positionH>
            <wp:positionV relativeFrom="paragraph">
              <wp:posOffset>-3660775</wp:posOffset>
            </wp:positionV>
            <wp:extent cx="3994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99415" cy="8890"/>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-394335</wp:posOffset>
            </wp:positionV>
            <wp:extent cx="220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20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- 45 -</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Unencumbered Asset Value and/or (</w:t>
      </w:r>
      <w:r>
        <w:rPr>
          <w:rFonts w:ascii="Times New Roman" w:cs="Times New Roman" w:eastAsia="Times New Roman" w:hAnsi="Times New Roman"/>
          <w:sz w:val="19"/>
          <w:szCs w:val="19"/>
          <w:color w:val="ED0000"/>
          <w:strike w:val="1"/>
        </w:rPr>
        <w:t>y</w:t>
      </w:r>
      <w:r>
        <w:rPr>
          <w:rFonts w:ascii="Times New Roman" w:cs="Times New Roman" w:eastAsia="Times New Roman" w:hAnsi="Times New Roman"/>
          <w:sz w:val="19"/>
          <w:szCs w:val="19"/>
          <w:color w:val="0070C0"/>
        </w:rPr>
        <w:t>z</w:t>
      </w:r>
      <w:r>
        <w:rPr>
          <w:rFonts w:ascii="Times New Roman" w:cs="Times New Roman" w:eastAsia="Times New Roman" w:hAnsi="Times New Roman"/>
          <w:sz w:val="19"/>
          <w:szCs w:val="19"/>
          <w:color w:val="auto"/>
        </w:rPr>
        <w:t xml:space="preserve">) Properties subject to a Ground Lease (not including each of 1185 Avenue of the Americas, New York, New York, </w:t>
      </w:r>
      <w:r>
        <w:rPr>
          <w:rFonts w:ascii="Times New Roman" w:cs="Times New Roman" w:eastAsia="Times New Roman" w:hAnsi="Times New Roman"/>
          <w:sz w:val="19"/>
          <w:szCs w:val="19"/>
          <w:color w:val="ED0000"/>
          <w:strike w:val="1"/>
        </w:rPr>
        <w:t>625 Madison Avenue, New York, New York</w:t>
      </w:r>
      <w:r>
        <w:rPr>
          <w:rFonts w:ascii="Times New Roman" w:cs="Times New Roman" w:eastAsia="Times New Roman" w:hAnsi="Times New Roman"/>
          <w:sz w:val="19"/>
          <w:szCs w:val="19"/>
          <w:color w:val="auto"/>
        </w:rPr>
        <w:t xml:space="preserve"> and 711 Third Avenue, New York, New York) would exceed 10% of the Unencumbered Asset Value, then, in the case of each of clauses (x) </w:t>
      </w:r>
      <w:r>
        <w:rPr>
          <w:rFonts w:ascii="Times New Roman" w:cs="Times New Roman" w:eastAsia="Times New Roman" w:hAnsi="Times New Roman"/>
          <w:sz w:val="19"/>
          <w:szCs w:val="19"/>
          <w:color w:val="ED0000"/>
        </w:rPr>
        <w:t>and</w:t>
      </w:r>
      <w:r>
        <w:rPr>
          <w:rFonts w:ascii="Times New Roman" w:cs="Times New Roman" w:eastAsia="Times New Roman" w:hAnsi="Times New Roman"/>
          <w:sz w:val="19"/>
          <w:szCs w:val="19"/>
          <w:u w:val="single" w:color="auto"/>
          <w:color w:val="0070C0"/>
        </w:rPr>
        <w:t>,</w:t>
      </w:r>
      <w:r>
        <w:rPr>
          <w:rFonts w:ascii="Times New Roman" w:cs="Times New Roman" w:eastAsia="Times New Roman" w:hAnsi="Times New Roman"/>
          <w:sz w:val="19"/>
          <w:szCs w:val="19"/>
          <w:color w:val="auto"/>
        </w:rPr>
        <w:t xml:space="preserve"> (y</w:t>
      </w:r>
      <w:r>
        <w:rPr>
          <w:rFonts w:ascii="Times New Roman" w:cs="Times New Roman" w:eastAsia="Times New Roman" w:hAnsi="Times New Roman"/>
          <w:sz w:val="19"/>
          <w:szCs w:val="19"/>
          <w:u w:val="single" w:color="auto"/>
          <w:color w:val="0070C0"/>
        </w:rPr>
        <w:t>) and (z</w:t>
      </w:r>
      <w:r>
        <w:rPr>
          <w:rFonts w:ascii="Times New Roman" w:cs="Times New Roman" w:eastAsia="Times New Roman" w:hAnsi="Times New Roman"/>
          <w:sz w:val="19"/>
          <w:szCs w:val="19"/>
          <w:color w:val="auto"/>
        </w:rPr>
        <w:t xml:space="preserve">), such excess shall be excluded from the calculation of Unencumbered Asset Value. Further, no Property (or Net Operating Income attributable to such Property), Structured Finance Investment, </w:t>
      </w:r>
      <w:r>
        <w:rPr>
          <w:rFonts w:ascii="Times New Roman" w:cs="Times New Roman" w:eastAsia="Times New Roman" w:hAnsi="Times New Roman"/>
          <w:sz w:val="19"/>
          <w:szCs w:val="19"/>
          <w:u w:val="single" w:color="auto"/>
          <w:color w:val="0070C0"/>
        </w:rPr>
        <w:t>Fund Investment,</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Mortgage Receivable, cash or Cash Equivalent or, SUMMIT One Vanderbilt Value</w:t>
      </w:r>
      <w:r>
        <w:rPr>
          <w:rFonts w:ascii="Times New Roman" w:cs="Times New Roman" w:eastAsia="Times New Roman" w:hAnsi="Times New Roman"/>
          <w:sz w:val="19"/>
          <w:szCs w:val="19"/>
          <w:u w:val="single" w:color="auto"/>
          <w:color w:val="0070C0"/>
        </w:rPr>
        <w:t>, SEV Value or Marketable Security</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owned or held by</w:t>
      </w:r>
      <w:r>
        <w:rPr>
          <w:rFonts w:ascii="Times New Roman" w:cs="Times New Roman" w:eastAsia="Times New Roman" w:hAnsi="Times New Roman"/>
          <w:sz w:val="19"/>
          <w:szCs w:val="19"/>
          <w:u w:val="single" w:color="auto"/>
          <w:color w:val="0070C0"/>
        </w:rPr>
        <w:t>, or allocated to the ownership share of,</w:t>
      </w:r>
      <w:r>
        <w:rPr>
          <w:rFonts w:ascii="Times New Roman" w:cs="Times New Roman" w:eastAsia="Times New Roman" w:hAnsi="Times New Roman"/>
          <w:sz w:val="19"/>
          <w:szCs w:val="19"/>
          <w:color w:val="000000"/>
        </w:rPr>
        <w:t xml:space="preserve"> an entity other than a Borrower shall be included in the calculation of Unencumbered Asset Value if such entity, or an entity (other than a Borrower) that has a direct or indirect ownership interest in such entity, is an obligor in respect of any Indebtedness (other than Nonrecourse Indebtedness of the type described in clause (a) of the definition thereof). For the avoidance of doubt, in no event shall </w:t>
      </w:r>
      <w:r>
        <w:rPr>
          <w:rFonts w:ascii="Times New Roman" w:cs="Times New Roman" w:eastAsia="Times New Roman" w:hAnsi="Times New Roman"/>
          <w:sz w:val="19"/>
          <w:szCs w:val="19"/>
          <w:u w:val="single" w:color="auto"/>
          <w:color w:val="0070C0"/>
        </w:rPr>
        <w:t>(I)</w:t>
      </w:r>
      <w:r>
        <w:rPr>
          <w:rFonts w:ascii="Times New Roman" w:cs="Times New Roman" w:eastAsia="Times New Roman" w:hAnsi="Times New Roman"/>
          <w:sz w:val="19"/>
          <w:szCs w:val="19"/>
          <w:color w:val="000000"/>
        </w:rPr>
        <w:t xml:space="preserve"> any Property (or Net Operating Income attributable to such Property), Structured Finance Investment, </w:t>
      </w:r>
      <w:r>
        <w:rPr>
          <w:rFonts w:ascii="Times New Roman" w:cs="Times New Roman" w:eastAsia="Times New Roman" w:hAnsi="Times New Roman"/>
          <w:sz w:val="19"/>
          <w:szCs w:val="19"/>
          <w:u w:val="single" w:color="auto"/>
          <w:color w:val="0070C0"/>
        </w:rPr>
        <w:t>Fund Investment,</w:t>
      </w:r>
      <w:r>
        <w:rPr>
          <w:rFonts w:ascii="Times New Roman" w:cs="Times New Roman" w:eastAsia="Times New Roman" w:hAnsi="Times New Roman"/>
          <w:sz w:val="19"/>
          <w:szCs w:val="19"/>
          <w:color w:val="000000"/>
        </w:rPr>
        <w:t xml:space="preserve"> Mortgage Receivable, cash </w:t>
      </w:r>
      <w:r>
        <w:rPr>
          <w:rFonts w:ascii="Times New Roman" w:cs="Times New Roman" w:eastAsia="Times New Roman" w:hAnsi="Times New Roman"/>
          <w:sz w:val="19"/>
          <w:szCs w:val="19"/>
          <w:color w:val="ED0000"/>
          <w:strike w:val="1"/>
        </w:rPr>
        <w:t>or</w:t>
      </w:r>
      <w:r>
        <w:rPr>
          <w:rFonts w:ascii="Times New Roman" w:cs="Times New Roman" w:eastAsia="Times New Roman" w:hAnsi="Times New Roman"/>
          <w:sz w:val="19"/>
          <w:szCs w:val="19"/>
          <w:u w:val="single" w:color="auto"/>
          <w:color w:val="0070C0"/>
        </w:rPr>
        <w:t>,</w:t>
      </w:r>
      <w:r>
        <w:rPr>
          <w:rFonts w:ascii="Times New Roman" w:cs="Times New Roman" w:eastAsia="Times New Roman" w:hAnsi="Times New Roman"/>
          <w:sz w:val="19"/>
          <w:szCs w:val="19"/>
          <w:color w:val="000000"/>
        </w:rPr>
        <w:t xml:space="preserve"> Cash Equivalent </w:t>
      </w:r>
      <w:r>
        <w:rPr>
          <w:rFonts w:ascii="Times New Roman" w:cs="Times New Roman" w:eastAsia="Times New Roman" w:hAnsi="Times New Roman"/>
          <w:sz w:val="19"/>
          <w:szCs w:val="19"/>
          <w:u w:val="single" w:color="auto"/>
          <w:color w:val="0070C0"/>
        </w:rPr>
        <w:t>or Marketable Security</w:t>
      </w:r>
      <w:r>
        <w:rPr>
          <w:rFonts w:ascii="Times New Roman" w:cs="Times New Roman" w:eastAsia="Times New Roman" w:hAnsi="Times New Roman"/>
          <w:sz w:val="19"/>
          <w:szCs w:val="19"/>
          <w:color w:val="000000"/>
        </w:rPr>
        <w:t xml:space="preserve"> owned or held by a Single Asset Entity </w:t>
      </w:r>
      <w:r>
        <w:rPr>
          <w:rFonts w:ascii="Times New Roman" w:cs="Times New Roman" w:eastAsia="Times New Roman" w:hAnsi="Times New Roman"/>
          <w:sz w:val="19"/>
          <w:szCs w:val="19"/>
          <w:color w:val="ED0000"/>
          <w:strike w:val="1"/>
        </w:rPr>
        <w:t>or</w:t>
      </w:r>
      <w:r>
        <w:rPr>
          <w:rFonts w:ascii="Times New Roman" w:cs="Times New Roman" w:eastAsia="Times New Roman" w:hAnsi="Times New Roman"/>
          <w:sz w:val="19"/>
          <w:szCs w:val="19"/>
          <w:u w:val="single" w:color="auto"/>
          <w:color w:val="0070C0"/>
        </w:rPr>
        <w:t>, (II)</w:t>
      </w:r>
      <w:r>
        <w:rPr>
          <w:rFonts w:ascii="Times New Roman" w:cs="Times New Roman" w:eastAsia="Times New Roman" w:hAnsi="Times New Roman"/>
          <w:sz w:val="19"/>
          <w:szCs w:val="19"/>
          <w:color w:val="ED0000"/>
        </w:rPr>
        <w:t xml:space="preserve"> </w:t>
      </w:r>
      <w:r>
        <w:rPr>
          <w:rFonts w:ascii="Times New Roman" w:cs="Times New Roman" w:eastAsia="Times New Roman" w:hAnsi="Times New Roman"/>
          <w:sz w:val="19"/>
          <w:szCs w:val="19"/>
          <w:color w:val="000000"/>
        </w:rPr>
        <w:t>SUMMIT One Vanderbilt Value held by the SUMMIT One Vanderbilt Operator,</w:t>
      </w:r>
      <w:r>
        <w:rPr>
          <w:rFonts w:ascii="Times New Roman" w:cs="Times New Roman" w:eastAsia="Times New Roman" w:hAnsi="Times New Roman"/>
          <w:sz w:val="19"/>
          <w:szCs w:val="19"/>
          <w:color w:val="ED0000"/>
        </w:rPr>
        <w:t xml:space="preserve"> </w:t>
      </w:r>
      <w:r>
        <w:rPr>
          <w:rFonts w:ascii="Times New Roman" w:cs="Times New Roman" w:eastAsia="Times New Roman" w:hAnsi="Times New Roman"/>
          <w:sz w:val="19"/>
          <w:szCs w:val="19"/>
          <w:u w:val="single" w:color="auto"/>
          <w:color w:val="0070C0"/>
        </w:rPr>
        <w:t>or (III) SEV Value held by a SEV Operator,</w:t>
      </w:r>
      <w:r>
        <w:rPr>
          <w:rFonts w:ascii="Times New Roman" w:cs="Times New Roman" w:eastAsia="Times New Roman" w:hAnsi="Times New Roman"/>
          <w:sz w:val="19"/>
          <w:szCs w:val="19"/>
          <w:color w:val="ED0000"/>
        </w:rPr>
        <w:t xml:space="preserve"> </w:t>
      </w:r>
      <w:r>
        <w:rPr>
          <w:rFonts w:ascii="Times New Roman" w:cs="Times New Roman" w:eastAsia="Times New Roman" w:hAnsi="Times New Roman"/>
          <w:sz w:val="19"/>
          <w:szCs w:val="19"/>
          <w:color w:val="000000"/>
        </w:rPr>
        <w:t>if, in any</w:t>
      </w:r>
      <w:r>
        <w:rPr>
          <w:rFonts w:ascii="Times New Roman" w:cs="Times New Roman" w:eastAsia="Times New Roman" w:hAnsi="Times New Roman"/>
          <w:sz w:val="19"/>
          <w:szCs w:val="19"/>
          <w:color w:val="ED0000"/>
        </w:rPr>
        <w:t xml:space="preserve"> </w:t>
      </w:r>
      <w:r>
        <w:rPr>
          <w:rFonts w:ascii="Times New Roman" w:cs="Times New Roman" w:eastAsia="Times New Roman" w:hAnsi="Times New Roman"/>
          <w:sz w:val="19"/>
          <w:szCs w:val="19"/>
          <w:color w:val="000000"/>
        </w:rPr>
        <w:t xml:space="preserve">such case, such </w:t>
      </w:r>
      <w:r>
        <w:rPr>
          <w:rFonts w:ascii="Times New Roman" w:cs="Times New Roman" w:eastAsia="Times New Roman" w:hAnsi="Times New Roman"/>
          <w:sz w:val="19"/>
          <w:szCs w:val="19"/>
          <w:u w:val="single" w:color="auto"/>
          <w:color w:val="0070C0"/>
        </w:rPr>
        <w:t>applicable</w:t>
      </w:r>
      <w:r>
        <w:rPr>
          <w:rFonts w:ascii="Times New Roman" w:cs="Times New Roman" w:eastAsia="Times New Roman" w:hAnsi="Times New Roman"/>
          <w:sz w:val="19"/>
          <w:szCs w:val="19"/>
          <w:color w:val="000000"/>
        </w:rPr>
        <w:t xml:space="preserve"> Person is an obligor in respect of any Indebtedness, be included in the calculation of Unencumbered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-1454150</wp:posOffset>
            </wp:positionV>
            <wp:extent cx="2209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Unimproved Land</w:t>
      </w:r>
      <w:r>
        <w:rPr>
          <w:rFonts w:ascii="Times New Roman" w:cs="Times New Roman" w:eastAsia="Times New Roman" w:hAnsi="Times New Roman"/>
          <w:sz w:val="20"/>
          <w:szCs w:val="20"/>
          <w:color w:val="auto"/>
        </w:rPr>
        <w:t>” means land on which no development (other than improvements that are not material and are temporary in nature) has occurred and for which no development is scheduled in the following 12 months.</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Unrestricted Subsidiary</w:t>
      </w:r>
      <w:r>
        <w:rPr>
          <w:rFonts w:ascii="Times New Roman" w:cs="Times New Roman" w:eastAsia="Times New Roman" w:hAnsi="Times New Roman"/>
          <w:sz w:val="20"/>
          <w:szCs w:val="20"/>
          <w:color w:val="ED0000"/>
          <w:strike w:val="1"/>
        </w:rPr>
        <w:t>” means either (a) SLG Acquisition</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388600"/>
          <w:strike w:val="1"/>
        </w:rPr>
        <w:t>LLC, a Delaware limited liability company</w:t>
      </w:r>
      <w:r>
        <w:rPr>
          <w:rFonts w:ascii="Times New Roman" w:cs="Times New Roman" w:eastAsia="Times New Roman" w:hAnsi="Times New Roman"/>
          <w:sz w:val="20"/>
          <w:szCs w:val="20"/>
          <w:color w:val="ED0000"/>
        </w:rPr>
        <w:t xml:space="preserve"> or (b) any Affiliate of </w:t>
      </w:r>
      <w:r>
        <w:rPr>
          <w:rFonts w:ascii="Times New Roman" w:cs="Times New Roman" w:eastAsia="Times New Roman" w:hAnsi="Times New Roman"/>
          <w:sz w:val="20"/>
          <w:szCs w:val="20"/>
          <w:color w:val="ED0000"/>
          <w:strike w:val="1"/>
        </w:rPr>
        <w:t>SLGOP in which SLG Acquisition LLC, and no other Affiliate of SLGOP or any other Person, owns any Equity Interest, and in either case which has obtained or acquired an interest in any Loan, Revolving Commitment or portion thereof from a Lender pursuant to an Offer Document and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-546735</wp:posOffset>
            </wp:positionV>
            <wp:extent cx="1203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ED0000"/>
          <w:strike w:val="1"/>
        </w:rPr>
        <w:t>“</w:t>
      </w:r>
      <w:r>
        <w:rPr>
          <w:rFonts w:ascii="Times New Roman" w:cs="Times New Roman" w:eastAsia="Times New Roman" w:hAnsi="Times New Roman"/>
          <w:sz w:val="19"/>
          <w:szCs w:val="19"/>
          <w:b w:val="1"/>
          <w:bCs w:val="1"/>
          <w:color w:val="ED0000"/>
          <w:strike w:val="1"/>
        </w:rPr>
        <w:t>Unrestricted Subsidiary Assignment Agreement</w:t>
      </w:r>
      <w:r>
        <w:rPr>
          <w:rFonts w:ascii="Times New Roman" w:cs="Times New Roman" w:eastAsia="Times New Roman" w:hAnsi="Times New Roman"/>
          <w:sz w:val="19"/>
          <w:szCs w:val="19"/>
          <w:color w:val="ED0000"/>
          <w:strike w:val="1"/>
        </w:rPr>
        <w:t>” means, with respect to any assignment to the Unrestricted Subsidiary pursuant to this Agreement, an Unrestricted Subsidiary Assignment and Assumption Agreement substantially in the form of Exhibit Q attached hereto.</w:t>
      </w:r>
    </w:p>
    <w:p>
      <w:pPr>
        <w:spacing w:after="0" w:line="14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Unrestricted Subsidiary Loan</w:t>
      </w:r>
      <w:r>
        <w:rPr>
          <w:rFonts w:ascii="Times New Roman" w:cs="Times New Roman" w:eastAsia="Times New Roman" w:hAnsi="Times New Roman"/>
          <w:sz w:val="20"/>
          <w:szCs w:val="20"/>
          <w:color w:val="ED0000"/>
          <w:strike w:val="1"/>
        </w:rPr>
        <w:t>” means any Loan, Revolving Commitment or Letter of Credit Liability or portion thereof that is, or at any time was, owned by the Unrestricted Subsidiary.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b w:val="1"/>
          <w:bCs w:val="1"/>
          <w:color w:val="ED0000"/>
          <w:strike w:val="1"/>
        </w:rPr>
        <w:t>Unrestricted Subsidiary Loan Retirement</w:t>
      </w:r>
      <w:r>
        <w:rPr>
          <w:rFonts w:ascii="Times New Roman" w:cs="Times New Roman" w:eastAsia="Times New Roman" w:hAnsi="Times New Roman"/>
          <w:sz w:val="20"/>
          <w:szCs w:val="20"/>
          <w:color w:val="ED0000"/>
          <w:strike w:val="1"/>
        </w:rPr>
        <w:t>” has the meaning given that term in Section 12.5.(i)(ii).</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Unsecured Indebtedness</w:t>
      </w:r>
      <w:r>
        <w:rPr>
          <w:rFonts w:ascii="Times New Roman" w:cs="Times New Roman" w:eastAsia="Times New Roman" w:hAnsi="Times New Roman"/>
          <w:sz w:val="20"/>
          <w:szCs w:val="20"/>
          <w:color w:val="auto"/>
        </w:rPr>
        <w:t>” means, with respect to a Person, Indebtedness of such Person that is not Secured Indebtedness; provided, however, that any Indebtedness that is not Nonrecourse Indebtedness and that is secured only by a pledge of Equity Interests shall be deemed to be Unsecured Indebtedness.</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2.1(b), 2.3(b), 2.3(c)(i), 2.3(d), 2.3(e), 2.3(f), 2.9(a), 2.10 and 2.11, in each case, such day is also a Business Day.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any Person that is a “United States Person” as defined in Section 7701(a)(30)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- 46 -</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Tax Compliance Certificate</w:t>
      </w:r>
      <w:r>
        <w:rPr>
          <w:rFonts w:ascii="Times New Roman" w:cs="Times New Roman" w:eastAsia="Times New Roman" w:hAnsi="Times New Roman"/>
          <w:sz w:val="20"/>
          <w:szCs w:val="20"/>
          <w:color w:val="auto"/>
        </w:rPr>
        <w:t>” has the meaning given that term in Section 3.10.(g)(ii)(B)(III).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Wells Fargo</w:t>
      </w:r>
      <w:r>
        <w:rPr>
          <w:rFonts w:ascii="Times New Roman" w:cs="Times New Roman" w:eastAsia="Times New Roman" w:hAnsi="Times New Roman"/>
          <w:sz w:val="20"/>
          <w:szCs w:val="20"/>
          <w:color w:val="auto"/>
        </w:rPr>
        <w:t>” means Wells Fargo Bank, National Association, and its successors and assigns.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Wholly Owned Subsidiary</w:t>
      </w:r>
      <w:r>
        <w:rPr>
          <w:rFonts w:ascii="Times New Roman" w:cs="Times New Roman" w:eastAsia="Times New Roman" w:hAnsi="Times New Roman"/>
          <w:sz w:val="20"/>
          <w:szCs w:val="20"/>
          <w:color w:val="auto"/>
        </w:rPr>
        <w:t>” means any Subsidiary of a Person in respect of which all of the Equity Interests (other than, in the case of a corporation, directors’ qualifying shares) are at the time directly or indirectly owned or controlled by such Person or one or more other Wholly Owned Subsidiaries of such Person or by such Person and one or more other Wholly Owned Subsidiaries of such Person. Notwithstanding anything in this definition to the contrary, SLGOP shall be deemed to be a Wholly Owned Subsidiary of the Parent, and SL Green Management Corp. shall be deemed to be a Wholly Owned Subsidiary of SLGOP.</w:t>
      </w:r>
    </w:p>
    <w:p>
      <w:pPr>
        <w:spacing w:after="0" w:line="16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any liability as a result of a complete or partial withdrawal from a Multiemployer Plan as such terms are defined in Part I of Subtitle E of Title IV of ERISA.</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(a) the Borrower, (b) any other Loan Party or (c) the Administrative Agent, as applicable.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19"/>
          <w:szCs w:val="19"/>
          <w:b w:val="1"/>
          <w:bCs w:val="1"/>
          <w:color w:val="auto"/>
        </w:rPr>
        <w:t>General; References to Eastern Time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Borrowers or the Requisite Lenders shall so request, the Administrative Agent, the Lenders and the Borrowers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References in this Agreement to “Sections”, “Articles”, “Exhibits” and “Schedules” are to sections, articles, exhibits and schedules herein and hereto unless otherwise indicated. 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- 47 -</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Except as expressly provided otherwise in any Loan Document, (i) any reference to any law shall include all statutory and regulatory provisions consolidating, amending, replacing, supplementing or interpreting such law and any reference to any law or regulation shall, unless otherwise specified, refer to such law or regulation as amended, modified, extended, restated, replaced or supplemented from time to time and (ii) any reference to any Person shall be construed to include such Person’s permitted successors and permitted assigns. Unless explicitly set forth to the contrary, a reference to “Subsidiary” means a Subsidiary of the Parent or a Subsidiary of such Subsidiary, a reference to an “Affiliate” means a reference to an Affiliate of the Parent and a reference to an “Unconsolidated Affiliate” means a reference to an Unconsolidated Affiliate of the Parent. Titles and captions of Articles, Sections, subsections and clauses in this Agreement are for convenience only, and neither limit nor amplify the provisions of this Agreement. Unless otherwise indicated, all references to time are references to Eastern time.</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19"/>
          <w:szCs w:val="19"/>
          <w:b w:val="1"/>
          <w:bCs w:val="1"/>
          <w:color w:val="auto"/>
        </w:rPr>
        <w:t>Divisions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w:t>
      </w:r>
    </w:p>
    <w:p>
      <w:pPr>
        <w:spacing w:after="0" w:line="1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1.4.</w:t>
      </w:r>
      <w:r>
        <w:rPr>
          <w:sz w:val="20"/>
          <w:szCs w:val="20"/>
          <w:color w:val="auto"/>
        </w:rPr>
        <w:tab/>
      </w:r>
      <w:r>
        <w:rPr>
          <w:rFonts w:ascii="Times New Roman" w:cs="Times New Roman" w:eastAsia="Times New Roman" w:hAnsi="Times New Roman"/>
          <w:sz w:val="19"/>
          <w:szCs w:val="19"/>
          <w:b w:val="1"/>
          <w:bCs w:val="1"/>
          <w:color w:val="auto"/>
        </w:rPr>
        <w:t>Rates.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The Administrative Agent does not warrant or accept any responsibility for, and shall not have any liability with respect to, (a) the continuation of, administration of, submission of, calculation of or any other matter related to </w:t>
      </w:r>
      <w:r>
        <w:rPr>
          <w:rFonts w:ascii="Times New Roman" w:cs="Times New Roman" w:eastAsia="Times New Roman" w:hAnsi="Times New Roman"/>
          <w:sz w:val="19"/>
          <w:szCs w:val="19"/>
          <w:u w:val="single" w:color="auto"/>
          <w:color w:val="0070C0"/>
        </w:rPr>
        <w:t>SOFR, Daily Simple SOFR,</w:t>
      </w:r>
      <w:r>
        <w:rPr>
          <w:rFonts w:ascii="Times New Roman" w:cs="Times New Roman" w:eastAsia="Times New Roman" w:hAnsi="Times New Roman"/>
          <w:sz w:val="19"/>
          <w:szCs w:val="19"/>
          <w:color w:val="auto"/>
        </w:rPr>
        <w:t xml:space="preserve"> the Term SOFR Reference Rate, </w:t>
      </w:r>
      <w:r>
        <w:rPr>
          <w:rFonts w:ascii="Times New Roman" w:cs="Times New Roman" w:eastAsia="Times New Roman" w:hAnsi="Times New Roman"/>
          <w:sz w:val="19"/>
          <w:szCs w:val="19"/>
          <w:color w:val="ED0000"/>
          <w:strike w:val="1"/>
        </w:rPr>
        <w:t>Adjusted Term SOFR</w:t>
      </w:r>
      <w:r>
        <w:rPr>
          <w:rFonts w:ascii="Times New Roman" w:cs="Times New Roman" w:eastAsia="Times New Roman" w:hAnsi="Times New Roman"/>
          <w:sz w:val="19"/>
          <w:szCs w:val="19"/>
          <w:color w:val="auto"/>
        </w:rPr>
        <w:t xml:space="preserv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4.2(b), will be similar to, or produce the same value or economic equivalence of, or have the same volume or liquidity as, </w:t>
      </w:r>
      <w:r>
        <w:rPr>
          <w:rFonts w:ascii="Times New Roman" w:cs="Times New Roman" w:eastAsia="Times New Roman" w:hAnsi="Times New Roman"/>
          <w:sz w:val="19"/>
          <w:szCs w:val="19"/>
          <w:u w:val="single" w:color="auto"/>
          <w:color w:val="0070C0"/>
        </w:rPr>
        <w:t>SOFR, Daily Simple SOFR,</w:t>
      </w:r>
      <w:r>
        <w:rPr>
          <w:rFonts w:ascii="Times New Roman" w:cs="Times New Roman" w:eastAsia="Times New Roman" w:hAnsi="Times New Roman"/>
          <w:sz w:val="19"/>
          <w:szCs w:val="19"/>
          <w:color w:val="auto"/>
        </w:rPr>
        <w:t xml:space="preserve"> the Term SOFR Reference Rate, </w:t>
      </w:r>
      <w:r>
        <w:rPr>
          <w:rFonts w:ascii="Times New Roman" w:cs="Times New Roman" w:eastAsia="Times New Roman" w:hAnsi="Times New Roman"/>
          <w:sz w:val="19"/>
          <w:szCs w:val="19"/>
          <w:color w:val="ED0000"/>
          <w:strike w:val="1"/>
        </w:rPr>
        <w:t>Adjusted Term SOFR,</w:t>
      </w:r>
      <w:r>
        <w:rPr>
          <w:rFonts w:ascii="Times New Roman" w:cs="Times New Roman" w:eastAsia="Times New Roman" w:hAnsi="Times New Roman"/>
          <w:sz w:val="19"/>
          <w:szCs w:val="19"/>
          <w:color w:val="auto"/>
        </w:rPr>
        <w:t xml:space="preserv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w:t>
      </w:r>
      <w:r>
        <w:rPr>
          <w:rFonts w:ascii="Times New Roman" w:cs="Times New Roman" w:eastAsia="Times New Roman" w:hAnsi="Times New Roman"/>
          <w:sz w:val="19"/>
          <w:szCs w:val="19"/>
          <w:u w:val="single" w:color="auto"/>
          <w:color w:val="007BB8"/>
        </w:rPr>
        <w:t>SOFR, Daily Simple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BB8"/>
        </w:rPr>
        <w:t>SOFR,</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000000"/>
        </w:rPr>
        <w:t>the Term SOFR Reference Rate,</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ED0000"/>
          <w:strike w:val="1"/>
        </w:rPr>
        <w:t>Adjusted Term SOFR,</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000000"/>
        </w:rPr>
        <w:t>Term SOFR, any alternative, successor or replacement rate (including any</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000000"/>
        </w:rPr>
        <w:t xml:space="preserve">Benchmark Replacement) or any relevant adjustments thereto and such transactions may be adverse to the Borrower . The Administrative Agent may select information sources or services in its reasonable discretion to ascertain </w:t>
      </w:r>
      <w:r>
        <w:rPr>
          <w:rFonts w:ascii="Times New Roman" w:cs="Times New Roman" w:eastAsia="Times New Roman" w:hAnsi="Times New Roman"/>
          <w:sz w:val="19"/>
          <w:szCs w:val="19"/>
          <w:u w:val="single" w:color="auto"/>
          <w:color w:val="007BB8"/>
        </w:rPr>
        <w:t>SOFR, Daily Simple SOFR,</w:t>
      </w:r>
      <w:r>
        <w:rPr>
          <w:rFonts w:ascii="Times New Roman" w:cs="Times New Roman" w:eastAsia="Times New Roman" w:hAnsi="Times New Roman"/>
          <w:sz w:val="19"/>
          <w:szCs w:val="19"/>
          <w:color w:val="000000"/>
        </w:rPr>
        <w:t xml:space="preserve"> the Term SOFR Reference Rate, </w:t>
      </w:r>
      <w:r>
        <w:rPr>
          <w:rFonts w:ascii="Times New Roman" w:cs="Times New Roman" w:eastAsia="Times New Roman" w:hAnsi="Times New Roman"/>
          <w:sz w:val="19"/>
          <w:szCs w:val="19"/>
          <w:color w:val="ED0000"/>
          <w:strike w:val="1"/>
        </w:rPr>
        <w:t>Adjusted</w:t>
      </w:r>
      <w:r>
        <w:rPr>
          <w:rFonts w:ascii="Times New Roman" w:cs="Times New Roman" w:eastAsia="Times New Roman" w:hAnsi="Times New Roman"/>
          <w:sz w:val="19"/>
          <w:szCs w:val="19"/>
          <w:color w:val="000000"/>
        </w:rPr>
        <w:t xml:space="preserve"> Term SOFR </w:t>
      </w:r>
      <w:r>
        <w:rPr>
          <w:rFonts w:ascii="Times New Roman" w:cs="Times New Roman" w:eastAsia="Times New Roman" w:hAnsi="Times New Roman"/>
          <w:sz w:val="19"/>
          <w:szCs w:val="19"/>
          <w:color w:val="ED0000"/>
        </w:rPr>
        <w:t>or Term SOFR</w:t>
      </w:r>
      <w:r>
        <w:rPr>
          <w:rFonts w:ascii="Times New Roman" w:cs="Times New Roman" w:eastAsia="Times New Roman" w:hAnsi="Times New Roman"/>
          <w:sz w:val="19"/>
          <w:szCs w:val="19"/>
          <w:color w:val="000000"/>
        </w:rPr>
        <w:t>,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-387985</wp:posOffset>
            </wp:positionV>
            <wp:extent cx="7937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93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- 48 -</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costs, losses or expenses (whether in tort, contract or otherwise and whether at law or in equity), for any error or calculation of any such rate (or component thereof) provided by any such information source or service.</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1.5.</w:t>
      </w:r>
      <w:r>
        <w:rPr>
          <w:sz w:val="20"/>
          <w:szCs w:val="20"/>
          <w:color w:val="auto"/>
        </w:rPr>
        <w:tab/>
      </w:r>
      <w:r>
        <w:rPr>
          <w:rFonts w:ascii="Times New Roman" w:cs="Times New Roman" w:eastAsia="Times New Roman" w:hAnsi="Times New Roman"/>
          <w:sz w:val="19"/>
          <w:szCs w:val="19"/>
          <w:b w:val="1"/>
          <w:bCs w:val="1"/>
          <w:color w:val="auto"/>
        </w:rPr>
        <w:t>Financial Attributes of Unconsolidated Affiliates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When determining the compliance by the Parent or the Borrowers with any financial covenant contained in any of the Loan Documents only the Ownership Share of the Parent or the Borrower, as applicable, of the financial attributes (including the value of any Property (or Net Operating Income attributable to such Property), EBITDA, Structured Finance Investment, </w:t>
      </w:r>
      <w:r>
        <w:rPr>
          <w:rFonts w:ascii="Times New Roman" w:cs="Times New Roman" w:eastAsia="Times New Roman" w:hAnsi="Times New Roman"/>
          <w:sz w:val="20"/>
          <w:szCs w:val="20"/>
          <w:u w:val="single" w:color="auto"/>
          <w:color w:val="007BB8"/>
        </w:rPr>
        <w:t>Fund Investment,</w:t>
      </w:r>
      <w:r>
        <w:rPr>
          <w:rFonts w:ascii="Times New Roman" w:cs="Times New Roman" w:eastAsia="Times New Roman" w:hAnsi="Times New Roman"/>
          <w:sz w:val="20"/>
          <w:szCs w:val="20"/>
          <w:color w:val="auto"/>
        </w:rPr>
        <w:t xml:space="preserve"> Mortgage Receivable, cash or Cash Equivalent</w:t>
      </w:r>
      <w:r>
        <w:rPr>
          <w:rFonts w:ascii="Times New Roman" w:cs="Times New Roman" w:eastAsia="Times New Roman" w:hAnsi="Times New Roman"/>
          <w:sz w:val="20"/>
          <w:szCs w:val="20"/>
          <w:u w:val="single" w:color="auto"/>
          <w:color w:val="007BB8"/>
        </w:rPr>
        <w:t>, SEV Value</w:t>
      </w:r>
      <w:r>
        <w:rPr>
          <w:rFonts w:ascii="Times New Roman" w:cs="Times New Roman" w:eastAsia="Times New Roman" w:hAnsi="Times New Roman"/>
          <w:sz w:val="20"/>
          <w:szCs w:val="20"/>
          <w:color w:val="auto"/>
        </w:rPr>
        <w:t xml:space="preserve"> or SUMMIT One Vanderbilt Value) of an Unconsolidated Affiliate shall be included. For the avoidance of doubt, no Indebtedness of an Unconsolidated Affiliate shall be included in determining the compliance by the Parent or the Borrowers with any financial covenant contained in any of the Loan Documents.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CREDIT FACILITY</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2.1.</w:t>
      </w:r>
      <w:r>
        <w:rPr>
          <w:sz w:val="20"/>
          <w:szCs w:val="20"/>
          <w:color w:val="auto"/>
        </w:rPr>
        <w:tab/>
      </w:r>
      <w:r>
        <w:rPr>
          <w:rFonts w:ascii="Times New Roman" w:cs="Times New Roman" w:eastAsia="Times New Roman" w:hAnsi="Times New Roman"/>
          <w:sz w:val="19"/>
          <w:szCs w:val="19"/>
          <w:b w:val="1"/>
          <w:bCs w:val="1"/>
          <w:color w:val="auto"/>
        </w:rPr>
        <w:t>Revolving Loans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0" w:lineRule="auto"/>
        <w:tabs>
          <w:tab w:leader="none" w:pos="116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Making of Revolving Loans</w:t>
      </w:r>
      <w:r>
        <w:rPr>
          <w:rFonts w:ascii="Times New Roman" w:cs="Times New Roman" w:eastAsia="Times New Roman" w:hAnsi="Times New Roman"/>
          <w:sz w:val="20"/>
          <w:szCs w:val="20"/>
          <w:color w:val="auto"/>
        </w:rPr>
        <w:t>. Subject to the terms and conditions set forth in this Agreement, including without limitation, Section 2.18., each Revolving Lender severally and not jointly agrees to make Revolving Loans to the Borrowers during the period from and including the Effective Date to but excluding the Revolving Termination Date, in an aggregate principal amount at any one time outstanding up to, but not exceeding, such Revolving Lender’s Revolving Commitment. Each borrowing of Revolving Loans that are to be Base Rate Loans shall be in an aggregate minimum amount of $500,000 and integral multiples of $100,000 in excess thereof. Each borrowing of Revolving Loans that are to be SOFR Loans shall be in an aggregate minimum of $1,000,000 and integral multiples of $1,000,000 in excess of that amount. Notwithstanding the immediately preceding two sentences but subject to Section 2.18., a borrowing of Revolving Loans may be in the aggregate amount of the unused Revolving Commitments. Within the foregoing limits and subject to the terms and conditions of this Agreement, the Borrowers may borrow, repay and reborrow Revolving Loans.</w:t>
      </w:r>
    </w:p>
    <w:p>
      <w:pPr>
        <w:spacing w:after="0" w:line="192" w:lineRule="exact"/>
        <w:rPr>
          <w:rFonts w:ascii="Times New Roman" w:cs="Times New Roman" w:eastAsia="Times New Roman" w:hAnsi="Times New Roman"/>
          <w:sz w:val="20"/>
          <w:szCs w:val="20"/>
          <w:color w:val="auto"/>
        </w:rPr>
      </w:pPr>
    </w:p>
    <w:p>
      <w:pPr>
        <w:jc w:val="both"/>
        <w:ind w:firstLine="656"/>
        <w:spacing w:after="0" w:line="264" w:lineRule="auto"/>
        <w:tabs>
          <w:tab w:leader="none" w:pos="1103"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Requests for Revolving Loans</w:t>
      </w:r>
      <w:r>
        <w:rPr>
          <w:rFonts w:ascii="Times New Roman" w:cs="Times New Roman" w:eastAsia="Times New Roman" w:hAnsi="Times New Roman"/>
          <w:sz w:val="19"/>
          <w:szCs w:val="19"/>
          <w:color w:val="auto"/>
        </w:rPr>
        <w:t xml:space="preserve">. Not later than </w:t>
      </w:r>
      <w:r>
        <w:rPr>
          <w:rFonts w:ascii="Times New Roman" w:cs="Times New Roman" w:eastAsia="Times New Roman" w:hAnsi="Times New Roman"/>
          <w:sz w:val="19"/>
          <w:szCs w:val="19"/>
          <w:u w:val="single" w:color="auto"/>
          <w:color w:val="007BB8"/>
        </w:rPr>
        <w:t>(x) 10:00 a.m.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88600"/>
        </w:rPr>
        <w:t>Eastern time on the date of a borrowing of Revolving Loans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88600"/>
        </w:rPr>
        <w:t>are</w:t>
      </w:r>
      <w:r>
        <w:rPr>
          <w:rFonts w:ascii="Times New Roman" w:cs="Times New Roman" w:eastAsia="Times New Roman" w:hAnsi="Times New Roman"/>
          <w:sz w:val="19"/>
          <w:szCs w:val="19"/>
          <w:color w:val="388600"/>
        </w:rPr>
        <w:t xml:space="preserve"> </w:t>
      </w:r>
      <w:r>
        <w:rPr>
          <w:rFonts w:ascii="Times New Roman" w:cs="Times New Roman" w:eastAsia="Times New Roman" w:hAnsi="Times New Roman"/>
          <w:sz w:val="19"/>
          <w:szCs w:val="19"/>
          <w:u w:val="single" w:color="auto"/>
          <w:color w:val="007BB8"/>
        </w:rPr>
        <w:t>to be Daily Simple SOFR Loans, (y)</w:t>
      </w:r>
      <w:r>
        <w:rPr>
          <w:rFonts w:ascii="Times New Roman" w:cs="Times New Roman" w:eastAsia="Times New Roman" w:hAnsi="Times New Roman"/>
          <w:sz w:val="19"/>
          <w:szCs w:val="19"/>
          <w:color w:val="388600"/>
        </w:rPr>
        <w:t xml:space="preserve"> </w:t>
      </w:r>
      <w:r>
        <w:rPr>
          <w:rFonts w:ascii="Times New Roman" w:cs="Times New Roman" w:eastAsia="Times New Roman" w:hAnsi="Times New Roman"/>
          <w:sz w:val="19"/>
          <w:szCs w:val="19"/>
          <w:color w:val="000000"/>
        </w:rPr>
        <w:t>12:00 noon Eastern time at least one (1) Business Day prior to a borrowing of Revolving Loans that</w:t>
      </w:r>
      <w:r>
        <w:rPr>
          <w:rFonts w:ascii="Times New Roman" w:cs="Times New Roman" w:eastAsia="Times New Roman" w:hAnsi="Times New Roman"/>
          <w:sz w:val="19"/>
          <w:szCs w:val="19"/>
          <w:color w:val="388600"/>
        </w:rPr>
        <w:t xml:space="preserve"> </w:t>
      </w:r>
      <w:r>
        <w:rPr>
          <w:rFonts w:ascii="Times New Roman" w:cs="Times New Roman" w:eastAsia="Times New Roman" w:hAnsi="Times New Roman"/>
          <w:sz w:val="19"/>
          <w:szCs w:val="19"/>
          <w:color w:val="000000"/>
        </w:rPr>
        <w:t xml:space="preserve">are to be Base Rate Loans and </w:t>
      </w:r>
      <w:r>
        <w:rPr>
          <w:rFonts w:ascii="Times New Roman" w:cs="Times New Roman" w:eastAsia="Times New Roman" w:hAnsi="Times New Roman"/>
          <w:sz w:val="19"/>
          <w:szCs w:val="19"/>
          <w:color w:val="ED0000"/>
          <w:strike w:val="1"/>
        </w:rPr>
        <w:t>not later than</w:t>
      </w:r>
      <w:r>
        <w:rPr>
          <w:rFonts w:ascii="Times New Roman" w:cs="Times New Roman" w:eastAsia="Times New Roman" w:hAnsi="Times New Roman"/>
          <w:sz w:val="19"/>
          <w:szCs w:val="19"/>
          <w:u w:val="single" w:color="auto"/>
          <w:color w:val="007BB8"/>
        </w:rPr>
        <w:t>(z)</w:t>
      </w:r>
      <w:r>
        <w:rPr>
          <w:rFonts w:ascii="Times New Roman" w:cs="Times New Roman" w:eastAsia="Times New Roman" w:hAnsi="Times New Roman"/>
          <w:sz w:val="19"/>
          <w:szCs w:val="19"/>
          <w:color w:val="000000"/>
        </w:rPr>
        <w:t xml:space="preserve"> 12:00 noon Eastern time at least three (3) U.S. Government Securities Business Days prior to a borrowing of Revolving Loans that are to be </w:t>
      </w:r>
      <w:r>
        <w:rPr>
          <w:rFonts w:ascii="Times New Roman" w:cs="Times New Roman" w:eastAsia="Times New Roman" w:hAnsi="Times New Roman"/>
          <w:sz w:val="19"/>
          <w:szCs w:val="19"/>
          <w:u w:val="single" w:color="auto"/>
          <w:color w:val="007BB8"/>
        </w:rPr>
        <w:t>Term</w:t>
      </w:r>
      <w:r>
        <w:rPr>
          <w:rFonts w:ascii="Times New Roman" w:cs="Times New Roman" w:eastAsia="Times New Roman" w:hAnsi="Times New Roman"/>
          <w:sz w:val="19"/>
          <w:szCs w:val="19"/>
          <w:color w:val="000000"/>
        </w:rPr>
        <w:t xml:space="preserve"> SOFR Loans, the Borrower Representative shall request the borrowing of Revolving Loans by either (i) a telephonic notice to the Administrative Agent, promptly followed by the delivery of a Notice of Borrowing, or (ii) delivering to the Administrative Agent a Notice of Borrowing. Each Notice of Borrowing shall specify the name of the Borrower requesting such Revolving Loans, the aggregate principal amount of the Revolving Loans to be borrowed, the date such Revolving Loans are to be borrowed (which must be a Business Day), the use of the proceeds of such Revolving Loans, the Type of the requested Revolving Loans, and if such Revolving Loans are to be </w:t>
      </w:r>
      <w:r>
        <w:rPr>
          <w:rFonts w:ascii="Times New Roman" w:cs="Times New Roman" w:eastAsia="Times New Roman" w:hAnsi="Times New Roman"/>
          <w:sz w:val="19"/>
          <w:szCs w:val="19"/>
          <w:u w:val="single" w:color="auto"/>
          <w:color w:val="0070C0"/>
        </w:rPr>
        <w:t>Term</w:t>
      </w:r>
      <w:r>
        <w:rPr>
          <w:rFonts w:ascii="Times New Roman" w:cs="Times New Roman" w:eastAsia="Times New Roman" w:hAnsi="Times New Roman"/>
          <w:sz w:val="19"/>
          <w:szCs w:val="19"/>
          <w:color w:val="000000"/>
        </w:rPr>
        <w:t xml:space="preserve"> SOFR Loans, the initial Interest Period for such Revolving Loans. Each Notice of Borrowing shall be irrevocable once given and binding on the applicable Borrower. Prior to delivering a Notice of Borrowing, the Borrower Representative may (without specifying whether a Revolving Loan will be a Base Rate Loan or a SOFR Loan) request that the Administrative Agent provide the Borrower Representative with the most recent SOFR available to the Administrative Agent. The Administrative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33" w:lineRule="exact"/>
        <w:rPr>
          <w:rFonts w:ascii="Times New Roman" w:cs="Times New Roman" w:eastAsia="Times New Roman" w:hAnsi="Times New Roman"/>
          <w:sz w:val="19"/>
          <w:szCs w:val="19"/>
          <w:color w:val="auto"/>
        </w:rPr>
      </w:pPr>
    </w:p>
    <w:p>
      <w:pPr>
        <w:ind w:left="320" w:hanging="114"/>
        <w:spacing w:after="0"/>
        <w:tabs>
          <w:tab w:leader="none" w:pos="32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49 -</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shall provide such quoted rate to the Borrower Representative on the date of such request or as soon as possible thereafter.</w:t>
      </w:r>
    </w:p>
    <w:p>
      <w:pPr>
        <w:spacing w:after="0" w:line="229" w:lineRule="exact"/>
        <w:rPr>
          <w:sz w:val="20"/>
          <w:szCs w:val="20"/>
          <w:color w:val="auto"/>
        </w:rPr>
      </w:pPr>
    </w:p>
    <w:p>
      <w:pPr>
        <w:jc w:val="both"/>
        <w:ind w:firstLine="656"/>
        <w:spacing w:after="0" w:line="251" w:lineRule="auto"/>
        <w:tabs>
          <w:tab w:leader="none" w:pos="106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of Revolving Loans</w:t>
      </w:r>
      <w:r>
        <w:rPr>
          <w:rFonts w:ascii="Times New Roman" w:cs="Times New Roman" w:eastAsia="Times New Roman" w:hAnsi="Times New Roman"/>
          <w:sz w:val="20"/>
          <w:szCs w:val="20"/>
          <w:color w:val="auto"/>
        </w:rPr>
        <w:t>. Promptly after receipt of a request for borrowing under the immediately preceding subsection (b), the Administrative Agent shall notify each Revolving Lender of the proposed borrowing. Each Revolving Lender shall deposit an amount equal to the Revolving Loan to be made by such Lender to the applicable Borrower with the Administrative Agent at the Principal Office, in immediately available funds not later than 12:00 noon Eastern time on the date of such proposed Revolving Loans. Subject to fulfillment of all applicable conditions set forth herein, the Administrative Agent shall make available to the applicable Borrower in the account specified in the Disbursement Instruction Agreement, not later than 3:00 p.m. Eastern time on the date of the requested borrowing of Revolving Loans, the proceeds of such amounts received by the Administrative Agent.</w:t>
      </w:r>
    </w:p>
    <w:p>
      <w:pPr>
        <w:spacing w:after="0" w:line="192" w:lineRule="exact"/>
        <w:rPr>
          <w:rFonts w:ascii="Times New Roman" w:cs="Times New Roman" w:eastAsia="Times New Roman" w:hAnsi="Times New Roman"/>
          <w:sz w:val="20"/>
          <w:szCs w:val="20"/>
          <w:color w:val="auto"/>
        </w:rPr>
      </w:pPr>
    </w:p>
    <w:p>
      <w:pPr>
        <w:jc w:val="both"/>
        <w:ind w:firstLine="656"/>
        <w:spacing w:after="0" w:line="249" w:lineRule="auto"/>
        <w:tabs>
          <w:tab w:leader="none" w:pos="1103"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Assumptions Regarding Funding by Revolving Lenders</w:t>
      </w:r>
      <w:r>
        <w:rPr>
          <w:rFonts w:ascii="Times New Roman" w:cs="Times New Roman" w:eastAsia="Times New Roman" w:hAnsi="Times New Roman"/>
          <w:sz w:val="20"/>
          <w:szCs w:val="20"/>
          <w:color w:val="auto"/>
        </w:rPr>
        <w:t>. With respect to Revolving Loans to be made after the Effective Date, unless the Administrative Agent shall have been notified by any Revolving Lender that such Lender will not make available to the Administrative Agent a Revolving Loan to be made by such Lender in connection with any borrowing, the Administrative Agent may assume that such Lender will make the proceeds of such Revolving Loan available to the Administrative Agent in accordance with this Section, and the Administrative Agent may (but shall not be obligated to), in reliance upon such assumption, make available to the applicable Borrower the amount of such Revolving Loan to be provided by such Lender. In such event, if such Lender does not make available to the Administrative Agent the proceeds of such Revolving Loan, then such Lender and the Borrowers severally agree to pay to the Administrative Agent on demand the amount of such Revolving Loan with interest thereon, for each day from and including the date such Revolving Loan is made available to the applicable Borrower but excluding the date of payment to the Administrative Agent, at (i) in the case of a payment to be made by such Lender, the Overnight Rate and (ii) in the case of a payment to be made by a Borrower, the interest rate applicable to Base Rate Loans. If a Borrower and such Lender shall pay the amount of such interest to the Administrative Agent for the same or overlapping period, the Administrative Agent shall promptly remit to such Borrower the amount of such interest paid by such Borrower for such period. If such Lender pays to the Administrative Agent the amount of such Revolving Loan, the amount so paid shall constitute such Lender’s Revolving Loan included in the borrowing as of the date of the borrowing. Any payment by any Borrower shall be without prejudice to any claim the Borrowers may have against a Revolving Lender that shall have failed to make available the proceeds of a Revolving Loan to be made by such Revolving Lender.</w:t>
      </w:r>
    </w:p>
    <w:p>
      <w:pPr>
        <w:spacing w:after="0" w:line="192" w:lineRule="exact"/>
        <w:rPr>
          <w:sz w:val="20"/>
          <w:szCs w:val="20"/>
          <w:color w:val="auto"/>
        </w:rPr>
      </w:pPr>
    </w:p>
    <w:p>
      <w:pPr>
        <w:ind w:left="660"/>
        <w:spacing w:after="0"/>
        <w:tabs>
          <w:tab w:leader="none" w:pos="1300" w:val="left"/>
          <w:tab w:leader="none" w:pos="360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Reallocations on the</w:t>
      </w:r>
      <w:r>
        <w:rPr>
          <w:sz w:val="20"/>
          <w:szCs w:val="20"/>
          <w:color w:val="auto"/>
        </w:rPr>
        <w:tab/>
      </w:r>
      <w:r>
        <w:rPr>
          <w:rFonts w:ascii="Times New Roman" w:cs="Times New Roman" w:eastAsia="Times New Roman" w:hAnsi="Times New Roman"/>
          <w:sz w:val="20"/>
          <w:szCs w:val="20"/>
          <w:u w:val="single" w:color="auto"/>
          <w:color w:val="ED0000"/>
          <w:strike w:val="1"/>
        </w:rPr>
        <w:t>Effective</w:t>
      </w:r>
      <w:r>
        <w:rPr>
          <w:rFonts w:ascii="Times New Roman" w:cs="Times New Roman" w:eastAsia="Times New Roman" w:hAnsi="Times New Roman"/>
          <w:sz w:val="20"/>
          <w:szCs w:val="20"/>
          <w:u w:val="single" w:color="auto"/>
          <w:color w:val="007BB8"/>
          <w:strike w:val="1"/>
        </w:rPr>
        <w:t>First Amendment</w:t>
      </w:r>
      <w:r>
        <w:rPr>
          <w:rFonts w:ascii="Times New Roman" w:cs="Times New Roman" w:eastAsia="Times New Roman" w:hAnsi="Times New Roman"/>
          <w:sz w:val="20"/>
          <w:szCs w:val="20"/>
          <w:u w:val="single" w:color="auto"/>
          <w:color w:val="ED0000"/>
          <w:strike w:val="1"/>
        </w:rPr>
        <w:t xml:space="preserve"> </w:t>
      </w:r>
      <w:r>
        <w:rPr>
          <w:rFonts w:ascii="Times New Roman" w:cs="Times New Roman" w:eastAsia="Times New Roman" w:hAnsi="Times New Roman"/>
          <w:sz w:val="20"/>
          <w:szCs w:val="20"/>
          <w:color w:val="000000"/>
          <w:strike w:val="1"/>
        </w:rPr>
        <w:t>Date. On the</w:t>
      </w:r>
      <w:r>
        <w:rPr>
          <w:rFonts w:ascii="Times New Roman" w:cs="Times New Roman" w:eastAsia="Times New Roman" w:hAnsi="Times New Roman"/>
          <w:sz w:val="20"/>
          <w:szCs w:val="20"/>
          <w:u w:val="single" w:color="auto"/>
          <w:color w:val="ED0000"/>
          <w:strike w:val="1"/>
        </w:rPr>
        <w:t xml:space="preserve"> </w:t>
      </w:r>
      <w:r>
        <w:rPr>
          <w:rFonts w:ascii="Times New Roman" w:cs="Times New Roman" w:eastAsia="Times New Roman" w:hAnsi="Times New Roman"/>
          <w:sz w:val="20"/>
          <w:szCs w:val="20"/>
          <w:color w:val="ED0000"/>
          <w:strike w:val="1"/>
        </w:rPr>
        <w:t>Effective</w:t>
      </w:r>
      <w:r>
        <w:rPr>
          <w:rFonts w:ascii="Times New Roman" w:cs="Times New Roman" w:eastAsia="Times New Roman" w:hAnsi="Times New Roman"/>
          <w:sz w:val="20"/>
          <w:szCs w:val="20"/>
          <w:u w:val="single" w:color="auto"/>
          <w:color w:val="007BB8"/>
          <w:strike w:val="1"/>
        </w:rPr>
        <w:t>First Amendment</w:t>
      </w:r>
      <w:r>
        <w:rPr>
          <w:rFonts w:ascii="Times New Roman" w:cs="Times New Roman" w:eastAsia="Times New Roman" w:hAnsi="Times New Roman"/>
          <w:sz w:val="20"/>
          <w:szCs w:val="20"/>
          <w:u w:val="single" w:color="auto"/>
          <w:color w:val="ED0000"/>
          <w:strike w:val="1"/>
        </w:rPr>
        <w:t xml:space="preserve"> </w:t>
      </w:r>
      <w:r>
        <w:rPr>
          <w:rFonts w:ascii="Times New Roman" w:cs="Times New Roman" w:eastAsia="Times New Roman" w:hAnsi="Times New Roman"/>
          <w:sz w:val="20"/>
          <w:szCs w:val="20"/>
          <w:color w:val="000000"/>
          <w:strike w:val="1"/>
        </w:rPr>
        <w:t>Date, the</w:t>
      </w:r>
      <w:r>
        <w:rPr>
          <w:rFonts w:ascii="Times New Roman" w:cs="Times New Roman" w:eastAsia="Times New Roman" w:hAnsi="Times New Roman"/>
          <w:sz w:val="20"/>
          <w:szCs w:val="20"/>
          <w:u w:val="single" w:color="auto"/>
          <w:color w:val="ED0000"/>
          <w:strike w:val="1"/>
        </w:rPr>
        <w:t xml:space="preserve"> </w:t>
      </w: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color w:val="000000"/>
          <w:strike w:val="1"/>
        </w:rPr>
        <w:t>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-10795</wp:posOffset>
            </wp:positionV>
            <wp:extent cx="1457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-10795</wp:posOffset>
            </wp:positionV>
            <wp:extent cx="302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Commitments</w:t>
      </w:r>
      <w:r>
        <w:rPr>
          <w:rFonts w:ascii="Times New Roman" w:cs="Times New Roman" w:eastAsia="Times New Roman" w:hAnsi="Times New Roman"/>
          <w:sz w:val="20"/>
          <w:szCs w:val="20"/>
          <w:color w:val="ED0000"/>
          <w:strike w:val="1"/>
        </w:rPr>
        <w:t>” under, and as defined in, the Existing Credit Agreement (the “Existing Revolving Commitments”)</w:t>
      </w:r>
      <w:r>
        <w:rPr>
          <w:rFonts w:ascii="Times New Roman" w:cs="Times New Roman" w:eastAsia="Times New Roman" w:hAnsi="Times New Roman"/>
          <w:sz w:val="20"/>
          <w:szCs w:val="20"/>
          <w:color w:val="auto"/>
        </w:rPr>
        <w:t xml:space="preserve"> of each of the Revolving Lenders </w:t>
      </w:r>
      <w:r>
        <w:rPr>
          <w:rFonts w:ascii="Times New Roman" w:cs="Times New Roman" w:eastAsia="Times New Roman" w:hAnsi="Times New Roman"/>
          <w:sz w:val="20"/>
          <w:szCs w:val="20"/>
          <w:color w:val="ED0000"/>
        </w:rPr>
        <w:t>party to the Existing Credit Agreement (the “Existing Revolving Lenders”)</w:t>
      </w:r>
      <w:r>
        <w:rPr>
          <w:rFonts w:ascii="Times New Roman" w:cs="Times New Roman" w:eastAsia="Times New Roman" w:hAnsi="Times New Roman"/>
          <w:sz w:val="20"/>
          <w:szCs w:val="20"/>
          <w:color w:val="auto"/>
        </w:rPr>
        <w:t xml:space="preserve">, and the outstanding amount of all </w:t>
      </w: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color w:val="auto"/>
        </w:rPr>
        <w:t>Revolving Loans</w:t>
      </w:r>
      <w:r>
        <w:rPr>
          <w:rFonts w:ascii="Times New Roman" w:cs="Times New Roman" w:eastAsia="Times New Roman" w:hAnsi="Times New Roman"/>
          <w:sz w:val="20"/>
          <w:szCs w:val="20"/>
          <w:color w:val="ED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D0000"/>
          <w:strike w:val="1"/>
        </w:rPr>
        <w:t>under, and as defined in, the Existing Credit Agreement (the “Existing Outstanding Revolving Loans”) and</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u w:val="single" w:color="auto"/>
          <w:color w:val="007BB8"/>
        </w:rPr>
        <w:t>and</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the participations of the</w:t>
      </w:r>
      <w:r>
        <w:rPr>
          <w:rFonts w:ascii="Times New Roman" w:cs="Times New Roman" w:eastAsia="Times New Roman" w:hAnsi="Times New Roman"/>
          <w:sz w:val="20"/>
          <w:szCs w:val="20"/>
          <w:color w:val="ED0000"/>
        </w:rPr>
        <w:t xml:space="preserve"> </w:t>
      </w:r>
      <w:r>
        <w:rPr>
          <w:rFonts w:ascii="Times New Roman" w:cs="Times New Roman" w:eastAsia="Times New Roman" w:hAnsi="Times New Roman"/>
          <w:sz w:val="20"/>
          <w:szCs w:val="20"/>
          <w:color w:val="000000"/>
        </w:rPr>
        <w:t xml:space="preserve">Revolving Lenders in outstanding “Letters of Credit” and outstanding “Swingline Loans”, in each case under, and as defined in, the Existing Credit Agreement, shall be reallocated among the Revolving Lenders party hereto in accordance with their respective Revolving Commitment Percentages. In order to effect such reallocations, each Revolving Lender whose Revolving Commitment on the </w:t>
      </w:r>
      <w:r>
        <w:rPr>
          <w:rFonts w:ascii="Times New Roman" w:cs="Times New Roman" w:eastAsia="Times New Roman" w:hAnsi="Times New Roman"/>
          <w:sz w:val="20"/>
          <w:szCs w:val="20"/>
          <w:color w:val="ED0000"/>
          <w:strike w:val="1"/>
        </w:rPr>
        <w:t>Effective</w:t>
      </w:r>
      <w:r>
        <w:rPr>
          <w:rFonts w:ascii="Times New Roman" w:cs="Times New Roman" w:eastAsia="Times New Roman" w:hAnsi="Times New Roman"/>
          <w:sz w:val="20"/>
          <w:szCs w:val="20"/>
          <w:u w:val="single" w:color="auto"/>
          <w:color w:val="007BB8"/>
        </w:rPr>
        <w:t>First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BB8"/>
        </w:rPr>
        <w:t>Amendment</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Date exceeds its</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ED0000"/>
          <w:strike w:val="1"/>
        </w:rPr>
        <w:t>Existing</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Revolving Commitment</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7BB8"/>
        </w:rPr>
        <w:t>immediately prior to the First Amendment Date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(each an “Assignee RL</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 xml:space="preserve">Lender”) shall be deemed to have purchased all right, title and interest in, and all obligations in respect of, the </w:t>
      </w:r>
      <w:r>
        <w:rPr>
          <w:rFonts w:ascii="Times New Roman" w:cs="Times New Roman" w:eastAsia="Times New Roman" w:hAnsi="Times New Roman"/>
          <w:sz w:val="20"/>
          <w:szCs w:val="20"/>
          <w:color w:val="ED0000"/>
          <w:strike w:val="1"/>
        </w:rPr>
        <w:t>Existing</w:t>
      </w:r>
      <w:r>
        <w:rPr>
          <w:rFonts w:ascii="Times New Roman" w:cs="Times New Roman" w:eastAsia="Times New Roman" w:hAnsi="Times New Roman"/>
          <w:sz w:val="20"/>
          <w:szCs w:val="20"/>
          <w:color w:val="000000"/>
        </w:rPr>
        <w:t xml:space="preserve"> Revolving Commitments and </w:t>
      </w:r>
      <w:r>
        <w:rPr>
          <w:rFonts w:ascii="Times New Roman" w:cs="Times New Roman" w:eastAsia="Times New Roman" w:hAnsi="Times New Roman"/>
          <w:sz w:val="20"/>
          <w:szCs w:val="20"/>
          <w:color w:val="ED0000"/>
          <w:strike w:val="1"/>
        </w:rPr>
        <w:t>Existing Outstanding</w:t>
      </w:r>
      <w:r>
        <w:rPr>
          <w:rFonts w:ascii="Times New Roman" w:cs="Times New Roman" w:eastAsia="Times New Roman" w:hAnsi="Times New Roman"/>
          <w:sz w:val="20"/>
          <w:szCs w:val="20"/>
          <w:color w:val="000000"/>
        </w:rPr>
        <w:t xml:space="preserve"> Revolving Loans of the Revolving Lenders whose Revolving Commitments </w:t>
      </w:r>
      <w:r>
        <w:rPr>
          <w:rFonts w:ascii="Times New Roman" w:cs="Times New Roman" w:eastAsia="Times New Roman" w:hAnsi="Times New Roman"/>
          <w:sz w:val="20"/>
          <w:szCs w:val="20"/>
          <w:u w:val="single" w:color="auto"/>
          <w:color w:val="007BB8"/>
        </w:rPr>
        <w:t>on the First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BB8"/>
        </w:rPr>
        <w:t>Amendment Date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are less than their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-1289050</wp:posOffset>
            </wp:positionV>
            <wp:extent cx="389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895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- 50 -</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Existing Revolving Commitments immediately prior to the </w:t>
      </w:r>
      <w:r>
        <w:rPr>
          <w:rFonts w:ascii="Times New Roman" w:cs="Times New Roman" w:eastAsia="Times New Roman" w:hAnsi="Times New Roman"/>
          <w:sz w:val="20"/>
          <w:szCs w:val="20"/>
          <w:color w:val="ED0000"/>
          <w:strike w:val="1"/>
        </w:rPr>
        <w:t>Effective</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(each an “Assignor RL Lender”), so that after giving effect to such reallocation the Revolving Commitments of each Revolving Lender will be as set forth on Schedule I and the Revolving Lenders shall hold Revolving Loans pro rata in accordance with their respective Revolving Commitment Percentages. Such purchases shall be deemed to have been effected by way of, and subject to the terms and conditions of, Assignment and Assumptions without the payment of any related assignment fee, and, no documents or instruments shall be, or shall be required to be, executed in connection with such assignments (all of which are hereby waived). The Assignor RL Lenders and Assignee RL Lenders shall make such cash settlements among themselves, through the Administrative Agent, as the Administrative Agent may direct (after giving effect to any netting effected by the Administrative Agent) with respect to such reallocations and assignments.</w:t>
      </w:r>
    </w:p>
    <w:p>
      <w:pPr>
        <w:spacing w:after="0" w:line="19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2.2.</w:t>
      </w:r>
      <w:r>
        <w:rPr>
          <w:sz w:val="20"/>
          <w:szCs w:val="20"/>
          <w:color w:val="auto"/>
        </w:rPr>
        <w:tab/>
      </w:r>
      <w:r>
        <w:rPr>
          <w:rFonts w:ascii="Times New Roman" w:cs="Times New Roman" w:eastAsia="Times New Roman" w:hAnsi="Times New Roman"/>
          <w:sz w:val="19"/>
          <w:szCs w:val="19"/>
          <w:b w:val="1"/>
          <w:bCs w:val="1"/>
          <w:color w:val="auto"/>
        </w:rPr>
        <w:t>Term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3" w:lineRule="auto"/>
        <w:tabs>
          <w:tab w:leader="none" w:pos="1173"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A Loans</w:t>
      </w:r>
      <w:r>
        <w:rPr>
          <w:rFonts w:ascii="Times New Roman" w:cs="Times New Roman" w:eastAsia="Times New Roman" w:hAnsi="Times New Roman"/>
          <w:sz w:val="20"/>
          <w:szCs w:val="20"/>
          <w:color w:val="auto"/>
        </w:rPr>
        <w:t>. Pursuant to the Existing Credit Agreement the “Term A Loan Lenders”, as defined in the Existing Credit Agreement, made Term A Loans to the Borrower. The Borrower hereby agrees and acknowledges that as of the Effective Date, the outstanding principal balance of the Term A Loans is $1,050,000,000 and shall continue hereunder and for all purposes hereunder constitute and be referred to as the Term A Loans hereunder, without constituting a novation, but in all cases subject to the terms and conditions applicable to Term A Loans hereunder. The Borrower and the Lenders acknowledge and agree that the principal amount of such Term A Loan held by each Term A Loan Lender as of the Agreement Date (after giving effect to this Agreement) is set forth on Schedule I opposite the name of such Term A Loan Lender. Once repaid, the principal amount of a Term A Loan (or portion thereof) may not be reborrowed.</w:t>
      </w:r>
    </w:p>
    <w:p>
      <w:pPr>
        <w:spacing w:after="0" w:line="192" w:lineRule="exact"/>
        <w:rPr>
          <w:rFonts w:ascii="Times New Roman" w:cs="Times New Roman" w:eastAsia="Times New Roman" w:hAnsi="Times New Roman"/>
          <w:sz w:val="20"/>
          <w:szCs w:val="20"/>
          <w:color w:val="auto"/>
        </w:rPr>
      </w:pPr>
    </w:p>
    <w:p>
      <w:pPr>
        <w:jc w:val="both"/>
        <w:ind w:firstLine="656"/>
        <w:spacing w:after="0" w:line="248" w:lineRule="auto"/>
        <w:tabs>
          <w:tab w:leader="none" w:pos="1117"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Term A Loan Reallocation</w:t>
      </w:r>
      <w:r>
        <w:rPr>
          <w:rFonts w:ascii="Times New Roman" w:cs="Times New Roman" w:eastAsia="Times New Roman" w:hAnsi="Times New Roman"/>
          <w:sz w:val="20"/>
          <w:szCs w:val="20"/>
          <w:color w:val="auto"/>
        </w:rPr>
        <w:t>. Pursuant to the Existing Credit Agreement, certain “Lenders” (or their successors) under the Existing Credit Agreement made or continued “Term A Loans” to, or for, the Borrowers. The Administrative Agent, the Borrowers and each Term A Loan Lender (including any Lender who was not a “Term A Lender” under the Existing Credit Agreement immediately prior to giving effect hereto, each such Lender, an “Additional Term A Loan Lender”) agree that, simultaneously with the effectiveness of this Agreement, the principal amount of all outstanding “Term A Loans” under the Existing Credit Agreement immediately prior to the effectiveness of this Agreement shall be reallocated among the Term A Loan Lenders such that the amount of each such Lender’s Term A Loans are as set forth on Schedule I attached hereto. In order to effect such reallocations, any Additional Term A Loan Lender and each other Term A Loan Lender whose Term A Loans (as reflected on Schedule I) will be greater than such Term A Loan Lenders “Term A Loans” under the Existing Credit Agreement immediately prior to the effectiveness of this Agreement (each, an “Assignee TLA Lender”) shall be deemed to have purchased at par a portion of all right, title and interest in, and all obligations in respect of, the “Term A Loan” under the Existing Credit Agreement of any “Term A Lender” under the Existing Credit Agreement which shall not to be a Term A Loan Lender hereunder and each Term A Loan Lender whose Term A Loans (as reflected on Schedule I) will be less than its “Term A Loans” under the Existing Credit Agreement immediately prior to the effectiveness of this Agreement (each, an “Assignor TLA Lender”) so that the principal amount of the Term A Loans of each Term A Loan Lender will be as set forth on Schedule I attached hereto. Such purchases shall be deemed to have been effected by way of, and subject to the terms and conditions of, Assignment and Assumptions without the payment of any related assignment fee, and, except for replacement Notes to be provided to the Assignee TLA Lenders and, if applicable, the Assignor TLA Lenders, in the principal amounts of their respective Term A Loans upon the effectiveness of this Agreement, no other documents or instruments shall be, or shall be required to be, executed in connection with such assignments (all of which are hereby waived). The Assignee TLA Lenders shall make the proceeds of such purchases available to the Administrative Agent which shall then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51 -</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make such amounts of the proceeds of such purchases available to the Assignor TLA Lenders as is necessary to purchase in full at par the “Term A Loans” under the Existing Credit Agreement owing to the Assignor TLA Lender. The Assignor TLA Lenders, the Assignee TLA Lenders and the other Lenders shall make such cash settlements among themselves, through the Administrative Agent, as the Administrative Agent may direct (after giving effect to any netting transactions effected by the Administrative Agent) with respect to such reallocations and assignments so that the aggregate outstanding principal amount of Term A Loans shall be held by the Term A Lenders as set forth on Schedule I.</w:t>
      </w:r>
    </w:p>
    <w:p>
      <w:pPr>
        <w:spacing w:after="0" w:line="192" w:lineRule="exact"/>
        <w:rPr>
          <w:sz w:val="20"/>
          <w:szCs w:val="20"/>
          <w:color w:val="auto"/>
        </w:rPr>
      </w:pPr>
    </w:p>
    <w:p>
      <w:pPr>
        <w:jc w:val="both"/>
        <w:ind w:firstLine="656"/>
        <w:spacing w:after="0" w:line="251" w:lineRule="auto"/>
        <w:tabs>
          <w:tab w:leader="none" w:pos="117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B Loans</w:t>
      </w:r>
      <w:r>
        <w:rPr>
          <w:rFonts w:ascii="Times New Roman" w:cs="Times New Roman" w:eastAsia="Times New Roman" w:hAnsi="Times New Roman"/>
          <w:sz w:val="20"/>
          <w:szCs w:val="20"/>
          <w:color w:val="auto"/>
        </w:rPr>
        <w:t>. Pursuant to the Existing Credit Agreement the “Term B Loan Lenders”, as defined in the Existing Credit Agreement, made Term B Loans to the Borrower. The Borrower hereby agrees and acknowledges that as of the Effective Date, the outstanding principal balance of the Term B Loans is $200,000,000 and shall continue hereunder and for all purposes hereunder constitute and be referred to as the Term B Loans hereunder, without constituting a novation, but in all cases subject to the terms and conditions applicable to Term B Loans hereunder. The Borrower and the Lenders acknowledge and agree that the principal amount of such Term B Loan held by each Term B Loan Lender as of the Agreement Date (after giving effect to this Agreement) is set forth on Schedule I opposite the name of such Term B Loan Lender. Once repaid, the principal amount of a Term B Loan (or portion thereof) may not be reborrowed.</w:t>
      </w:r>
    </w:p>
    <w:p>
      <w:pPr>
        <w:spacing w:after="0" w:line="18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2.3.</w:t>
      </w:r>
      <w:r>
        <w:rPr>
          <w:sz w:val="20"/>
          <w:szCs w:val="20"/>
          <w:color w:val="auto"/>
        </w:rPr>
        <w:tab/>
      </w:r>
      <w:r>
        <w:rPr>
          <w:rFonts w:ascii="Times New Roman" w:cs="Times New Roman" w:eastAsia="Times New Roman" w:hAnsi="Times New Roman"/>
          <w:sz w:val="19"/>
          <w:szCs w:val="19"/>
          <w:b w:val="1"/>
          <w:bCs w:val="1"/>
          <w:color w:val="auto"/>
        </w:rPr>
        <w:t>Bid Rate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7" w:lineRule="auto"/>
        <w:tabs>
          <w:tab w:leader="none" w:pos="1065"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Bid Rate Loans</w:t>
      </w:r>
      <w:r>
        <w:rPr>
          <w:rFonts w:ascii="Times New Roman" w:cs="Times New Roman" w:eastAsia="Times New Roman" w:hAnsi="Times New Roman"/>
          <w:sz w:val="20"/>
          <w:szCs w:val="20"/>
          <w:color w:val="auto"/>
        </w:rPr>
        <w:t>. At any time during the period from the Effective Date to but excluding the Revolving Termination Date, and so long as at least one of the Borrowers continues to maintain an Investment Grade Rating from S&amp;P, Moody’s or Fitch, the Borrower Representative may, as set forth in this Section, request the Revolving Lenders to make offers to make Bid Rate Loans to the Borrowers in Dollars. The Revolving Lenders may, but shall have no obligation to, make such offers, and the Borrower Representative may, but shall have no obligation to, accept any such offers in the manner set forth in this Section.</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09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Requests for Bid Rate Loans</w:t>
      </w:r>
      <w:r>
        <w:rPr>
          <w:rFonts w:ascii="Times New Roman" w:cs="Times New Roman" w:eastAsia="Times New Roman" w:hAnsi="Times New Roman"/>
          <w:sz w:val="20"/>
          <w:szCs w:val="20"/>
          <w:color w:val="auto"/>
        </w:rPr>
        <w:t>. When a Borrower wishes to request from the Revolving Lenders offers to make Bid Rate Loans, the Borrower Representative shall give the Administrative Agent either telephonic notice promptly followed by written notice, which may be by telecopy or electronic mail (a “Bid Rate Quote Request”) so as to be received no later than 10:00 a.m. Eastern time on (x) the Business Day immediately preceding the date of borrowing proposed therein, in the case of an Absolute Rate Auction and (y) the date four (4) U.S. Government Securities Business Days prior to the proposed date of borrowing, in the case of a SOFR Auction. The Administrative Agent shall deliver to each Revolving Lender a copy of each Bid Rate Quote Request promptly upon receipt thereof by the Administrative Agent. The Borrower Representative may request offers to make Bid Rate Loans for up to three (3) different Interest Periods in any one Bid Rate Quote Request; provided that if granted each separate Interest Period shall be deemed to be a separate borrowing (a “Bid Rate Borrowing”). Each Bid Rate Quote Request shall be substantially in the form of Exhibit K and shall specify as to each Bid Rate Borrowing all of the following:</w:t>
      </w:r>
    </w:p>
    <w:p>
      <w:pPr>
        <w:spacing w:after="0" w:line="177"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2"/>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date of such Bid Rate Borrowing, which shall be a Business Day;</w:t>
      </w:r>
    </w:p>
    <w:p>
      <w:pPr>
        <w:spacing w:after="0" w:line="22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814" w:val="left"/>
        </w:tabs>
        <w:numPr>
          <w:ilvl w:val="2"/>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such Bid Rate Borrowing which shall be in a minimum amount of $2,000,000 and integral multiples of $500,000 in excess thereof which shall not cause any of the limits specified in Section 2.18. to be violated;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52 -</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89" w:lineRule="exact"/>
        <w:rPr>
          <w:sz w:val="20"/>
          <w:szCs w:val="20"/>
          <w:color w:val="auto"/>
        </w:rPr>
      </w:pPr>
    </w:p>
    <w:p>
      <w:pPr>
        <w:ind w:left="1594" w:hanging="496"/>
        <w:spacing w:after="0"/>
        <w:tabs>
          <w:tab w:leader="none" w:pos="1594" w:val="left"/>
        </w:tabs>
        <w:numPr>
          <w:ilvl w:val="2"/>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Bid Rate Quote Request is for SOFR Margin Loans or Absolute Rate Loans; and</w:t>
      </w:r>
    </w:p>
    <w:p>
      <w:pPr>
        <w:spacing w:after="0" w:line="229" w:lineRule="exact"/>
        <w:rPr>
          <w:rFonts w:ascii="Times New Roman" w:cs="Times New Roman" w:eastAsia="Times New Roman" w:hAnsi="Times New Roman"/>
          <w:sz w:val="20"/>
          <w:szCs w:val="20"/>
          <w:color w:val="auto"/>
        </w:rPr>
      </w:pPr>
    </w:p>
    <w:p>
      <w:pPr>
        <w:jc w:val="both"/>
        <w:ind w:left="-206" w:right="100" w:firstLine="1304"/>
        <w:spacing w:after="0" w:line="496" w:lineRule="auto"/>
        <w:tabs>
          <w:tab w:leader="none" w:pos="1574" w:val="left"/>
        </w:tabs>
        <w:numPr>
          <w:ilvl w:val="2"/>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duration of the Interest Period applicable thereto, which shall not extend beyond the Revolving Termination Date. A Bid Rate Quote Request may not be submitted within five (5) Business Days of any other Bid Rate Quote Request having been submitted.</w:t>
      </w:r>
    </w:p>
    <w:p>
      <w:pPr>
        <w:spacing w:after="0" w:line="1" w:lineRule="exact"/>
        <w:rPr>
          <w:rFonts w:ascii="Times New Roman" w:cs="Times New Roman" w:eastAsia="Times New Roman" w:hAnsi="Times New Roman"/>
          <w:sz w:val="19"/>
          <w:szCs w:val="19"/>
          <w:color w:val="auto"/>
        </w:rPr>
      </w:pPr>
    </w:p>
    <w:p>
      <w:pPr>
        <w:ind w:left="874" w:hanging="424"/>
        <w:spacing w:after="0"/>
        <w:tabs>
          <w:tab w:leader="none" w:pos="874"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Bid Rate Quotes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54" w:firstLine="644"/>
        <w:spacing w:after="0" w:line="251" w:lineRule="auto"/>
        <w:tabs>
          <w:tab w:leader="none" w:pos="1500" w:val="left"/>
        </w:tabs>
        <w:numPr>
          <w:ilvl w:val="2"/>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Lender may submit one or more Bid Rate Quotes, each containing an offer to make a Bid Rate Loan in response to any Bid Rate Quote Request; provided that, if a Bid Rate Quote Request specified more than one Interest Period, such Revolving Lender may make a single submission containing only one Bid Rate Quote for each such Interest Period. Each Bid Rate Quote must be submitted to the Administrative Agent not later than 9:30 a.m. Eastern time (x) on the proposed date of borrowing, in the case of an Absolute Rate Auction and (y) on the date three (3) U.S. Government Securities Business Days prior to the proposed date of borrowing, in the case of a SOFR Auction, and in either case the Administrative Agent shall disregard any Bid Rate Quote received after such time; provided that the Revolving Lender then acting as the Administrative Agent may submit a Bid Rate Quote only if it notifies the Borrower Representative of the terms of the offer contained therein not later than 30 minutes prior to the latest time by which the Revolving Lenders must submit applicable Bid Rate Quotes. Any Bid Rate Quote so made shall be irrevocable except with the consent of the Administrative Agent given at the request of the Borrower Representative. Such Bid Rate Loans may be funded by a Revolving Lender’s Designated Lender (if any) as provided in Section 12.5.(h); however, such Lender shall not be required to specify in its Bid Rate Quote whether such Bid Rate Loan will be funded by such Designated Lender.</w:t>
      </w:r>
    </w:p>
    <w:p>
      <w:pPr>
        <w:spacing w:after="0" w:line="191" w:lineRule="exact"/>
        <w:rPr>
          <w:rFonts w:ascii="Times New Roman" w:cs="Times New Roman" w:eastAsia="Times New Roman" w:hAnsi="Times New Roman"/>
          <w:sz w:val="20"/>
          <w:szCs w:val="20"/>
          <w:color w:val="auto"/>
        </w:rPr>
      </w:pPr>
    </w:p>
    <w:p>
      <w:pPr>
        <w:ind w:left="1534" w:hanging="436"/>
        <w:spacing w:after="0"/>
        <w:tabs>
          <w:tab w:leader="none" w:pos="1534" w:val="left"/>
        </w:tabs>
        <w:numPr>
          <w:ilvl w:val="2"/>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Bid Rate Quote shall be substantially in the form of Exhibit L and shall specify:</w:t>
      </w:r>
    </w:p>
    <w:p>
      <w:pPr>
        <w:spacing w:after="0" w:line="215" w:lineRule="exact"/>
        <w:rPr>
          <w:rFonts w:ascii="Times New Roman" w:cs="Times New Roman" w:eastAsia="Times New Roman" w:hAnsi="Times New Roman"/>
          <w:sz w:val="20"/>
          <w:szCs w:val="20"/>
          <w:color w:val="auto"/>
        </w:rPr>
      </w:pPr>
    </w:p>
    <w:p>
      <w:pPr>
        <w:ind w:left="2214" w:hanging="468"/>
        <w:spacing w:after="0"/>
        <w:tabs>
          <w:tab w:leader="none" w:pos="2214" w:val="left"/>
        </w:tabs>
        <w:numPr>
          <w:ilvl w:val="3"/>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date of borrowing and the Interest Period therefor;</w:t>
      </w:r>
    </w:p>
    <w:p>
      <w:pPr>
        <w:spacing w:after="0" w:line="229" w:lineRule="exact"/>
        <w:rPr>
          <w:rFonts w:ascii="Times New Roman" w:cs="Times New Roman" w:eastAsia="Times New Roman" w:hAnsi="Times New Roman"/>
          <w:sz w:val="20"/>
          <w:szCs w:val="20"/>
          <w:color w:val="auto"/>
        </w:rPr>
      </w:pPr>
    </w:p>
    <w:p>
      <w:pPr>
        <w:jc w:val="both"/>
        <w:ind w:left="1094" w:firstLine="652"/>
        <w:spacing w:after="0" w:line="253" w:lineRule="auto"/>
        <w:tabs>
          <w:tab w:leader="none" w:pos="2204" w:val="left"/>
        </w:tabs>
        <w:numPr>
          <w:ilvl w:val="3"/>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the Bid Rate Loan for which each such offer is being made; provided that the aggregate principal amount of all Bid Rate Loans for which a Revolving Lender submits Bid Rate Quotes (x) may be greater or less than the Revolving Commitment of such Revolving Lender but (y) shall not exceed the principal amount of the Bid Rate Borrowing for a particular Interest Period for which offers were requested; provided further that any Bid Rate Quote shall be in a minimum amount of $2,000,000 and integral multiples of $500,000 in excess thereof;</w:t>
      </w:r>
    </w:p>
    <w:p>
      <w:pPr>
        <w:spacing w:after="0" w:line="191" w:lineRule="exact"/>
        <w:rPr>
          <w:rFonts w:ascii="Times New Roman" w:cs="Times New Roman" w:eastAsia="Times New Roman" w:hAnsi="Times New Roman"/>
          <w:sz w:val="20"/>
          <w:szCs w:val="20"/>
          <w:color w:val="auto"/>
        </w:rPr>
      </w:pPr>
    </w:p>
    <w:p>
      <w:pPr>
        <w:ind w:left="1094" w:right="20" w:firstLine="652"/>
        <w:spacing w:after="0" w:line="269" w:lineRule="auto"/>
        <w:tabs>
          <w:tab w:leader="none" w:pos="2237" w:val="left"/>
        </w:tabs>
        <w:numPr>
          <w:ilvl w:val="3"/>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Absolute Rate Auction, the rate of interest per annum (rounded upwards, if necessary, to the nearest 1/1,000th of 1%) offered for each such Absolute Rate Loan (the “Absolute Rate”);</w:t>
      </w:r>
    </w:p>
    <w:p>
      <w:pPr>
        <w:spacing w:after="0" w:line="172" w:lineRule="exact"/>
        <w:rPr>
          <w:rFonts w:ascii="Times New Roman" w:cs="Times New Roman" w:eastAsia="Times New Roman" w:hAnsi="Times New Roman"/>
          <w:sz w:val="20"/>
          <w:szCs w:val="20"/>
          <w:color w:val="auto"/>
        </w:rPr>
      </w:pPr>
    </w:p>
    <w:p>
      <w:pPr>
        <w:jc w:val="both"/>
        <w:ind w:left="1094" w:firstLine="652"/>
        <w:spacing w:after="0" w:line="261" w:lineRule="auto"/>
        <w:tabs>
          <w:tab w:leader="none" w:pos="2320" w:val="left"/>
        </w:tabs>
        <w:numPr>
          <w:ilvl w:val="3"/>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SOFR Auction, the margin above or below applicable </w:t>
      </w:r>
      <w:r>
        <w:rPr>
          <w:rFonts w:ascii="Times New Roman" w:cs="Times New Roman" w:eastAsia="Times New Roman" w:hAnsi="Times New Roman"/>
          <w:sz w:val="20"/>
          <w:szCs w:val="20"/>
          <w:color w:val="ED0000"/>
          <w:strike w:val="1"/>
        </w:rPr>
        <w:t>Adjusted</w:t>
      </w:r>
      <w:r>
        <w:rPr>
          <w:rFonts w:ascii="Times New Roman" w:cs="Times New Roman" w:eastAsia="Times New Roman" w:hAnsi="Times New Roman"/>
          <w:sz w:val="20"/>
          <w:szCs w:val="20"/>
          <w:color w:val="auto"/>
        </w:rPr>
        <w:t xml:space="preserve"> Term SOFR (the “SOFR Margin”) offered for each such SOFR Margin Loan, expressed as a percentage (rounded upwards, if necessary, to the nearest 1/1,000th of 1%) to be added to (or subtracted from) the applicable </w:t>
      </w:r>
      <w:r>
        <w:rPr>
          <w:rFonts w:ascii="Times New Roman" w:cs="Times New Roman" w:eastAsia="Times New Roman" w:hAnsi="Times New Roman"/>
          <w:sz w:val="20"/>
          <w:szCs w:val="20"/>
          <w:color w:val="ED0000"/>
          <w:strike w:val="1"/>
        </w:rPr>
        <w:t>Adjusted</w:t>
      </w:r>
      <w:r>
        <w:rPr>
          <w:rFonts w:ascii="Times New Roman" w:cs="Times New Roman" w:eastAsia="Times New Roman" w:hAnsi="Times New Roman"/>
          <w:sz w:val="20"/>
          <w:szCs w:val="20"/>
          <w:color w:val="auto"/>
        </w:rPr>
        <w:t xml:space="preserve"> Term SOFR;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53 -</w:t>
      </w:r>
    </w:p>
    <w:p>
      <w:pPr>
        <w:sectPr>
          <w:pgSz w:w="11900" w:h="16838" w:orient="portrait"/>
          <w:cols w:equalWidth="0" w:num="1">
            <w:col w:w="11034"/>
          </w:cols>
          <w:pgMar w:left="526" w:top="1440" w:right="339" w:bottom="1440" w:gutter="0" w:footer="0" w:header="0"/>
        </w:sectPr>
      </w:pPr>
    </w:p>
    <w:bookmarkStart w:id="390" w:name="page391"/>
    <w:bookmarkEnd w:id="390"/>
    <w:p>
      <w:pPr>
        <w:spacing w:after="0" w:line="189" w:lineRule="exact"/>
        <w:rPr>
          <w:sz w:val="20"/>
          <w:szCs w:val="20"/>
          <w:color w:val="auto"/>
        </w:rPr>
      </w:pPr>
    </w:p>
    <w:p>
      <w:pPr>
        <w:ind w:left="1754"/>
        <w:spacing w:after="0"/>
        <w:tabs>
          <w:tab w:leader="none" w:pos="2174"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the identity of the quoting Revolving Lender.</w:t>
      </w:r>
    </w:p>
    <w:p>
      <w:pPr>
        <w:spacing w:after="0" w:line="229" w:lineRule="exact"/>
        <w:rPr>
          <w:sz w:val="20"/>
          <w:szCs w:val="20"/>
          <w:color w:val="auto"/>
        </w:rPr>
      </w:pPr>
    </w:p>
    <w:p>
      <w:pPr>
        <w:jc w:val="both"/>
        <w:ind w:left="454"/>
        <w:spacing w:after="0" w:line="254" w:lineRule="auto"/>
        <w:rPr>
          <w:sz w:val="20"/>
          <w:szCs w:val="20"/>
          <w:color w:val="auto"/>
        </w:rPr>
      </w:pPr>
      <w:r>
        <w:rPr>
          <w:rFonts w:ascii="Times New Roman" w:cs="Times New Roman" w:eastAsia="Times New Roman" w:hAnsi="Times New Roman"/>
          <w:sz w:val="20"/>
          <w:szCs w:val="20"/>
          <w:color w:val="auto"/>
        </w:rPr>
        <w:t>Unless otherwise agreed by the Administrative Agent and the Borrower Representative, no Bid Rate Quote shall contain qualifying, conditional or similar language or propose terms other than or in addition to those set forth in the applicable Bid Rate Quote Request and, in particular, no Bid Rate Quote may be conditioned upon acceptance by the Borrower Representative of all (or some specified minimum) of the principal amount of the Bid Rate Loan for which such Bid Rate Quote is being made.</w:t>
      </w:r>
    </w:p>
    <w:p>
      <w:pPr>
        <w:spacing w:after="0" w:line="187" w:lineRule="exact"/>
        <w:rPr>
          <w:sz w:val="20"/>
          <w:szCs w:val="20"/>
          <w:color w:val="auto"/>
        </w:rPr>
      </w:pPr>
    </w:p>
    <w:p>
      <w:pPr>
        <w:jc w:val="both"/>
        <w:ind w:left="-206" w:firstLine="656"/>
        <w:spacing w:after="0" w:line="250" w:lineRule="auto"/>
        <w:tabs>
          <w:tab w:leader="none" w:pos="871"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w:t>
      </w:r>
      <w:r>
        <w:rPr>
          <w:rFonts w:ascii="Times New Roman" w:cs="Times New Roman" w:eastAsia="Times New Roman" w:hAnsi="Times New Roman"/>
          <w:sz w:val="20"/>
          <w:szCs w:val="20"/>
          <w:color w:val="auto"/>
        </w:rPr>
        <w:t>. The Administrative Agent shall, as promptly as practicable after the Bid Rate Quotes are submitted (but in any event not later than 10:30 a.m. Eastern time (x) on the proposed date of borrowing, in the case of an Absolute Rate Auction or (y) on the date three (3) U.S. Government Securities Business Days prior to the proposed date of borrowing, in the case of a SOFR Auction), notify the Borrower Representative of the terms (i) of any Bid Rate Quote submitted by a Revolving Lender that is in accordance with Section 2.3.(c) and (ii) of any Bid Rate Quote that amends, modifies or is otherwise inconsistent with a previous Bid Rate Quote submitted by such Revolving Lender with respect to the same Bid Rate Quote Request. Any such subsequent Bid Rate Quote shall be disregarded by the Administrative Agent unless such subsequent Bid Rate Quote is submitted solely to correct a manifest error in such former Bid Rate Quote. The Administrative Agent’s notice to the Borrower Representative shall specify (A) the aggregate principal amount of the Bid Rate Borrowing for which Bid Rate Quotes have been received and (B) the principal amounts and Absolute Rates or SOFR Margins, as applicable, so offered by each Revolving Lender (identifying the Revolving Lender that made each Bid Rate Quote).</w:t>
      </w:r>
    </w:p>
    <w:p>
      <w:pPr>
        <w:spacing w:after="0" w:line="196" w:lineRule="exact"/>
        <w:rPr>
          <w:rFonts w:ascii="Times New Roman" w:cs="Times New Roman" w:eastAsia="Times New Roman" w:hAnsi="Times New Roman"/>
          <w:sz w:val="20"/>
          <w:szCs w:val="20"/>
          <w:color w:val="auto"/>
        </w:rPr>
      </w:pPr>
    </w:p>
    <w:p>
      <w:pPr>
        <w:ind w:left="874" w:hanging="424"/>
        <w:spacing w:after="0"/>
        <w:tabs>
          <w:tab w:leader="none" w:pos="874"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Acceptance by Borrower Representative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54" w:firstLine="644"/>
        <w:spacing w:after="0" w:line="251" w:lineRule="auto"/>
        <w:tabs>
          <w:tab w:leader="none" w:pos="1521" w:val="left"/>
        </w:tabs>
        <w:numPr>
          <w:ilvl w:val="2"/>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11:00 a.m. Eastern time (x) on the proposed date of borrowing, in the case of an Absolute Rate Auction and (y) on the date three (3) U.S. Government Securities Business Days prior to the proposed date of borrowing, in the case of a SOFR Auction, the Borrower Representative shall notify the Administrative Agent of its acceptance or nonacceptance of the Bid Rate Quotes so notified to it pursuant to Section 2.3.(d). which notice shall be in the form of Exhibit M. In the case of acceptance, such notice shall specify the aggregate principal amount of Bid Rate Quotes for each Interest Period that are accepted. The failure of the Borrower Representative to give such notice by such time shall constitute nonacceptance. The Borrower Representative may accept any Bid Rate Quote in whole or in part; provided that:</w:t>
      </w:r>
    </w:p>
    <w:p>
      <w:pPr>
        <w:spacing w:after="0" w:line="192" w:lineRule="exact"/>
        <w:rPr>
          <w:rFonts w:ascii="Times New Roman" w:cs="Times New Roman" w:eastAsia="Times New Roman" w:hAnsi="Times New Roman"/>
          <w:sz w:val="20"/>
          <w:szCs w:val="20"/>
          <w:color w:val="auto"/>
        </w:rPr>
      </w:pPr>
    </w:p>
    <w:p>
      <w:pPr>
        <w:ind w:left="1094" w:firstLine="652"/>
        <w:spacing w:after="0" w:line="269" w:lineRule="auto"/>
        <w:tabs>
          <w:tab w:leader="none" w:pos="2230" w:val="left"/>
        </w:tabs>
        <w:numPr>
          <w:ilvl w:val="3"/>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each Bid Rate Borrowing may not exceed the applicable amount set forth in the related Bid Rate Quote Request;</w:t>
      </w:r>
    </w:p>
    <w:p>
      <w:pPr>
        <w:spacing w:after="0" w:line="172" w:lineRule="exact"/>
        <w:rPr>
          <w:rFonts w:ascii="Times New Roman" w:cs="Times New Roman" w:eastAsia="Times New Roman" w:hAnsi="Times New Roman"/>
          <w:sz w:val="20"/>
          <w:szCs w:val="20"/>
          <w:color w:val="auto"/>
        </w:rPr>
      </w:pPr>
    </w:p>
    <w:p>
      <w:pPr>
        <w:ind w:left="2214" w:hanging="468"/>
        <w:spacing w:after="0"/>
        <w:tabs>
          <w:tab w:leader="none" w:pos="2214" w:val="left"/>
        </w:tabs>
        <w:numPr>
          <w:ilvl w:val="3"/>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principal amount of each Bid Rate Borrowing shall comply with the provisions of Section 2.3.(b)</w:t>
      </w:r>
    </w:p>
    <w:p>
      <w:pPr>
        <w:spacing w:after="0" w:line="33" w:lineRule="exact"/>
        <w:rPr>
          <w:rFonts w:ascii="Times New Roman" w:cs="Times New Roman" w:eastAsia="Times New Roman" w:hAnsi="Times New Roman"/>
          <w:sz w:val="19"/>
          <w:szCs w:val="19"/>
          <w:color w:val="auto"/>
        </w:rPr>
      </w:pPr>
    </w:p>
    <w:p>
      <w:pPr>
        <w:ind w:left="1094" w:firstLine="4"/>
        <w:spacing w:after="0" w:line="260" w:lineRule="auto"/>
        <w:tabs>
          <w:tab w:leader="none" w:pos="1405" w:val="left"/>
        </w:tabs>
        <w:numPr>
          <w:ilvl w:val="2"/>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together with all other Bid Rate Loans then outstanding shall not cause the limits specified in Section 2.18. to be violated;</w:t>
      </w:r>
    </w:p>
    <w:p>
      <w:pPr>
        <w:spacing w:after="0" w:line="181" w:lineRule="exact"/>
        <w:rPr>
          <w:rFonts w:ascii="Times New Roman" w:cs="Times New Roman" w:eastAsia="Times New Roman" w:hAnsi="Times New Roman"/>
          <w:sz w:val="20"/>
          <w:szCs w:val="20"/>
          <w:color w:val="auto"/>
        </w:rPr>
      </w:pPr>
    </w:p>
    <w:p>
      <w:pPr>
        <w:ind w:left="1094" w:firstLine="652"/>
        <w:spacing w:after="0" w:line="269" w:lineRule="auto"/>
        <w:tabs>
          <w:tab w:leader="none" w:pos="2236" w:val="left"/>
        </w:tabs>
        <w:numPr>
          <w:ilvl w:val="3"/>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Bid Rate Quotes may be made only in ascending order of Absolute Rates or SOFR Margins, as applicable, in each case beginning with the lowest rate so offered;</w:t>
      </w:r>
    </w:p>
    <w:p>
      <w:pPr>
        <w:spacing w:after="0" w:line="172" w:lineRule="exact"/>
        <w:rPr>
          <w:rFonts w:ascii="Times New Roman" w:cs="Times New Roman" w:eastAsia="Times New Roman" w:hAnsi="Times New Roman"/>
          <w:sz w:val="20"/>
          <w:szCs w:val="20"/>
          <w:color w:val="auto"/>
        </w:rPr>
      </w:pPr>
    </w:p>
    <w:p>
      <w:pPr>
        <w:ind w:left="1094" w:firstLine="652"/>
        <w:spacing w:after="0" w:line="269" w:lineRule="auto"/>
        <w:tabs>
          <w:tab w:leader="none" w:pos="2320" w:val="left"/>
        </w:tabs>
        <w:numPr>
          <w:ilvl w:val="3"/>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acceptance in part by the Borrower Representative shall be in a minimum amount of $1,000,000 and integral multiples of $500,000 in excess thereof;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5"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54 -</w:t>
      </w:r>
    </w:p>
    <w:p>
      <w:pPr>
        <w:sectPr>
          <w:pgSz w:w="11900" w:h="16838" w:orient="portrait"/>
          <w:cols w:equalWidth="0" w:num="1">
            <w:col w:w="11034"/>
          </w:cols>
          <w:pgMar w:left="526" w:top="1440" w:right="339" w:bottom="1440" w:gutter="0" w:footer="0" w:header="0"/>
        </w:sectPr>
      </w:pPr>
    </w:p>
    <w:bookmarkStart w:id="391" w:name="page392"/>
    <w:bookmarkEnd w:id="391"/>
    <w:p>
      <w:pPr>
        <w:spacing w:after="0" w:line="189" w:lineRule="exact"/>
        <w:rPr>
          <w:sz w:val="20"/>
          <w:szCs w:val="20"/>
          <w:color w:val="auto"/>
        </w:rPr>
      </w:pPr>
    </w:p>
    <w:p>
      <w:pPr>
        <w:ind w:left="1300" w:firstLine="652"/>
        <w:spacing w:after="0" w:line="283" w:lineRule="auto"/>
        <w:tabs>
          <w:tab w:leader="none" w:pos="2452"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Representative may not accept any Bid Rate Quote that fails to comply with Section 2.3.(c) or otherwise fails to comply with the requirements of this Agreement.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95"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Bid Rate Quotes are made by two or more Revolving Lenders with the same Absolute Rates or SOFR Margins, as applicable, for a greater aggregate principal amount than the amount in respect of which Bid Rate Quotes are permitted to be accepted for the related Interest Period, the principal amount of Bid Rate Loans in respect of which such Bid Rate Quotes are accepted shall be allocated by the Administrative Agent among such Revolving Lenders in proportion to the aggregate principal amount of such Bid Rate Quotes. Determinations by the Administrative Agent of the amounts of Bid Rate Loans shall be conclusive in the absence of manifest error.</w:t>
      </w:r>
    </w:p>
    <w:p>
      <w:pPr>
        <w:spacing w:after="0" w:line="192"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4"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 to Make Bid Rate Loans</w:t>
      </w:r>
      <w:r>
        <w:rPr>
          <w:rFonts w:ascii="Times New Roman" w:cs="Times New Roman" w:eastAsia="Times New Roman" w:hAnsi="Times New Roman"/>
          <w:sz w:val="20"/>
          <w:szCs w:val="20"/>
          <w:color w:val="auto"/>
        </w:rPr>
        <w:t>. The Administrative Agent shall promptly (and in any event not later than (x) 12:00 noon Eastern time on the proposed date of borrowing of Absolute Rate Loans and (y) on the date three (3) U.S. Government Securities Business Days prior to the proposed date of borrowing of SOFR Margin Loans) notify each Revolving Lender as to whose Bid Rate Quote has been accepted and the amount and rate thereof. A Revolving Lender who is notified that it has been selected to make a Bid Rate Loan may designate its Designated Lender (if any) to fund such Bid Rate Loan on its behalf, as described in Section 12.5.(h). Any Designated Lender which funds a Bid Rate Loan shall on and after the time of such funding become the obligee in respect of such Bid Rate Loan and be entitled to receive payment thereof when due. No Revolving Lender shall be relieved of its obligation to fund a Bid Rate Loan, and no Designated Lender shall assume such obligation, prior to the time the applicable Bid Rate Loan is funded. Any Revolving Lender whose offer to make any Bid Rate Loan has been accepted shall, not later than 1:30 p.m. Eastern time on the date specified for the making of such Loan, make the amount of such Loan available to the Administrative Agent at its Principal Office in immediately available funds, for the account of the Borrower to whom such Bid Rate Loan is to be made. The amount so received by the Administrative Agent shall, subject to the terms and conditions of this Agreement, be made available to such Borrower not later than 2:00 p.m. Eastern time on such date by depositing the same, in immediately available funds, in an account of such Borrower designated by the Borrower Representative.</w:t>
      </w:r>
    </w:p>
    <w:p>
      <w:pPr>
        <w:spacing w:after="0" w:line="179" w:lineRule="exact"/>
        <w:rPr>
          <w:rFonts w:ascii="Times New Roman" w:cs="Times New Roman" w:eastAsia="Times New Roman" w:hAnsi="Times New Roman"/>
          <w:sz w:val="20"/>
          <w:szCs w:val="20"/>
          <w:color w:val="auto"/>
        </w:rPr>
      </w:pPr>
    </w:p>
    <w:p>
      <w:pPr>
        <w:ind w:firstLine="656"/>
        <w:spacing w:after="0" w:line="283" w:lineRule="auto"/>
        <w:tabs>
          <w:tab w:leader="none" w:pos="109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Effect on Commitment</w:t>
      </w:r>
      <w:r>
        <w:rPr>
          <w:rFonts w:ascii="Times New Roman" w:cs="Times New Roman" w:eastAsia="Times New Roman" w:hAnsi="Times New Roman"/>
          <w:sz w:val="20"/>
          <w:szCs w:val="20"/>
          <w:color w:val="auto"/>
        </w:rPr>
        <w:t>. Except for the purpose and to the extent expressly stated in Sections 2.13. and 2.18., the amount of any Bid Rate Loan made by any Revolving Lender shall not constitute a utilization of such Revolving Lender’s Revolving Commitment.</w:t>
      </w:r>
    </w:p>
    <w:p>
      <w:pPr>
        <w:spacing w:after="0" w:line="15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2.4.</w:t>
      </w:r>
      <w:r>
        <w:rPr>
          <w:sz w:val="20"/>
          <w:szCs w:val="20"/>
          <w:color w:val="auto"/>
        </w:rPr>
        <w:tab/>
      </w:r>
      <w:r>
        <w:rPr>
          <w:rFonts w:ascii="Times New Roman" w:cs="Times New Roman" w:eastAsia="Times New Roman" w:hAnsi="Times New Roman"/>
          <w:sz w:val="19"/>
          <w:szCs w:val="19"/>
          <w:b w:val="1"/>
          <w:bCs w:val="1"/>
          <w:color w:val="auto"/>
        </w:rPr>
        <w:t>Letters of Credit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69" w:lineRule="auto"/>
        <w:tabs>
          <w:tab w:leader="none" w:pos="1173" w:val="left"/>
        </w:tabs>
        <w:numPr>
          <w:ilvl w:val="1"/>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xml:space="preserve">. Subject to the terms and conditions of this Agreement, including without limitation, Section 2.18., each Issuing Bank, on behalf of the Revolving Lenders, agrees to issue for the accounts of the Borrowers and their Subsidiaries during the period from and including the Effective Date to, but excluding, the date thirty (30) days prior to the Revolving Termination Date, one or more standby letters of credit (each a “Letter of Credit”) up to a maximum aggregate Stated Amount at any one time outstanding not to exceed $200,000,000 as such amount may be reduced from time to time in accordance with the terms hereof (the “L/C Commitment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 Issuing Bank shall not be obligated to issue any Letter of Credit if, after giving effect to such issuance, the aggregate Stated Amount of the outstanding Letters of Credit issued by such Issuing Bank would exceed </w:t>
      </w:r>
      <w:r>
        <w:rPr>
          <w:rFonts w:ascii="Times New Roman" w:cs="Times New Roman" w:eastAsia="Times New Roman" w:hAnsi="Times New Roman"/>
          <w:sz w:val="19"/>
          <w:szCs w:val="19"/>
          <w:color w:val="ED0000"/>
          <w:strike w:val="1"/>
        </w:rPr>
        <w:t>25.0%</w:t>
      </w:r>
      <w:r>
        <w:rPr>
          <w:rFonts w:ascii="Times New Roman" w:cs="Times New Roman" w:eastAsia="Times New Roman" w:hAnsi="Times New Roman"/>
          <w:sz w:val="19"/>
          <w:szCs w:val="19"/>
          <w:u w:val="single" w:color="auto"/>
          <w:color w:val="007BB8"/>
        </w:rPr>
        <w:t>one sixth</w:t>
      </w:r>
      <w:r>
        <w:rPr>
          <w:rFonts w:ascii="Times New Roman" w:cs="Times New Roman" w:eastAsia="Times New Roman" w:hAnsi="Times New Roman"/>
          <w:sz w:val="19"/>
          <w:szCs w:val="19"/>
          <w:color w:val="auto"/>
        </w:rPr>
        <w:t xml:space="preserve"> of the L/C Commitment Amount.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28" w:lineRule="exact"/>
        <w:rPr>
          <w:rFonts w:ascii="Times New Roman" w:cs="Times New Roman" w:eastAsia="Times New Roman" w:hAnsi="Times New Roman"/>
          <w:sz w:val="19"/>
          <w:szCs w:val="19"/>
          <w:color w:val="auto"/>
        </w:rPr>
      </w:pPr>
    </w:p>
    <w:p>
      <w:pPr>
        <w:ind w:left="320" w:hanging="114"/>
        <w:spacing w:after="0"/>
        <w:tabs>
          <w:tab w:leader="none" w:pos="32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55 -</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89" w:lineRule="exact"/>
        <w:rPr>
          <w:sz w:val="20"/>
          <w:szCs w:val="20"/>
          <w:color w:val="auto"/>
        </w:rPr>
      </w:pPr>
    </w:p>
    <w:p>
      <w:pPr>
        <w:jc w:val="both"/>
        <w:ind w:left="-206" w:firstLine="656"/>
        <w:spacing w:after="0" w:line="250" w:lineRule="auto"/>
        <w:tabs>
          <w:tab w:leader="none" w:pos="88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Letters of Credit</w:t>
      </w:r>
      <w:r>
        <w:rPr>
          <w:rFonts w:ascii="Times New Roman" w:cs="Times New Roman" w:eastAsia="Times New Roman" w:hAnsi="Times New Roman"/>
          <w:sz w:val="20"/>
          <w:szCs w:val="20"/>
          <w:color w:val="auto"/>
        </w:rPr>
        <w:t>. At the time of issuance, the amount, form, terms and conditions of each Letter of Credit, and of any drafts or acceptances thereunder, shall be subject to approval by the applicable Issuing Bank and the Borrower Representative. Notwithstanding the foregoing, in no event may (i) the expiration date of any Letter of Credit extend beyond the date that is thirty (30) days prior to the Revolving Termination Date, or (ii) any Letter of Credit have an initial duration in excess of one year; provided, however, a Letter of Credit may contain a provision providing for the automatic extension of the expiration date in the absence of a notice of non-renewal from such Issuing Bank but in no event shall any such provision permit the extension of the expiration date of such Letter of Credit beyond the date that is thirty (30) days prior to the Revolving Termination Date. Notwithstanding the foregoing, a Letter of Credit may, as a result of its express terms or as the result of the effect of an automatic extension provision, have an expiration date of not more than one year beyond the Revolving Termination Date (in which case, such Letter of Credit shall be an “Extended Letter of Credit”), so long as the Borrowers deliver to the Administrative Agent for its benefit and the benefit of such Issuing Bank and the Lenders no later than 30 days prior to the Revolving Termination Date Cash Collateral for such Letter of Credit for deposit into the Letter of Credit Collateral Account in an amount equal to the Stated Amount of such Letter of Credit. If the Borrowers fail to provide Cash Collateral with respect to any Extended Letter of Credit by the date 30 days prior to the Revolving Termination Date, such failure shall be treated as a drawing under such Extended Letter of Credit (in an amount equal to the maximum Stated Amount of such Letter of Credit), which shall be reimbursed (or participations therein funded) in accordance with the immediately following subsections (i) and (j), with the proceeds being utilized to provide Cash Collateral for such Letter of Credit. The initial Stated Amount of each Letter of Credit shall be at least $100,000 (or such lesser amount as may be acceptable to such Issuing Bank, the Administrative Agent and the Borrower Representative).</w:t>
      </w:r>
    </w:p>
    <w:p>
      <w:pPr>
        <w:spacing w:after="0" w:line="179" w:lineRule="exact"/>
        <w:rPr>
          <w:rFonts w:ascii="Times New Roman" w:cs="Times New Roman" w:eastAsia="Times New Roman" w:hAnsi="Times New Roman"/>
          <w:sz w:val="20"/>
          <w:szCs w:val="20"/>
          <w:color w:val="auto"/>
        </w:rPr>
      </w:pPr>
    </w:p>
    <w:p>
      <w:pPr>
        <w:jc w:val="both"/>
        <w:ind w:left="-206" w:firstLine="656"/>
        <w:spacing w:after="0" w:line="249" w:lineRule="auto"/>
        <w:tabs>
          <w:tab w:leader="none" w:pos="887"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Requests for Issuance of Letters of Credit</w:t>
      </w:r>
      <w:r>
        <w:rPr>
          <w:rFonts w:ascii="Times New Roman" w:cs="Times New Roman" w:eastAsia="Times New Roman" w:hAnsi="Times New Roman"/>
          <w:sz w:val="20"/>
          <w:szCs w:val="20"/>
          <w:color w:val="auto"/>
        </w:rPr>
        <w:t>. The Borrower Representative shall give the Issuing Bank selected by the Borrower Representative and the Administrative Agent written notice (or a telephonic notice promptly confirmed in writing) at least five (5) Business Days (or such shorter period as may be acceptable to such Issuing Bank and the Administrative Agent in their sole discretion)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Borrower or Subsidiary for whose account such Letter of Credit is to be issued, (ii) initial Stated Amount, (iii) beneficiary, and (iv) expiration date. The Borrower or Subsidiary for whose account a Letter of Credit is to be issued shall also execute and deliver such customary applications and agreements for standby letters of credit, and other forms as requested from time to time by such Issuing Bank; provided that in the case of a Letter of Credit issued for the account of a Subsidiary, a Borrower shall co-sign the application for such Letter of Credit. Provided the Borrower Representative has given the notice prescribed by the first sentence of this subsection and the applicable Borrower or Subsidiary has delivered such applications and agreements referred to in the preceding sentence, subject to the other terms and conditions of this Agreement, including the satisfaction of any applicable conditions precedent set forth in Section 5.2., such Issuing Bank shall issue the requested Letter of Credit on the requested date of issuance for the benefit of the stipulated beneficiary but in no event shall such issuance be required prior to the date five (5) Business Days following the date after which such Issuing Bank has received all of the items required to be delivered to it under this subsection. No Issuing Bank shall at any time be obligated to issue any Letter of Credit if such issuance would conflict with, or cause such Issuing Bank or any Revolving Lender to exceed any limits imposed by, any Applicable Law. References herein to “issue” and derivations thereof with respect to Letters of Credit shall also include extensions or modifications of any outstanding Letters of Credit, unless the context otherwise requires. Upon the written request of the Borrower Representative, the applicable Issuing Bank shall deliver to the Borrower Representative a copy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8"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56 -</w:t>
      </w:r>
    </w:p>
    <w:p>
      <w:pPr>
        <w:sectPr>
          <w:pgSz w:w="11900" w:h="16838" w:orient="portrait"/>
          <w:cols w:equalWidth="0" w:num="1">
            <w:col w:w="11034"/>
          </w:cols>
          <w:pgMar w:left="526" w:top="1440" w:right="339" w:bottom="1440" w:gutter="0" w:footer="0" w:header="0"/>
        </w:sectPr>
      </w:pPr>
    </w:p>
    <w:bookmarkStart w:id="393" w:name="page394"/>
    <w:bookmarkEnd w:id="393"/>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of each issued Letter of Credit issued by it within a reasonable time after the date of issuance thereof. To the extent any term of a Letter of Credit Document is inconsistent with a term of any Loan Document, the term of such Loan Document shall control.</w:t>
      </w:r>
    </w:p>
    <w:p>
      <w:pPr>
        <w:spacing w:after="0" w:line="146" w:lineRule="exact"/>
        <w:rPr>
          <w:sz w:val="20"/>
          <w:szCs w:val="20"/>
          <w:color w:val="auto"/>
        </w:rPr>
      </w:pPr>
    </w:p>
    <w:p>
      <w:pPr>
        <w:jc w:val="both"/>
        <w:ind w:firstLine="656"/>
        <w:spacing w:after="0" w:line="251" w:lineRule="auto"/>
        <w:tabs>
          <w:tab w:leader="none" w:pos="1157" w:val="left"/>
        </w:tabs>
        <w:numPr>
          <w:ilvl w:val="2"/>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Obligations</w:t>
      </w:r>
      <w:r>
        <w:rPr>
          <w:rFonts w:ascii="Times New Roman" w:cs="Times New Roman" w:eastAsia="Times New Roman" w:hAnsi="Times New Roman"/>
          <w:sz w:val="20"/>
          <w:szCs w:val="20"/>
          <w:color w:val="auto"/>
        </w:rPr>
        <w:t>. Upon receipt by the applicable Issuing Bank from the beneficiary of a Letter of Credit of any demand for payment under such Letter of Credit, such Issuing Bank shall promptly notify the Borrower Representative and the Administrative Agent of the amount to be paid by such Issuing Bank as a result of such demand and the date on which payment is to be made by such Issuing Bank to such beneficiary in respect of such demand; provided, however, that such Issuing Bank’s failure to give, or delay in giving, such notice shall not discharge any Borrower in any respect from the applicable Reimbursement Obligation. Each Borrower hereby absolutely, unconditionally and irrevocably, and jointly and severally, agrees to pay and reimburse such Issuing Bank for the amount of each demand for payment under any such Letter of Credit at or prior to the date on which payment is to be made by such Issuing Bank to the beneficiary thereunder, without presentment, demand, protest or other formalities of any kind. Each Borrower confirms that it shall be obligated to reimburse such Issuing Bank hereunder for any and all drawings under any Letter of Credit issued or outstanding hereunder in support of any obligations of, or for the account of, a Subsidiary. Upon receipt by the applicable Issuing Bank of any payment in respect of any Reimbursement Obligation, such Issuing Bank shall promptly pay to each Revolving Lender that has acquired a participation therein under the second sentence of the immediately following subsection (i) such Lender’s Revolving Commitment Percentage of such payment.</w:t>
      </w:r>
    </w:p>
    <w:p>
      <w:pPr>
        <w:spacing w:after="0" w:line="178" w:lineRule="exact"/>
        <w:rPr>
          <w:rFonts w:ascii="Times New Roman" w:cs="Times New Roman" w:eastAsia="Times New Roman" w:hAnsi="Times New Roman"/>
          <w:sz w:val="20"/>
          <w:szCs w:val="20"/>
          <w:color w:val="auto"/>
        </w:rPr>
      </w:pPr>
    </w:p>
    <w:p>
      <w:pPr>
        <w:jc w:val="both"/>
        <w:ind w:firstLine="656"/>
        <w:spacing w:after="0" w:line="250" w:lineRule="auto"/>
        <w:tabs>
          <w:tab w:leader="none" w:pos="1106" w:val="left"/>
        </w:tabs>
        <w:numPr>
          <w:ilvl w:val="2"/>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Reimbursement</w:t>
      </w:r>
      <w:r>
        <w:rPr>
          <w:rFonts w:ascii="Times New Roman" w:cs="Times New Roman" w:eastAsia="Times New Roman" w:hAnsi="Times New Roman"/>
          <w:sz w:val="20"/>
          <w:szCs w:val="20"/>
          <w:color w:val="auto"/>
        </w:rPr>
        <w:t>. Upon its receipt of a notice referred to in the immediately preceding subsection (d), the Borrower Representative shall advise the Administrative Agent and the applicable Issuing Bank whether or not the applicable Borrower intends to borrow hereunder to finance its obligation to reimburse such Issuing Bank for the amount of the related demand for payment and, if it does, the Borrower Representative shall submit a timely request for such borrowing as provided in the applicable provisions of this Agreement. If the Borrower Representative fails to so advise the Administrative Agent and such Issuing Bank, or if the Borrowers fail to reimburse such Issuing Bank for a demand for payment under a Letter of Credit by the date of such payment, the failure of which such Issuing Bank shall promptly notify the Administrative Agent, then (i) if the applicable conditions contained in Article V. would permit the making of Revolving Loans, the Borrower for whose account such Letter of Credit was issued shall be deemed to have requested a borrowing of Revolving Loans (which shall be Base Rate Loans) in an amount equal to the unpaid Reimbursement Obligation, and the Administrative Agent shall give each Revolving Lender prompt notice of the amount of the Revolving Loan to be made available by such Revolving Lender to the Administrative Agent not later than 1:00 p.m. Eastern time and (ii) if such conditions would not permit the making of Revolving Loans, the provisions of subsection (j) of this Section shall apply. The limitations set forth in the second sentence of Section 2.1.(a) shall not apply to any borrowing of Base Rate Loans under this subsection.</w:t>
      </w:r>
    </w:p>
    <w:p>
      <w:pPr>
        <w:spacing w:after="0" w:line="193" w:lineRule="exact"/>
        <w:rPr>
          <w:rFonts w:ascii="Times New Roman" w:cs="Times New Roman" w:eastAsia="Times New Roman" w:hAnsi="Times New Roman"/>
          <w:sz w:val="20"/>
          <w:szCs w:val="20"/>
          <w:color w:val="auto"/>
        </w:rPr>
      </w:pPr>
    </w:p>
    <w:p>
      <w:pPr>
        <w:jc w:val="both"/>
        <w:ind w:firstLine="656"/>
        <w:spacing w:after="0" w:line="267" w:lineRule="auto"/>
        <w:tabs>
          <w:tab w:leader="none" w:pos="1125" w:val="left"/>
        </w:tabs>
        <w:numPr>
          <w:ilvl w:val="2"/>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Letters of Credit on Commitments</w:t>
      </w:r>
      <w:r>
        <w:rPr>
          <w:rFonts w:ascii="Times New Roman" w:cs="Times New Roman" w:eastAsia="Times New Roman" w:hAnsi="Times New Roman"/>
          <w:sz w:val="19"/>
          <w:szCs w:val="19"/>
          <w:color w:val="auto"/>
        </w:rPr>
        <w:t>. Upon the issuance by any Issuing Bank of any Letter of Credit and until such Letter of Credit shall have expired or been cancelled, the Revolving Commitment of each Revolving Lender shall be deemed to be utilized for all purposes of this Agreement in an amount equal to the product of (i) such Revolving Lender’s Revolving Commitment Percentage and</w:t>
      </w:r>
    </w:p>
    <w:p>
      <w:pPr>
        <w:spacing w:after="0" w:line="1"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Stated Amount of such Letter of Credit plus (B) any related Reimbursement Obligations then outstanding.</w:t>
      </w:r>
    </w:p>
    <w:p>
      <w:pPr>
        <w:spacing w:after="0" w:line="200"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238" w:val="left"/>
        </w:tabs>
        <w:numPr>
          <w:ilvl w:val="2"/>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Banks’ Duties Regarding Letters of Credit; Unconditional Nature of Reimbursement Obligations</w:t>
      </w:r>
      <w:r>
        <w:rPr>
          <w:rFonts w:ascii="Times New Roman" w:cs="Times New Roman" w:eastAsia="Times New Roman" w:hAnsi="Times New Roman"/>
          <w:sz w:val="20"/>
          <w:szCs w:val="20"/>
          <w:color w:val="auto"/>
        </w:rPr>
        <w:t>. In examining documents presented in connection with drawings under Letters of Credit and making payments under such Letters of Credit against such documents,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7"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57 -</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applicable Issuing Bank shall only be required to use the same standard of care as it uses in connection with examining documents presented in connection with drawings under letters of credit in which it has not sold participations and making payments under such letters of credit. Each Borrower assumes all risks of the acts and omissions of, or misuse of the Letters of Credit by, the respective beneficiaries of such Letters of Credit. In furtherance and not in limitation of the foregoing, none of the applicable Issuing Bank, the Administrative Agent or any of the Lenders shall be responsible for, and the Borrowers’ obligations in respect of Letters of Credit shall not be affected in any manner by,</w:t>
      </w:r>
    </w:p>
    <w:p>
      <w:pPr>
        <w:spacing w:after="0" w:line="2" w:lineRule="exact"/>
        <w:rPr>
          <w:sz w:val="20"/>
          <w:szCs w:val="20"/>
          <w:color w:val="auto"/>
        </w:rPr>
      </w:pPr>
    </w:p>
    <w:p>
      <w:pPr>
        <w:jc w:val="both"/>
        <w:ind w:firstLine="8"/>
        <w:spacing w:after="0" w:line="248" w:lineRule="auto"/>
        <w:tabs>
          <w:tab w:leader="none" w:pos="263"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 validity, sufficiency, accuracy, genuineness or legal effects of any document submitted by any party in connection with the application for and issuance of or 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facsimile, electronic mail, telecopy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 (viii) any consequences arising from causes beyond the control of such Issuing Bank, the Administrative Agent or the Lenders. None of the above shall affect, impair or prevent the vesting of any of such Issuing Bank’s or the Administrative Agent’s rights or powers hereunder. Any action taken or omitted to be taken by such Issuing Bank under or in connection with any Letter of Credit, if taken or omitted in the absence of gross negligence or willful misconduct (as determined by a court of competent jurisdiction in a final, non-appealable judgment), shall not create against such Issuing Bank any liability to any Borrower, the Administrative Agent or any Lender. In this connection, the obligation of each Borrower to reimburse the applicable Issuing Bank for any drawing made under any Letter of Credit, and to repay any Revolving Loan made pursuant to the second sentence of the immediately preceding subsection (e),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any Borrower may have at any time against such Issuing Bank, the Administrative Agent or any Lender, any beneficiary of a Letter of Credit or any other Person, whether in connection with this Agreement, the transactions contemplated hereby or in the Letter of Credit Documents or any unrelated transaction; (D) any breach of contract or dispute between any Borrower such Issuing Bank, the Administrative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or of the proceeds of any drawing under such Letter of Credit; (G) payment by such Issuing Bank under any Letter of Credit against presentation of a draft or certificate which does not comply with the terms of such Letter of Credit; and (H) any other act, omission to act, delay or circumstance whatsoever that might, but for the provisions of this Section, constitute a legal or equitable defense to or discharge of any Borrower’s Reimbursement Obligations. Notwithstanding anything to the contrary contained in this Section or Section 12.9., but not in limitation of each Borrower’s unconditional obligation to reimburse the applicable Issuing Bank for any drawing made under a Letter of Credit as provided in this Section and to repay any Revolving Loan made pursuant to the second sentence of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9"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58 -</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immediately preceding subsection (e), no Borrower shall have any obligation to indemnify the Administrative Agent, such Issuing Bank or any Lender in respect of any liability incurred by the Administrative Agent, such Issuing Bank or such Lender arising solely out of the gross negligence or willful misconduct of the Administrative Agent, such Issuing Bank or such Lender in respect of a Letter of Credit as determined by a court of competent jurisdiction in a final, non-appealable judgment. Except as otherwise provided in this Section, nothing in this Section shall affect any rights that any Borrower may have with respect to the gross negligence or willful misconduct of the Administrative Agent, such Issuing Bank or any Lender with respect to any Letter of Credit.</w:t>
      </w:r>
    </w:p>
    <w:p>
      <w:pPr>
        <w:spacing w:after="0" w:line="192" w:lineRule="exact"/>
        <w:rPr>
          <w:sz w:val="20"/>
          <w:szCs w:val="20"/>
          <w:color w:val="auto"/>
        </w:rPr>
      </w:pPr>
    </w:p>
    <w:p>
      <w:pPr>
        <w:jc w:val="both"/>
        <w:ind w:firstLine="656"/>
        <w:spacing w:after="0" w:line="251" w:lineRule="auto"/>
        <w:tabs>
          <w:tab w:leader="none" w:pos="113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Etc.</w:t>
      </w:r>
      <w:r>
        <w:rPr>
          <w:rFonts w:ascii="Times New Roman" w:cs="Times New Roman" w:eastAsia="Times New Roman" w:hAnsi="Times New Roman"/>
          <w:sz w:val="20"/>
          <w:szCs w:val="20"/>
          <w:color w:val="auto"/>
        </w:rPr>
        <w:t xml:space="preserve"> The issuance by the applicable Issuing Bank of any amendment, supplement or other modification to any Letter of Credit shall be subject to the same conditions applicable under this Agreement to the issuance of new Letters of Credit (including, without limitation, that the request therefor be made through such Issuing Bank), and no such amendment, supplement or other modification shall be issued unless either (i) the respective Letter of Credit affected thereby would have complied with such conditions had it originally been issued hereunder in such amended, supplemented or modified form or (ii) the Administrative Agent and the Revolving Lenders required by Section 12.6. shall have consented thereto. In connection with any such amendment, supplement or other modification, the Borrowers jointly and severally agree to pay the fees, if any, payable under the last sentence of Section 3.5.(e).</w:t>
      </w:r>
    </w:p>
    <w:p>
      <w:pPr>
        <w:spacing w:after="0" w:line="192" w:lineRule="exact"/>
        <w:rPr>
          <w:rFonts w:ascii="Times New Roman" w:cs="Times New Roman" w:eastAsia="Times New Roman" w:hAnsi="Times New Roman"/>
          <w:sz w:val="20"/>
          <w:szCs w:val="20"/>
          <w:color w:val="auto"/>
        </w:rPr>
      </w:pPr>
    </w:p>
    <w:p>
      <w:pPr>
        <w:jc w:val="both"/>
        <w:ind w:firstLine="656"/>
        <w:spacing w:after="0" w:line="250" w:lineRule="auto"/>
        <w:tabs>
          <w:tab w:leader="none" w:pos="11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Lenders’ Participation in Letters of Credit</w:t>
      </w:r>
      <w:r>
        <w:rPr>
          <w:rFonts w:ascii="Times New Roman" w:cs="Times New Roman" w:eastAsia="Times New Roman" w:hAnsi="Times New Roman"/>
          <w:sz w:val="20"/>
          <w:szCs w:val="20"/>
          <w:color w:val="auto"/>
        </w:rPr>
        <w:t>. Each Revolving Lender, immediately upon the issuance by the applicable Issuing Bank of any Letter of Credit (or in the case of Existing Letters of Credit, upon the Agreement Date), shall be deemed to have absolutely, irrevocably and unconditionally purchased and received from such Issuing Bank, without recourse or warranty, an undivided interest and participation to the extent of such Revolving Lender’s Revolving Commitment Percentage of the liability of such Issuing Bank with respect to such Letter of Credit and each Lender thereby shall absolutely, unconditionally and irrevocably assume, as primary obligor and not as surety, and shall be unconditionally obligated to such Issuing Bank to pay and discharge when due, such Revolving Lender’s Revolving Commitment Percentage of such Issuing Bank’s liability under such Letter of Credit. In addition, upon the making of each payment by a Revolving Lender to the Administrative Agent for the account of such Issuing Bank in respect of any Letter of Credit pursuant to the immediately following subsection (j), such Lender shall, automatically and without any further action on the part of such Issuing Bank, the Administrative Agent or such Revolving Lender, acquire (i) a participation in an amount equal to such payment in the Reimbursement Obligation owing to such Issuing Bank in respect of such Letter of Credit and (ii) a participation in a percentage equal to such Revolving Lender’s Revolving Commitment Percentage in any interest or other amounts payable by any Borrower in respect of such Reimbursement Obligation (other than the Fees payable to such Issuing Bank pursuant to the second and the last sentences of Section 3.5.(e)).</w:t>
      </w:r>
    </w:p>
    <w:p>
      <w:pPr>
        <w:spacing w:after="0" w:line="17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46"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Obligation of Lenders</w:t>
      </w:r>
      <w:r>
        <w:rPr>
          <w:rFonts w:ascii="Times New Roman" w:cs="Times New Roman" w:eastAsia="Times New Roman" w:hAnsi="Times New Roman"/>
          <w:sz w:val="20"/>
          <w:szCs w:val="20"/>
          <w:color w:val="auto"/>
        </w:rPr>
        <w:t>. Each Revolving Lender severally agrees to pay to the Administrative Agent, for the account of the applicable Issuing Bank, on demand in immediately available funds in Dollars the amount of such Revolving Lender’s Revolving Commitment Percentage of each drawing paid by such Issuing Bank under each Letter of Credit to the extent such amount is not reimbursed by the applicable Borrower pursuant to the immediately preceding subsection (d); provided, however, that in respect of any drawing under any Letter of Credit, subject to Section 3.9(d), the maximum amount that any Revolving Lender shall be required to fund, whether as a Revolving Loan or as a participation, shall not exceed such Revolving Lender’s Revolving Commitment Percentage of such drawing. If the notice referenced in the second sentence of Section 2.4.(e) is received by a Revolving Lender not later than 12:00 noon Eastern time, then such Revolving Lender shall make such payment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59 -</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available to the Administrative Agent not later than 3:00 p.m. Eastern time on the date of demand therefor; otherwise, such payment shall be made available to the Administrative Agent not later than 1:00 p.m. Eastern time on the next succeeding Business Day. Each Revolving Lender’s obligation to make payments to the Administrative Agent under this subsection and in respect of its participation interest under the immediately preceding subsection (i), and the Administrative Agent’s right to receive the same for the account of such Issuing Bank, shall be absolute, irrevocable and unconditional and shall not be affected in any way by any circumstance whatsoever, including without limitation,</w:t>
      </w:r>
    </w:p>
    <w:p>
      <w:pPr>
        <w:spacing w:after="0" w:line="2" w:lineRule="exact"/>
        <w:rPr>
          <w:sz w:val="20"/>
          <w:szCs w:val="20"/>
          <w:color w:val="auto"/>
        </w:rPr>
      </w:pPr>
    </w:p>
    <w:p>
      <w:pPr>
        <w:jc w:val="both"/>
        <w:ind w:firstLine="8"/>
        <w:spacing w:after="0" w:line="249" w:lineRule="auto"/>
        <w:tabs>
          <w:tab w:leader="none" w:pos="247"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other Revolving Lender to make its payment under this subsection, (ii) the financial condition of any Borrower or any other Loan Party or any Subsidiary, (iii) the existence of any Default or Event of Default, including any Event of Default described in Section 10.1.(e) or (f), (iv) the termination of the Revolving Commitments or (v) the delivery of Cash Collateral in respect of any Extended Letter of Credit. Each such payment to the Administrative Agent for the account of such Issuing Bank shall be made without any offset, abatement, withholding or deduction whatsoever.</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71"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to Lenders</w:t>
      </w:r>
      <w:r>
        <w:rPr>
          <w:rFonts w:ascii="Times New Roman" w:cs="Times New Roman" w:eastAsia="Times New Roman" w:hAnsi="Times New Roman"/>
          <w:sz w:val="20"/>
          <w:szCs w:val="20"/>
          <w:color w:val="auto"/>
        </w:rPr>
        <w:t>. Promptly following any change in Letters of Credit outstanding, the applicable Issuing Bank shall deliver to the Administrative Agent, who shall promptly deliver the same to each Revolving Lender and the Borrower Representative, a notice describing the aggregate amount of all Letters of Credit outstanding at such time. Upon the request of any Revolving Lender from time to time, such Issuing Bank shall deliver any other information reasonably requested by such Lender with respect to each Letter of Credit then outstanding. Other than as set forth in this subsection, such Issuing Bank shall have no duty to notify the Lenders regarding the issuance or other matters regarding Letters of Credit issued hereunder. The failure of such Issuing Bank to perform its requirements under this subsection shall not relieve any Revolving Lender from its obligations under the immediately preceding subsection (j).</w:t>
      </w:r>
    </w:p>
    <w:p>
      <w:pPr>
        <w:spacing w:after="0" w:line="179" w:lineRule="exact"/>
        <w:rPr>
          <w:rFonts w:ascii="Times New Roman" w:cs="Times New Roman" w:eastAsia="Times New Roman" w:hAnsi="Times New Roman"/>
          <w:sz w:val="20"/>
          <w:szCs w:val="20"/>
          <w:color w:val="auto"/>
        </w:rPr>
      </w:pPr>
    </w:p>
    <w:p>
      <w:pPr>
        <w:jc w:val="both"/>
        <w:ind w:firstLine="656"/>
        <w:spacing w:after="0" w:line="258" w:lineRule="auto"/>
        <w:tabs>
          <w:tab w:leader="none" w:pos="103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Each of the Borrowers, the Issuing Banks and the Revolving Lenders agrees that each of the letters of credit described on Schedule 2.4.(l) (each an “Existing Letter of Credit”) shall, from and after the Original Effective Date, be deemed to be a Letter of Credit issued under this Agreement and shall be subject to and governed by the terms and conditions of this Agreement and the other Loan Documents.</w:t>
      </w:r>
    </w:p>
    <w:p>
      <w:pPr>
        <w:spacing w:after="0" w:line="172"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Extended Letters of Credit</w:t>
      </w:r>
      <w:r>
        <w:rPr>
          <w:rFonts w:ascii="Times New Roman" w:cs="Times New Roman" w:eastAsia="Times New Roman" w:hAnsi="Times New Roman"/>
          <w:sz w:val="20"/>
          <w:szCs w:val="20"/>
          <w:color w:val="auto"/>
        </w:rPr>
        <w:t>. Each Revolving Lender confirms that its obligations under the immediately preceding subsections</w:t>
      </w:r>
    </w:p>
    <w:p>
      <w:pPr>
        <w:spacing w:after="0" w:line="28" w:lineRule="exact"/>
        <w:rPr>
          <w:rFonts w:ascii="Times New Roman" w:cs="Times New Roman" w:eastAsia="Times New Roman" w:hAnsi="Times New Roman"/>
          <w:sz w:val="20"/>
          <w:szCs w:val="20"/>
          <w:color w:val="auto"/>
        </w:rPr>
      </w:pPr>
    </w:p>
    <w:p>
      <w:pPr>
        <w:jc w:val="both"/>
        <w:ind w:firstLine="8"/>
        <w:spacing w:after="0" w:line="253" w:lineRule="auto"/>
        <w:tabs>
          <w:tab w:leader="none" w:pos="238"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(j) shall be reinstated in full and apply if the delivery of any Cash Collateral in respect of an Extended Letter of Credit is subsequently invalidated, declared to be fraudulent or preferential, set aside or required to be repaid to a trustee, receiver or any other party, in connection with any proceeding under any Debtor Relief Law or otherwise.</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2.5.</w:t>
      </w:r>
      <w:r>
        <w:rPr>
          <w:sz w:val="20"/>
          <w:szCs w:val="20"/>
          <w:color w:val="auto"/>
        </w:rPr>
        <w:tab/>
      </w:r>
      <w:r>
        <w:rPr>
          <w:rFonts w:ascii="Times New Roman" w:cs="Times New Roman" w:eastAsia="Times New Roman" w:hAnsi="Times New Roman"/>
          <w:sz w:val="19"/>
          <w:szCs w:val="19"/>
          <w:b w:val="1"/>
          <w:bCs w:val="1"/>
          <w:color w:val="auto"/>
          <w:strike w:val="1"/>
        </w:rPr>
        <w:t>Swingline Loans</w:t>
      </w:r>
      <w:r>
        <w:rPr>
          <w:rFonts w:ascii="Times New Roman" w:cs="Times New Roman" w:eastAsia="Times New Roman" w:hAnsi="Times New Roman"/>
          <w:sz w:val="19"/>
          <w:szCs w:val="19"/>
          <w:b w:val="1"/>
          <w:bCs w:val="1"/>
          <w:u w:val="single" w:color="auto"/>
          <w:color w:val="007BB8"/>
          <w:strike w:val="1"/>
        </w:rPr>
        <w:t>[Reserved]</w:t>
      </w:r>
      <w:r>
        <w:rPr>
          <w:rFonts w:ascii="Times New Roman" w:cs="Times New Roman" w:eastAsia="Times New Roman" w:hAnsi="Times New Roman"/>
          <w:sz w:val="19"/>
          <w:szCs w:val="19"/>
          <w:color w:val="auto"/>
          <w:strike w:val="1"/>
        </w:rPr>
        <w:t>.</w:t>
      </w:r>
    </w:p>
    <w:p>
      <w:pPr>
        <w:spacing w:after="0" w:line="220" w:lineRule="exact"/>
        <w:rPr>
          <w:sz w:val="20"/>
          <w:szCs w:val="20"/>
          <w:color w:val="auto"/>
        </w:rPr>
      </w:pPr>
    </w:p>
    <w:p>
      <w:pPr>
        <w:jc w:val="both"/>
        <w:ind w:firstLine="656"/>
        <w:spacing w:after="0" w:line="253" w:lineRule="auto"/>
        <w:tabs>
          <w:tab w:leader="none" w:pos="1065" w:val="left"/>
        </w:tabs>
        <w:numPr>
          <w:ilvl w:val="1"/>
          <w:numId w:val="241"/>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u w:val="single" w:color="auto"/>
          <w:color w:val="ED0000"/>
          <w:strike w:val="1"/>
        </w:rPr>
        <w:t>Swingline Loans</w:t>
      </w:r>
      <w:r>
        <w:rPr>
          <w:rFonts w:ascii="Times New Roman" w:cs="Times New Roman" w:eastAsia="Times New Roman" w:hAnsi="Times New Roman"/>
          <w:sz w:val="20"/>
          <w:szCs w:val="20"/>
          <w:color w:val="ED0000"/>
          <w:strike w:val="1"/>
        </w:rPr>
        <w:t>. Subject to the terms and conditions hereof, including without limitation Section 2.18., each Swingline Lender</w:t>
      </w:r>
      <w:r>
        <w:rPr>
          <w:rFonts w:ascii="Times New Roman" w:cs="Times New Roman" w:eastAsia="Times New Roman" w:hAnsi="Times New Roman"/>
          <w:sz w:val="20"/>
          <w:szCs w:val="20"/>
          <w:u w:val="single" w:color="auto"/>
          <w:color w:val="ED0000"/>
          <w:strike w:val="1"/>
        </w:rPr>
        <w:t xml:space="preserve"> </w:t>
      </w:r>
      <w:r>
        <w:rPr>
          <w:rFonts w:ascii="Times New Roman" w:cs="Times New Roman" w:eastAsia="Times New Roman" w:hAnsi="Times New Roman"/>
          <w:sz w:val="20"/>
          <w:szCs w:val="20"/>
          <w:color w:val="ED0000"/>
          <w:strike w:val="1"/>
        </w:rPr>
        <w:t>agrees to make Swingline Loans to the Borrowers, during the period from the Effective Date to but excluding the Swingline Maturity Date, in an aggregate principal amount at any one time outstanding up to, but not exceeding, the lesser of (i) $50,000,000 and (ii) the commitment of such Swingline Lender in its capacity as a Revolving Lender minus the aggregate outstanding principal amount of the Revolving Loans made by such Swingline Lender, as such amounts may be reduced from time to time in accordance with the terms hereof. If at any time the aggregate principal amount of the Swingline Loans outstanding at such time exceeds the Swingline Commitment of such Swingline Lender at such time, the Borrowers shall immediately pay the Administrative Agent for</w:t>
      </w:r>
    </w:p>
    <w:p>
      <w:pPr>
        <w:spacing w:after="0" w:line="200" w:lineRule="exact"/>
        <w:rPr>
          <w:rFonts w:ascii="Times New Roman" w:cs="Times New Roman" w:eastAsia="Times New Roman" w:hAnsi="Times New Roman"/>
          <w:sz w:val="20"/>
          <w:szCs w:val="20"/>
          <w:color w:val="ED0000"/>
          <w:strike w:val="1"/>
        </w:rPr>
      </w:pPr>
    </w:p>
    <w:p>
      <w:pPr>
        <w:spacing w:after="0" w:line="200" w:lineRule="exact"/>
        <w:rPr>
          <w:rFonts w:ascii="Times New Roman" w:cs="Times New Roman" w:eastAsia="Times New Roman" w:hAnsi="Times New Roman"/>
          <w:sz w:val="20"/>
          <w:szCs w:val="20"/>
          <w:color w:val="ED0000"/>
          <w:strike w:val="1"/>
        </w:rPr>
      </w:pPr>
    </w:p>
    <w:p>
      <w:pPr>
        <w:spacing w:after="0" w:line="200" w:lineRule="exact"/>
        <w:rPr>
          <w:rFonts w:ascii="Times New Roman" w:cs="Times New Roman" w:eastAsia="Times New Roman" w:hAnsi="Times New Roman"/>
          <w:sz w:val="20"/>
          <w:szCs w:val="20"/>
          <w:color w:val="ED0000"/>
          <w:strike w:val="1"/>
        </w:rPr>
      </w:pPr>
    </w:p>
    <w:p>
      <w:pPr>
        <w:spacing w:after="0" w:line="200" w:lineRule="exact"/>
        <w:rPr>
          <w:rFonts w:ascii="Times New Roman" w:cs="Times New Roman" w:eastAsia="Times New Roman" w:hAnsi="Times New Roman"/>
          <w:sz w:val="20"/>
          <w:szCs w:val="20"/>
          <w:color w:val="ED0000"/>
          <w:strike w:val="1"/>
        </w:rPr>
      </w:pPr>
    </w:p>
    <w:p>
      <w:pPr>
        <w:spacing w:after="0" w:line="200" w:lineRule="exact"/>
        <w:rPr>
          <w:rFonts w:ascii="Times New Roman" w:cs="Times New Roman" w:eastAsia="Times New Roman" w:hAnsi="Times New Roman"/>
          <w:sz w:val="20"/>
          <w:szCs w:val="20"/>
          <w:color w:val="ED0000"/>
          <w:strike w:val="1"/>
        </w:rPr>
      </w:pPr>
    </w:p>
    <w:p>
      <w:pPr>
        <w:spacing w:after="0" w:line="245" w:lineRule="exact"/>
        <w:rPr>
          <w:rFonts w:ascii="Times New Roman" w:cs="Times New Roman" w:eastAsia="Times New Roman" w:hAnsi="Times New Roman"/>
          <w:sz w:val="20"/>
          <w:szCs w:val="20"/>
          <w:color w:val="ED0000"/>
          <w:strike w:val="1"/>
        </w:rPr>
      </w:pPr>
    </w:p>
    <w:p>
      <w:pPr>
        <w:ind w:left="320" w:hanging="114"/>
        <w:spacing w:after="0"/>
        <w:tabs>
          <w:tab w:leader="none" w:pos="32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8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ED0000"/>
          <w:strike w:val="1"/>
        </w:rPr>
        <w:t>the account of such Swingline Lender the amount of such excess. Subject to the terms and conditions of this Agreement, the Borrowers may borrow, repay and reborrow Swingline Loans hereunder.</w:t>
      </w:r>
    </w:p>
    <w:p>
      <w:pPr>
        <w:spacing w:after="0" w:line="146" w:lineRule="exact"/>
        <w:rPr>
          <w:sz w:val="20"/>
          <w:szCs w:val="20"/>
          <w:color w:val="auto"/>
        </w:rPr>
      </w:pPr>
    </w:p>
    <w:p>
      <w:pPr>
        <w:jc w:val="both"/>
        <w:ind w:firstLine="656"/>
        <w:spacing w:after="0" w:line="266" w:lineRule="auto"/>
        <w:tabs>
          <w:tab w:leader="none" w:pos="1252" w:val="left"/>
        </w:tabs>
        <w:numPr>
          <w:ilvl w:val="2"/>
          <w:numId w:val="242"/>
        </w:numPr>
        <w:rPr>
          <w:rFonts w:ascii="Times New Roman" w:cs="Times New Roman" w:eastAsia="Times New Roman" w:hAnsi="Times New Roman"/>
          <w:sz w:val="19"/>
          <w:szCs w:val="19"/>
          <w:color w:val="ED0000"/>
        </w:rPr>
      </w:pPr>
      <w:r>
        <w:rPr>
          <w:rFonts w:ascii="Times New Roman" w:cs="Times New Roman" w:eastAsia="Times New Roman" w:hAnsi="Times New Roman"/>
          <w:sz w:val="19"/>
          <w:szCs w:val="19"/>
          <w:u w:val="single" w:color="auto"/>
          <w:color w:val="ED0000"/>
        </w:rPr>
        <w:t>Procedure for Borrowing Swingline Loans</w:t>
      </w:r>
      <w:r>
        <w:rPr>
          <w:rFonts w:ascii="Times New Roman" w:cs="Times New Roman" w:eastAsia="Times New Roman" w:hAnsi="Times New Roman"/>
          <w:sz w:val="19"/>
          <w:szCs w:val="19"/>
          <w:color w:val="ED0000"/>
        </w:rPr>
        <w:t xml:space="preserve">. The Borrower Representative shall give the Administrative Agent and the </w:t>
      </w:r>
      <w:r>
        <w:rPr>
          <w:rFonts w:ascii="Times New Roman" w:cs="Times New Roman" w:eastAsia="Times New Roman" w:hAnsi="Times New Roman"/>
          <w:sz w:val="19"/>
          <w:szCs w:val="19"/>
          <w:color w:val="ED0000"/>
          <w:strike w:val="1"/>
        </w:rPr>
        <w:t>Swingline Lender selected by the Borrower Representative notice pursuant to a Notice of Swingline Borrowing or telephonic notice of each borrowing of a Swingline Loan. Each Notice of Swingline Borrowing shall identify the Borrower to obtain the applicable Swingline Loan and shall be delivered to the Administrative Agent and the applicable Swingline Lender no later than 2:00 p.m. Eastern time on the proposed date of such borrowing. Any telephonic notice shall include all information to be specified in a written Notice of Swingline Borrowing and shall be promptly confirmed in writing by the Borrower Representative pursuant to a Notice of Swingline Borrowing sent the Administrative Agent and to such Swingline Lender by telecopy on the same day of the giving of such telephonic notice. Not later than 4:00 p.m. Eastern time on the date of the requested Swingline Loan and subject to satisfaction of the applicable conditions set forth in Section 5.2. for such borrowing, the applicable Swingline Lender will make the proceeds of such Swingline Loan available to the applicable Borrower in Dollars, in immediately available funds, at the account specified by the Borrower Representative in the Notice of Swingline Borrowing.</w:t>
      </w:r>
    </w:p>
    <w:p>
      <w:pPr>
        <w:spacing w:after="0" w:line="170" w:lineRule="exact"/>
        <w:rPr>
          <w:rFonts w:ascii="Times New Roman" w:cs="Times New Roman" w:eastAsia="Times New Roman" w:hAnsi="Times New Roman"/>
          <w:sz w:val="19"/>
          <w:szCs w:val="19"/>
          <w:color w:val="ED0000"/>
        </w:rPr>
      </w:pPr>
    </w:p>
    <w:p>
      <w:pPr>
        <w:jc w:val="both"/>
        <w:ind w:firstLine="656"/>
        <w:spacing w:after="0" w:line="253" w:lineRule="auto"/>
        <w:tabs>
          <w:tab w:leader="none" w:pos="1106" w:val="left"/>
        </w:tabs>
        <w:numPr>
          <w:ilvl w:val="2"/>
          <w:numId w:val="242"/>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u w:val="single" w:color="auto"/>
          <w:color w:val="ED0000"/>
          <w:strike w:val="1"/>
        </w:rPr>
        <w:t>Interest</w:t>
      </w:r>
      <w:r>
        <w:rPr>
          <w:rFonts w:ascii="Times New Roman" w:cs="Times New Roman" w:eastAsia="Times New Roman" w:hAnsi="Times New Roman"/>
          <w:sz w:val="20"/>
          <w:szCs w:val="20"/>
          <w:color w:val="ED0000"/>
          <w:strike w:val="1"/>
        </w:rPr>
        <w:t>. Swingline Loans shall bear interest at a per annum rate equal to the Base Rate as in effect from time to time plus the</w:t>
      </w:r>
      <w:r>
        <w:rPr>
          <w:rFonts w:ascii="Times New Roman" w:cs="Times New Roman" w:eastAsia="Times New Roman" w:hAnsi="Times New Roman"/>
          <w:sz w:val="20"/>
          <w:szCs w:val="20"/>
          <w:u w:val="single" w:color="auto"/>
          <w:color w:val="ED0000"/>
          <w:strike w:val="1"/>
        </w:rPr>
        <w:t xml:space="preserve"> </w:t>
      </w:r>
      <w:r>
        <w:rPr>
          <w:rFonts w:ascii="Times New Roman" w:cs="Times New Roman" w:eastAsia="Times New Roman" w:hAnsi="Times New Roman"/>
          <w:sz w:val="20"/>
          <w:szCs w:val="20"/>
          <w:color w:val="ED0000"/>
          <w:strike w:val="1"/>
        </w:rPr>
        <w:t>Applicable Margin for Revolving Loans that are Base Rate Loans or at such other rate or rates as the Borrower Representative and the applicable Swingline Lender may agree from time to time in writing. Interest on Swingline Loans is solely for the account of the Swingline Lender that made such Swingline Loans (except to the extent a Revolving Lender acquires a participating interest in a Swingline Loan pursuant to the immediately following subsection (e)). All accrued and unpaid interest on Swingline Loans shall be payable on the dates and in the manner provided in Section 2.6. with respect to interest on Base Rate Loans (except as the applicable Swingline Lender and the Borrower Representative may otherwise agree in writing in connection with any particular Swingline Loan).</w:t>
      </w:r>
    </w:p>
    <w:p>
      <w:pPr>
        <w:spacing w:after="0" w:line="179" w:lineRule="exact"/>
        <w:rPr>
          <w:rFonts w:ascii="Times New Roman" w:cs="Times New Roman" w:eastAsia="Times New Roman" w:hAnsi="Times New Roman"/>
          <w:sz w:val="20"/>
          <w:szCs w:val="20"/>
          <w:color w:val="ED0000"/>
          <w:strike w:val="1"/>
        </w:rPr>
      </w:pPr>
    </w:p>
    <w:p>
      <w:pPr>
        <w:jc w:val="both"/>
        <w:ind w:firstLine="656"/>
        <w:spacing w:after="0" w:line="251" w:lineRule="auto"/>
        <w:tabs>
          <w:tab w:leader="none" w:pos="1130" w:val="left"/>
        </w:tabs>
        <w:numPr>
          <w:ilvl w:val="2"/>
          <w:numId w:val="242"/>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u w:val="single" w:color="auto"/>
          <w:color w:val="ED0000"/>
          <w:strike w:val="1"/>
        </w:rPr>
        <w:t xml:space="preserve">Swingline Loan Amounts, Etc. </w:t>
      </w:r>
      <w:r>
        <w:rPr>
          <w:rFonts w:ascii="Times New Roman" w:cs="Times New Roman" w:eastAsia="Times New Roman" w:hAnsi="Times New Roman"/>
          <w:sz w:val="20"/>
          <w:szCs w:val="20"/>
          <w:color w:val="ED0000"/>
          <w:strike w:val="1"/>
        </w:rPr>
        <w:t>Each Swingline Loan shall be in the minimum amount of $100,000 and integral multiples of</w:t>
      </w:r>
      <w:r>
        <w:rPr>
          <w:rFonts w:ascii="Times New Roman" w:cs="Times New Roman" w:eastAsia="Times New Roman" w:hAnsi="Times New Roman"/>
          <w:sz w:val="20"/>
          <w:szCs w:val="20"/>
          <w:u w:val="single" w:color="auto"/>
          <w:color w:val="ED0000"/>
          <w:strike w:val="1"/>
        </w:rPr>
        <w:t xml:space="preserve"> </w:t>
      </w:r>
      <w:r>
        <w:rPr>
          <w:rFonts w:ascii="Times New Roman" w:cs="Times New Roman" w:eastAsia="Times New Roman" w:hAnsi="Times New Roman"/>
          <w:sz w:val="20"/>
          <w:szCs w:val="20"/>
          <w:color w:val="ED0000"/>
          <w:strike w:val="1"/>
        </w:rPr>
        <w:t xml:space="preserve">$100,000 in excess thereof, or such other minimum amounts agreed to by a Swingline Lender and the Borrower Representative. Any voluntary prepayment of a Swingline Loan must be in integral multiples of $100,000 or the aggregate principal amount of all outstanding Swingline Loans (or such other minimum amounts upon which the Swingline Lender that made such Swingline Loan and the Borrower Representative may agree) and </w:t>
      </w:r>
      <w:r>
        <w:rPr>
          <w:rFonts w:ascii="Times New Roman" w:cs="Times New Roman" w:eastAsia="Times New Roman" w:hAnsi="Times New Roman"/>
          <w:sz w:val="20"/>
          <w:szCs w:val="20"/>
          <w:color w:val="00B050"/>
          <w:strike w:val="1"/>
        </w:rPr>
        <w:t>in connection with any</w:t>
      </w:r>
      <w:r>
        <w:rPr>
          <w:rFonts w:ascii="Times New Roman" w:cs="Times New Roman" w:eastAsia="Times New Roman" w:hAnsi="Times New Roman"/>
          <w:sz w:val="20"/>
          <w:szCs w:val="20"/>
          <w:color w:val="ED0000"/>
          <w:strike w:val="1"/>
        </w:rPr>
        <w:t xml:space="preserve"> such prepayment, the Borrower Representative must give such Swingline Lender and the Administrative Agent prior notice thereof (which may be by telephone (promptly followed by a written notice), telecopy or electronic mail) no later than 1:00 p.m. Eastern time on the day of such prepayment. The Swingline Loans shall, in addition to this Agreement, be evidenced by the Swingline Notes.</w:t>
      </w:r>
    </w:p>
    <w:p>
      <w:pPr>
        <w:spacing w:after="0" w:line="195" w:lineRule="exact"/>
        <w:rPr>
          <w:rFonts w:ascii="Times New Roman" w:cs="Times New Roman" w:eastAsia="Times New Roman" w:hAnsi="Times New Roman"/>
          <w:sz w:val="20"/>
          <w:szCs w:val="20"/>
          <w:color w:val="ED0000"/>
          <w:strike w:val="1"/>
        </w:rPr>
      </w:pPr>
    </w:p>
    <w:p>
      <w:pPr>
        <w:jc w:val="both"/>
        <w:ind w:firstLine="8"/>
        <w:spacing w:after="0" w:line="253" w:lineRule="auto"/>
        <w:tabs>
          <w:tab w:leader="none" w:pos="417" w:val="left"/>
        </w:tabs>
        <w:numPr>
          <w:ilvl w:val="0"/>
          <w:numId w:val="243"/>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u w:val="single" w:color="auto"/>
          <w:color w:val="ED0000"/>
          <w:strike w:val="1"/>
        </w:rPr>
        <w:t>Repayment and Participations of Swingline Loans</w:t>
      </w:r>
      <w:r>
        <w:rPr>
          <w:rFonts w:ascii="Times New Roman" w:cs="Times New Roman" w:eastAsia="Times New Roman" w:hAnsi="Times New Roman"/>
          <w:sz w:val="20"/>
          <w:szCs w:val="20"/>
          <w:color w:val="ED0000"/>
          <w:strike w:val="1"/>
        </w:rPr>
        <w:t>. Each Borrower jointly and severally agrees to repay each Swingline Loan within one</w:t>
      </w:r>
      <w:r>
        <w:rPr>
          <w:rFonts w:ascii="Times New Roman" w:cs="Times New Roman" w:eastAsia="Times New Roman" w:hAnsi="Times New Roman"/>
          <w:sz w:val="20"/>
          <w:szCs w:val="20"/>
          <w:u w:val="single" w:color="auto"/>
          <w:color w:val="ED0000"/>
          <w:strike w:val="1"/>
        </w:rPr>
        <w:t xml:space="preserve"> </w:t>
      </w:r>
      <w:r>
        <w:rPr>
          <w:rFonts w:ascii="Times New Roman" w:cs="Times New Roman" w:eastAsia="Times New Roman" w:hAnsi="Times New Roman"/>
          <w:sz w:val="20"/>
          <w:szCs w:val="20"/>
          <w:color w:val="ED0000"/>
          <w:strike w:val="1"/>
        </w:rPr>
        <w:t>Business Day of demand therefor by the Swingline Lender that made such Swingline Loan and, in any event, within five (5) Business Days after the date such Swingline Loan was made; provided that the proceeds of a Swingline Loan may not be used to pay a Swingline Loan. Notwithstanding the foregoing, each Borrower agrees to repay the entire outstanding principal amount of, and all accrued but unpaid interest on, the Swingline Loans on the Swingline Maturity Date (or such earlier date as the Swingline Lender that made such Swingline Loan and the Borrower Representative may agree in writing). In lieu of demanding repayment of any outstanding Swingline Loan from the Borrowers, the Swingline Lender that made such Swingline Loan may, on</w:t>
      </w:r>
    </w:p>
    <w:p>
      <w:pPr>
        <w:spacing w:after="0" w:line="200" w:lineRule="exact"/>
        <w:rPr>
          <w:rFonts w:ascii="Times New Roman" w:cs="Times New Roman" w:eastAsia="Times New Roman" w:hAnsi="Times New Roman"/>
          <w:sz w:val="20"/>
          <w:szCs w:val="20"/>
          <w:color w:val="ED0000"/>
          <w:strike w:val="1"/>
        </w:rPr>
      </w:pPr>
    </w:p>
    <w:p>
      <w:pPr>
        <w:spacing w:after="0" w:line="200" w:lineRule="exact"/>
        <w:rPr>
          <w:rFonts w:ascii="Times New Roman" w:cs="Times New Roman" w:eastAsia="Times New Roman" w:hAnsi="Times New Roman"/>
          <w:sz w:val="20"/>
          <w:szCs w:val="20"/>
          <w:color w:val="ED0000"/>
          <w:strike w:val="1"/>
        </w:rPr>
      </w:pPr>
    </w:p>
    <w:p>
      <w:pPr>
        <w:spacing w:after="0" w:line="200" w:lineRule="exact"/>
        <w:rPr>
          <w:rFonts w:ascii="Times New Roman" w:cs="Times New Roman" w:eastAsia="Times New Roman" w:hAnsi="Times New Roman"/>
          <w:sz w:val="20"/>
          <w:szCs w:val="20"/>
          <w:color w:val="ED0000"/>
          <w:strike w:val="1"/>
        </w:rPr>
      </w:pPr>
    </w:p>
    <w:p>
      <w:pPr>
        <w:spacing w:after="0" w:line="200" w:lineRule="exact"/>
        <w:rPr>
          <w:rFonts w:ascii="Times New Roman" w:cs="Times New Roman" w:eastAsia="Times New Roman" w:hAnsi="Times New Roman"/>
          <w:sz w:val="20"/>
          <w:szCs w:val="20"/>
          <w:color w:val="ED0000"/>
          <w:strike w:val="1"/>
        </w:rPr>
      </w:pPr>
    </w:p>
    <w:p>
      <w:pPr>
        <w:spacing w:after="0" w:line="200" w:lineRule="exact"/>
        <w:rPr>
          <w:rFonts w:ascii="Times New Roman" w:cs="Times New Roman" w:eastAsia="Times New Roman" w:hAnsi="Times New Roman"/>
          <w:sz w:val="20"/>
          <w:szCs w:val="20"/>
          <w:color w:val="ED0000"/>
          <w:strike w:val="1"/>
        </w:rPr>
      </w:pPr>
    </w:p>
    <w:p>
      <w:pPr>
        <w:spacing w:after="0" w:line="245" w:lineRule="exact"/>
        <w:rPr>
          <w:rFonts w:ascii="Times New Roman" w:cs="Times New Roman" w:eastAsia="Times New Roman" w:hAnsi="Times New Roman"/>
          <w:sz w:val="20"/>
          <w:szCs w:val="20"/>
          <w:color w:val="ED0000"/>
          <w:strike w:val="1"/>
        </w:rPr>
      </w:pPr>
    </w:p>
    <w:p>
      <w:pPr>
        <w:ind w:left="320" w:hanging="114"/>
        <w:spacing w:after="0"/>
        <w:tabs>
          <w:tab w:leader="none" w:pos="32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-6114415</wp:posOffset>
            </wp:positionV>
            <wp:extent cx="67176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717665" cy="889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-2668270</wp:posOffset>
            </wp:positionV>
            <wp:extent cx="43707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437070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ED0000"/>
          <w:strike w:val="1"/>
        </w:rPr>
        <w:t xml:space="preserve">behalf of the Borrowers (which hereby irrevocably direct each applicable Swingline Lender to act on their behalf), </w:t>
      </w:r>
      <w:r>
        <w:rPr>
          <w:rFonts w:ascii="Times New Roman" w:cs="Times New Roman" w:eastAsia="Times New Roman" w:hAnsi="Times New Roman"/>
          <w:sz w:val="19"/>
          <w:szCs w:val="19"/>
          <w:color w:val="00B050"/>
          <w:strike w:val="1"/>
        </w:rPr>
        <w:t>request a borrowing of</w:t>
      </w:r>
      <w:r>
        <w:rPr>
          <w:rFonts w:ascii="Times New Roman" w:cs="Times New Roman" w:eastAsia="Times New Roman" w:hAnsi="Times New Roman"/>
          <w:sz w:val="19"/>
          <w:szCs w:val="19"/>
          <w:color w:val="ED0000"/>
          <w:strike w:val="1"/>
        </w:rPr>
        <w:t xml:space="preserve"> </w:t>
      </w:r>
      <w:r>
        <w:rPr>
          <w:rFonts w:ascii="Times New Roman" w:cs="Times New Roman" w:eastAsia="Times New Roman" w:hAnsi="Times New Roman"/>
          <w:sz w:val="19"/>
          <w:szCs w:val="19"/>
          <w:color w:val="00B050"/>
          <w:strike w:val="1"/>
        </w:rPr>
        <w:t xml:space="preserve">Revolving Loans that are </w:t>
      </w:r>
      <w:r>
        <w:rPr>
          <w:rFonts w:ascii="Times New Roman" w:cs="Times New Roman" w:eastAsia="Times New Roman" w:hAnsi="Times New Roman"/>
          <w:sz w:val="19"/>
          <w:szCs w:val="19"/>
          <w:color w:val="ED0000"/>
          <w:strike w:val="1"/>
        </w:rPr>
        <w:t>Base Rate Loans from the Revolving Lenders in an amount equal to the principal balance of such Swingline Loan.</w:t>
      </w:r>
      <w:r>
        <w:rPr>
          <w:rFonts w:ascii="Times New Roman" w:cs="Times New Roman" w:eastAsia="Times New Roman" w:hAnsi="Times New Roman"/>
          <w:sz w:val="19"/>
          <w:szCs w:val="19"/>
          <w:color w:val="00B050"/>
          <w:strike w:val="1"/>
        </w:rPr>
        <w:t xml:space="preserve"> </w:t>
      </w:r>
      <w:r>
        <w:rPr>
          <w:rFonts w:ascii="Times New Roman" w:cs="Times New Roman" w:eastAsia="Times New Roman" w:hAnsi="Times New Roman"/>
          <w:sz w:val="19"/>
          <w:szCs w:val="19"/>
          <w:color w:val="ED0000"/>
          <w:strike w:val="1"/>
        </w:rPr>
        <w:t xml:space="preserve">The amount limitations contained in the second sentence of Section 2.1.(a) shall not apply to any borrowing of such Revolving Loans made pursuant to this subsection. Such Swingline Lender shall give notice to the Administrative Agent of any such borrowing of Revolving Loans not later than 12:00 noon Eastern time at least one Business Day prior to the proposed date of such borrowing. Promptly after receipt of such notice of borrowing of Revolving Loans from a Swingline Lender under the immediately preceding sentence, the Administrative Agent shall notify each Revolving Lender of the proposed borrowing. Not later than 12:00 noon Eastern time on the proposed date of such borrowing, each Revolving Lender will make available to the Administrative Agent at the Principal Office for the account of the applicable Swingline Lender, in immediately available funds, the proceeds of the Revolving Loan to be made by such Lender. The Administrative Agent shall pay the proceeds of such Revolving Loans to the applicable Swingline Lender, which shall apply such proceeds to repay such Swingline Loan. If the Revolving Lenders are prohibited from making Revolving Loans required to be made under this subsection for any reason whatsoever, including without limitation, the occurrence of any of the Defaults or Events of Default described in Sections 10.1.(e) or (f), each Revolving Lender shall purchase from the applicable Swingline Lender, without recourse or warranty, an undivided interest and participation to the extent of such Lender’s Revolving Commitment Percentage of such Swingline Loan, by directly purchasing a participation in such Swingline Loan in such amount and paying the proceeds thereof to the Administrative Agent for the account of the applicable Swingline Lender in Dollars and in immediately available funds. A Revolving Lender’s obligation to purchase such a participation in a Swingline Loan shall be absolute and unconditional and shall not be affected by any circumstance whatsoever, including without limitation, (i) any claim of setoff, counterclaim, recoupment, defense or other right which such Lender or any other Person may have or claim against the Administrative Agent, any Swingline Lender or any other Person whatsoever, (ii) the occurrence or continuation of a </w:t>
      </w:r>
      <w:r>
        <w:rPr>
          <w:rFonts w:ascii="Times New Roman" w:cs="Times New Roman" w:eastAsia="Times New Roman" w:hAnsi="Times New Roman"/>
          <w:sz w:val="19"/>
          <w:szCs w:val="19"/>
          <w:color w:val="00B050"/>
          <w:strike w:val="1"/>
        </w:rPr>
        <w:t>Default or Event of Default</w:t>
      </w:r>
      <w:r>
        <w:rPr>
          <w:rFonts w:ascii="Times New Roman" w:cs="Times New Roman" w:eastAsia="Times New Roman" w:hAnsi="Times New Roman"/>
          <w:sz w:val="19"/>
          <w:szCs w:val="19"/>
          <w:color w:val="ED0000"/>
          <w:strike w:val="1"/>
        </w:rPr>
        <w:t xml:space="preserve"> (including without limitation, any of the Defaults or Events of Default described in Sections 10.1. (e) or (f)), or the termination of any Revolving Lender’s Revolving Commitment, (iii) the existence (or alleged existence) of an event or condition which has had or could have a Material Adverse Effect, (iv) any breach of any Loan Document by the Administrative Agent, any Lender or any Borrower or any other Loan Party, or</w:t>
      </w:r>
    </w:p>
    <w:p>
      <w:pPr>
        <w:spacing w:after="0" w:line="13" w:lineRule="exact"/>
        <w:rPr>
          <w:sz w:val="20"/>
          <w:szCs w:val="20"/>
          <w:color w:val="auto"/>
        </w:rPr>
      </w:pPr>
    </w:p>
    <w:p>
      <w:pPr>
        <w:jc w:val="both"/>
        <w:ind w:firstLine="8"/>
        <w:spacing w:after="0" w:line="248" w:lineRule="auto"/>
        <w:tabs>
          <w:tab w:leader="none" w:pos="282" w:val="left"/>
        </w:tabs>
        <w:numPr>
          <w:ilvl w:val="0"/>
          <w:numId w:val="244"/>
        </w:numPr>
        <w:rPr>
          <w:rFonts w:ascii="Times New Roman" w:cs="Times New Roman" w:eastAsia="Times New Roman" w:hAnsi="Times New Roman"/>
          <w:sz w:val="20"/>
          <w:szCs w:val="20"/>
          <w:color w:val="ED0000"/>
          <w:strike w:val="1"/>
        </w:rPr>
      </w:pPr>
      <w:r>
        <w:rPr>
          <w:rFonts w:ascii="Times New Roman" w:cs="Times New Roman" w:eastAsia="Times New Roman" w:hAnsi="Times New Roman"/>
          <w:sz w:val="20"/>
          <w:szCs w:val="20"/>
          <w:color w:val="ED0000"/>
          <w:strike w:val="1"/>
        </w:rPr>
        <w:t>any other circumstance, happening or event whatsoever, whether or not similar to any of the foregoing. If such amount is not in fact made available to the applicable Swingline Lender by any Revolving Lender, such Swingline Lender shall be entitled to recover such amount on demand from such Lender, together with accrued interest thereon for each day from the date of demand thereof, at the Overnight Rate. If such Lender does not pay such amount forthwith upon the applicable Swingline Lender’s demand therefor, and until such time as such Lender makes the required payment, such Swingline Lender shall be deemed to continue to have outstanding Swingline Loans in the amount of such unpaid participation obligation for all purposes of the Loan Documents (other than those provisions requiring the other Lenders to purchase a participation therein). Further, such Lender shall be deemed to have assigned any and all payments made of principal and interest on its Revolving Loans, and any other amounts due it hereunder, to the applicable Swingline Lender to fund Swingline Loans in the amount of the participation in Swingline Loans that such Lender failed to purchase pursuant to this Section until such amount has been purchased (as a result of such assignment or otherwise).</w:t>
      </w:r>
    </w:p>
    <w:p>
      <w:pPr>
        <w:spacing w:after="0" w:line="19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2.6.</w:t>
      </w:r>
      <w:r>
        <w:rPr>
          <w:sz w:val="20"/>
          <w:szCs w:val="20"/>
          <w:color w:val="auto"/>
        </w:rPr>
        <w:tab/>
      </w:r>
      <w:r>
        <w:rPr>
          <w:rFonts w:ascii="Times New Roman" w:cs="Times New Roman" w:eastAsia="Times New Roman" w:hAnsi="Times New Roman"/>
          <w:sz w:val="19"/>
          <w:szCs w:val="19"/>
          <w:b w:val="1"/>
          <w:bCs w:val="1"/>
          <w:color w:val="auto"/>
        </w:rPr>
        <w:t>Rates and Payment of Interest on Loans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56"/>
        <w:spacing w:after="0" w:line="269" w:lineRule="auto"/>
        <w:tabs>
          <w:tab w:leader="none" w:pos="1079"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Each Borrower jointly and severally promises to pay to the Administrative Agent for the account of each Lender interest on the unpaid principal amount of each Loan made by such Lender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62 -</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8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to any Borrower for the period from and including the date of the making of such Loan to but excluding the date such Loan shall be paid in full, at the following per annum rates:</w:t>
      </w:r>
    </w:p>
    <w:p>
      <w:pPr>
        <w:spacing w:after="0" w:line="146" w:lineRule="exact"/>
        <w:rPr>
          <w:sz w:val="20"/>
          <w:szCs w:val="20"/>
          <w:color w:val="auto"/>
        </w:rPr>
      </w:pPr>
    </w:p>
    <w:p>
      <w:pPr>
        <w:ind w:left="660" w:firstLine="644"/>
        <w:spacing w:after="0" w:line="283" w:lineRule="auto"/>
        <w:tabs>
          <w:tab w:leader="none" w:pos="1797"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such periods as such Loan is a Base Rate Loan, at the Base Rate (as in effect from time to time), plus the Applicable Margin for Base Rate Loans of the applicable Class;</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759" w:val="left"/>
        </w:tabs>
        <w:numPr>
          <w:ilvl w:val="0"/>
          <w:numId w:val="246"/>
        </w:numPr>
        <w:rPr>
          <w:rFonts w:ascii="Times New Roman" w:cs="Times New Roman" w:eastAsia="Times New Roman" w:hAnsi="Times New Roman"/>
          <w:sz w:val="20"/>
          <w:szCs w:val="20"/>
          <w:u w:val="single" w:color="auto"/>
          <w:color w:val="007BB8"/>
        </w:rPr>
      </w:pPr>
      <w:r>
        <w:rPr>
          <w:rFonts w:ascii="Times New Roman" w:cs="Times New Roman" w:eastAsia="Times New Roman" w:hAnsi="Times New Roman"/>
          <w:sz w:val="20"/>
          <w:szCs w:val="20"/>
          <w:u w:val="single" w:color="auto"/>
          <w:color w:val="007BB8"/>
        </w:rPr>
        <w:t>during such periods as a Revolving Loan is a Daily Simple SOFR Loan, at Daily Simple SOFR for such Loan, plus the relevant Applicable Margin for SOFR Loans of the applicable Class;</w:t>
      </w:r>
    </w:p>
    <w:p>
      <w:pPr>
        <w:spacing w:after="0" w:line="159" w:lineRule="exact"/>
        <w:rPr>
          <w:rFonts w:ascii="Times New Roman" w:cs="Times New Roman" w:eastAsia="Times New Roman" w:hAnsi="Times New Roman"/>
          <w:sz w:val="20"/>
          <w:szCs w:val="20"/>
          <w:u w:val="single" w:color="auto"/>
          <w:color w:val="007BB8"/>
        </w:rPr>
      </w:pPr>
    </w:p>
    <w:p>
      <w:pPr>
        <w:ind w:left="660" w:firstLine="644"/>
        <w:spacing w:after="0" w:line="269" w:lineRule="auto"/>
        <w:tabs>
          <w:tab w:leader="none" w:pos="1840" w:val="left"/>
        </w:tabs>
        <w:numPr>
          <w:ilvl w:val="0"/>
          <w:numId w:val="246"/>
        </w:numPr>
        <w:rPr>
          <w:rFonts w:ascii="Times New Roman" w:cs="Times New Roman" w:eastAsia="Times New Roman" w:hAnsi="Times New Roman"/>
          <w:sz w:val="20"/>
          <w:szCs w:val="20"/>
          <w:u w:val="single" w:color="auto"/>
          <w:color w:val="007BB8"/>
        </w:rPr>
      </w:pPr>
      <w:r>
        <w:rPr>
          <w:rFonts w:ascii="Times New Roman" w:cs="Times New Roman" w:eastAsia="Times New Roman" w:hAnsi="Times New Roman"/>
          <w:sz w:val="20"/>
          <w:szCs w:val="20"/>
          <w:u w:val="single" w:color="auto"/>
          <w:color w:val="007BB8"/>
        </w:rPr>
        <w:t>during such periods as a Term A Loan is a Term SOFR Loan, at Adjusted Term SOFR for such Loan for the Interest Period therefor, plus the relevant Applicable Margin for SOFR Loans of the applicable Class;</w:t>
      </w:r>
    </w:p>
    <w:p>
      <w:pPr>
        <w:spacing w:after="0" w:line="173"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ED0000"/>
          <w:strike w:val="1"/>
        </w:rPr>
        <w:t>ii</w:t>
      </w:r>
      <w:r>
        <w:rPr>
          <w:rFonts w:ascii="Times New Roman" w:cs="Times New Roman" w:eastAsia="Times New Roman" w:hAnsi="Times New Roman"/>
          <w:sz w:val="20"/>
          <w:szCs w:val="20"/>
          <w:u w:val="single" w:color="auto"/>
          <w:color w:val="007BB8"/>
        </w:rPr>
        <w:t>iv</w:t>
      </w:r>
      <w:r>
        <w:rPr>
          <w:rFonts w:ascii="Times New Roman" w:cs="Times New Roman" w:eastAsia="Times New Roman" w:hAnsi="Times New Roman"/>
          <w:sz w:val="20"/>
          <w:szCs w:val="20"/>
          <w:color w:val="auto"/>
        </w:rPr>
        <w:t xml:space="preserve">) during such periods as </w:t>
      </w:r>
      <w:r>
        <w:rPr>
          <w:rFonts w:ascii="Times New Roman" w:cs="Times New Roman" w:eastAsia="Times New Roman" w:hAnsi="Times New Roman"/>
          <w:sz w:val="20"/>
          <w:szCs w:val="20"/>
          <w:color w:val="ED0000"/>
          <w:strike w:val="1"/>
        </w:rPr>
        <w:t>such</w:t>
      </w:r>
      <w:r>
        <w:rPr>
          <w:rFonts w:ascii="Times New Roman" w:cs="Times New Roman" w:eastAsia="Times New Roman" w:hAnsi="Times New Roman"/>
          <w:sz w:val="20"/>
          <w:szCs w:val="20"/>
          <w:u w:val="single" w:color="auto"/>
          <w:color w:val="007BB8"/>
        </w:rPr>
        <w:t>a Revolving</w:t>
      </w:r>
      <w:r>
        <w:rPr>
          <w:rFonts w:ascii="Times New Roman" w:cs="Times New Roman" w:eastAsia="Times New Roman" w:hAnsi="Times New Roman"/>
          <w:sz w:val="20"/>
          <w:szCs w:val="20"/>
          <w:color w:val="auto"/>
        </w:rPr>
        <w:t xml:space="preserve"> Loan is a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at </w:t>
      </w:r>
      <w:r>
        <w:rPr>
          <w:rFonts w:ascii="Times New Roman" w:cs="Times New Roman" w:eastAsia="Times New Roman" w:hAnsi="Times New Roman"/>
          <w:sz w:val="20"/>
          <w:szCs w:val="20"/>
          <w:color w:val="ED0000"/>
          <w:strike w:val="1"/>
        </w:rPr>
        <w:t>Adjusted</w:t>
      </w:r>
      <w:r>
        <w:rPr>
          <w:rFonts w:ascii="Times New Roman" w:cs="Times New Roman" w:eastAsia="Times New Roman" w:hAnsi="Times New Roman"/>
          <w:sz w:val="20"/>
          <w:szCs w:val="20"/>
          <w:color w:val="auto"/>
        </w:rPr>
        <w:t xml:space="preserve"> Term SOFR for such Loan for the Interest Period therefor, plus the relevant Applicable Margin for SOFR Loans of the applicable Class;</w:t>
      </w:r>
    </w:p>
    <w:p>
      <w:pPr>
        <w:spacing w:after="0" w:line="173" w:lineRule="exact"/>
        <w:rPr>
          <w:sz w:val="20"/>
          <w:szCs w:val="20"/>
          <w:color w:val="auto"/>
        </w:rPr>
      </w:pPr>
    </w:p>
    <w:p>
      <w:pPr>
        <w:ind w:left="6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ED0000"/>
          <w:strike w:val="1"/>
        </w:rPr>
        <w:t>iii</w:t>
      </w:r>
      <w:r>
        <w:rPr>
          <w:rFonts w:ascii="Times New Roman" w:cs="Times New Roman" w:eastAsia="Times New Roman" w:hAnsi="Times New Roman"/>
          <w:sz w:val="20"/>
          <w:szCs w:val="20"/>
          <w:u w:val="single" w:color="auto"/>
          <w:color w:val="007BB8"/>
        </w:rPr>
        <w:t>v</w:t>
      </w:r>
      <w:r>
        <w:rPr>
          <w:rFonts w:ascii="Times New Roman" w:cs="Times New Roman" w:eastAsia="Times New Roman" w:hAnsi="Times New Roman"/>
          <w:sz w:val="20"/>
          <w:szCs w:val="20"/>
          <w:color w:val="auto"/>
        </w:rPr>
        <w:t>) if such Loan is an Absolute Rate Loan, at the Absolute Rate for such Loan for the Interest Period therefor quoted by the Lender making such Loan in accordance with Section 2.3.; and</w:t>
      </w:r>
    </w:p>
    <w:p>
      <w:pPr>
        <w:spacing w:after="0" w:line="146" w:lineRule="exact"/>
        <w:rPr>
          <w:sz w:val="20"/>
          <w:szCs w:val="20"/>
          <w:color w:val="auto"/>
        </w:rPr>
      </w:pPr>
    </w:p>
    <w:p>
      <w:pPr>
        <w:ind w:left="6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ED0000"/>
          <w:strike w:val="1"/>
        </w:rPr>
        <w:t>iv</w:t>
      </w:r>
      <w:r>
        <w:rPr>
          <w:rFonts w:ascii="Times New Roman" w:cs="Times New Roman" w:eastAsia="Times New Roman" w:hAnsi="Times New Roman"/>
          <w:sz w:val="20"/>
          <w:szCs w:val="20"/>
          <w:u w:val="single" w:color="auto"/>
          <w:color w:val="007BB8"/>
        </w:rPr>
        <w:t>vi</w:t>
      </w:r>
      <w:r>
        <w:rPr>
          <w:rFonts w:ascii="Times New Roman" w:cs="Times New Roman" w:eastAsia="Times New Roman" w:hAnsi="Times New Roman"/>
          <w:sz w:val="20"/>
          <w:szCs w:val="20"/>
          <w:color w:val="auto"/>
        </w:rPr>
        <w:t xml:space="preserve">) if such Loan is a SOFR Margin Loan, at </w:t>
      </w:r>
      <w:r>
        <w:rPr>
          <w:rFonts w:ascii="Times New Roman" w:cs="Times New Roman" w:eastAsia="Times New Roman" w:hAnsi="Times New Roman"/>
          <w:sz w:val="20"/>
          <w:szCs w:val="20"/>
          <w:color w:val="ED0000"/>
          <w:strike w:val="1"/>
        </w:rPr>
        <w:t>Adjusted</w:t>
      </w:r>
      <w:r>
        <w:rPr>
          <w:rFonts w:ascii="Times New Roman" w:cs="Times New Roman" w:eastAsia="Times New Roman" w:hAnsi="Times New Roman"/>
          <w:sz w:val="20"/>
          <w:szCs w:val="20"/>
          <w:color w:val="auto"/>
        </w:rPr>
        <w:t xml:space="preserve"> Term SOFR for such Loan for the Interest Period therefor plus the SOFR Margin quoted by the Lender making such Loan in accordance with Section 2.3.</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Notwithstanding the foregoing, while an Event of Default exists, each Borrower jointly and severally agrees to pay to the Administrative Agent for the account of each Lender and each Issuing Bank, as the case may be, interest at the Post-Default Rate on the outstanding principal amount of any Loan made by such Lender, on all Reimbursement Obligations and on any other amount payable by any Borrower hereunder or under the Notes held by such Lender to or for the account of such Lender (including without limitation, accrued but unpaid interest to the extent permitted under Applicable Law).</w:t>
      </w:r>
    </w:p>
    <w:p>
      <w:pPr>
        <w:spacing w:after="0" w:line="173" w:lineRule="exact"/>
        <w:rPr>
          <w:sz w:val="20"/>
          <w:szCs w:val="20"/>
          <w:color w:val="auto"/>
        </w:rPr>
      </w:pPr>
    </w:p>
    <w:p>
      <w:pPr>
        <w:jc w:val="both"/>
        <w:ind w:firstLine="656"/>
        <w:spacing w:after="0" w:line="257" w:lineRule="auto"/>
        <w:tabs>
          <w:tab w:leader="none" w:pos="1157"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Interest</w:t>
      </w:r>
      <w:r>
        <w:rPr>
          <w:rFonts w:ascii="Times New Roman" w:cs="Times New Roman" w:eastAsia="Times New Roman" w:hAnsi="Times New Roman"/>
          <w:sz w:val="20"/>
          <w:szCs w:val="20"/>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All determinations by the Administrative Agent of an interest rate hereunder shall be conclusive and binding on the Lenders and the Borrowers for all purposes, absent manifest error.</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092"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SOFR Conforming Changes</w:t>
      </w:r>
      <w:r>
        <w:rPr>
          <w:rFonts w:ascii="Times New Roman" w:cs="Times New Roman" w:eastAsia="Times New Roman" w:hAnsi="Times New Roman"/>
          <w:sz w:val="20"/>
          <w:szCs w:val="20"/>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Representative and the Lenders of the effectiveness of any Conforming Changes in connection with the use or administration of Term SOFR.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9"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63 -</w:t>
      </w:r>
    </w:p>
    <w:p>
      <w:pPr>
        <w:sectPr>
          <w:pgSz w:w="11900" w:h="16838" w:orient="portrait"/>
          <w:cols w:equalWidth="0" w:num="1">
            <w:col w:w="11240"/>
          </w:cols>
          <w:pgMar w:left="320" w:top="1440" w:right="339" w:bottom="1440" w:gutter="0" w:footer="0" w:header="0"/>
        </w:sectPr>
      </w:pPr>
    </w:p>
    <w:bookmarkStart w:id="400" w:name="page401"/>
    <w:bookmarkEnd w:id="400"/>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2.7.</w:t>
      </w:r>
      <w:r>
        <w:rPr>
          <w:sz w:val="20"/>
          <w:szCs w:val="20"/>
          <w:color w:val="auto"/>
        </w:rPr>
        <w:tab/>
      </w:r>
      <w:r>
        <w:rPr>
          <w:rFonts w:ascii="Times New Roman" w:cs="Times New Roman" w:eastAsia="Times New Roman" w:hAnsi="Times New Roman"/>
          <w:sz w:val="19"/>
          <w:szCs w:val="19"/>
          <w:b w:val="1"/>
          <w:bCs w:val="1"/>
          <w:color w:val="auto"/>
        </w:rPr>
        <w:t>Number of Interest Periods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There may be no more than 10 different Interest Periods for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Loans and Bid Rate Loans, collectively outstanding at the same time.</w:t>
      </w:r>
    </w:p>
    <w:p>
      <w:pPr>
        <w:spacing w:after="0" w:line="1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2.8.</w:t>
      </w:r>
      <w:r>
        <w:rPr>
          <w:sz w:val="20"/>
          <w:szCs w:val="20"/>
          <w:color w:val="auto"/>
        </w:rPr>
        <w:tab/>
      </w:r>
      <w:r>
        <w:rPr>
          <w:rFonts w:ascii="Times New Roman" w:cs="Times New Roman" w:eastAsia="Times New Roman" w:hAnsi="Times New Roman"/>
          <w:sz w:val="19"/>
          <w:szCs w:val="19"/>
          <w:b w:val="1"/>
          <w:bCs w:val="1"/>
          <w:color w:val="auto"/>
        </w:rPr>
        <w:t>Repayment of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56"/>
        <w:spacing w:after="0" w:line="283" w:lineRule="auto"/>
        <w:tabs>
          <w:tab w:leader="none" w:pos="1173"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Each Borrower jointly and severally agrees to repay the entire outstanding principal amount of, and all accrued but unpaid interest on, the Revolving Loans on the Revolving Termination Date.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171"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A Loans</w:t>
      </w:r>
      <w:r>
        <w:rPr>
          <w:rFonts w:ascii="Times New Roman" w:cs="Times New Roman" w:eastAsia="Times New Roman" w:hAnsi="Times New Roman"/>
          <w:sz w:val="20"/>
          <w:szCs w:val="20"/>
          <w:color w:val="auto"/>
        </w:rPr>
        <w:t>. Each Borrower jointly and severally agrees to repay the entire outstanding principal amount of, and all accrued but unpaid interest on, the Term A Loans on the Term A Loan Maturity Date.</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06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B Loans</w:t>
      </w:r>
      <w:r>
        <w:rPr>
          <w:rFonts w:ascii="Times New Roman" w:cs="Times New Roman" w:eastAsia="Times New Roman" w:hAnsi="Times New Roman"/>
          <w:sz w:val="20"/>
          <w:szCs w:val="20"/>
          <w:color w:val="auto"/>
        </w:rPr>
        <w:t>. Each Borrower jointly and severally agrees to repay the entire outstanding principal amount of, and all accrued but unpaid interest on, the Term B Loans on the Term B Loan Maturity Date.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7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Bid Rate Loans</w:t>
      </w:r>
      <w:r>
        <w:rPr>
          <w:rFonts w:ascii="Times New Roman" w:cs="Times New Roman" w:eastAsia="Times New Roman" w:hAnsi="Times New Roman"/>
          <w:sz w:val="20"/>
          <w:szCs w:val="20"/>
          <w:color w:val="auto"/>
        </w:rPr>
        <w:t>. Each Borrower jointly and severally agrees to repay the entire outstanding principal amount of, and all accrued interest on, each Bid Rate Loan on the last day of the Interest Period of such Bid Rate Loan.</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2.9.</w:t>
      </w:r>
      <w:r>
        <w:rPr>
          <w:sz w:val="20"/>
          <w:szCs w:val="20"/>
          <w:color w:val="auto"/>
        </w:rPr>
        <w:tab/>
      </w:r>
      <w:r>
        <w:rPr>
          <w:rFonts w:ascii="Times New Roman" w:cs="Times New Roman" w:eastAsia="Times New Roman" w:hAnsi="Times New Roman"/>
          <w:sz w:val="19"/>
          <w:szCs w:val="19"/>
          <w:b w:val="1"/>
          <w:bCs w:val="1"/>
          <w:color w:val="auto"/>
        </w:rPr>
        <w:t>Prepayments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67" w:lineRule="auto"/>
        <w:tabs>
          <w:tab w:leader="none" w:pos="1065" w:val="left"/>
        </w:tabs>
        <w:numPr>
          <w:ilvl w:val="2"/>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Subject to Section 4.4., any Borrower may prepay any Revolving Loan or Term Loan at any time without premium or penalty. Except as required to comply with the provisions of Section 2.9.(b)(ii), a Bid Rate Loan may only be prepaid with the prior written consent of the Revolving Lender holding such Bid Rate Loan. The Borrower Representative shall give the Administrative Agent at least two</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301"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(or, in the case of SOFR Loans, U.S. Government Securities Business Days) prior notice (which may be by telephone (promptly followed by a written notice), telecopy or electronic mail) of the prepayment of any Revolving Loan or Term Loan. Each voluntary prepayment of Revolving Loans or Term Loan shall be in an aggregate minimum amount of $1,000,000 and integral multiples of $500,000 in excess thereof (or, if less, the aggregate principal amount of such Class of Loans then outstanding).</w:t>
      </w:r>
    </w:p>
    <w:p>
      <w:pPr>
        <w:spacing w:after="0" w:line="19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14" w:val="left"/>
        </w:tabs>
        <w:numPr>
          <w:ilvl w:val="3"/>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Commitment Overadvance</w:t>
      </w:r>
      <w:r>
        <w:rPr>
          <w:rFonts w:ascii="Times New Roman" w:cs="Times New Roman" w:eastAsia="Times New Roman" w:hAnsi="Times New Roman"/>
          <w:sz w:val="20"/>
          <w:szCs w:val="20"/>
          <w:color w:val="auto"/>
        </w:rPr>
        <w:t>. If at any time the aggregate principal amount of all outstanding Revolving Loans</w:t>
      </w:r>
      <w:r>
        <w:rPr>
          <w:rFonts w:ascii="Times New Roman" w:cs="Times New Roman" w:eastAsia="Times New Roman" w:hAnsi="Times New Roman"/>
          <w:sz w:val="20"/>
          <w:szCs w:val="20"/>
          <w:color w:val="ED0000"/>
          <w:strike w:val="1"/>
        </w:rPr>
        <w:t>, Swingline Loans</w:t>
      </w:r>
      <w:r>
        <w:rPr>
          <w:rFonts w:ascii="Times New Roman" w:cs="Times New Roman" w:eastAsia="Times New Roman" w:hAnsi="Times New Roman"/>
          <w:sz w:val="20"/>
          <w:szCs w:val="20"/>
          <w:color w:val="auto"/>
        </w:rPr>
        <w:t xml:space="preserve"> and Bid Rate Loans, together with the aggregate amount of all Letter of Credit Liabilities, exceeds the aggregate amount of the Revolving Commitments, the Borrowers jointly and severally agree to pay immediately upon demand to the Administrative Agent for the account of the Lenders then holding Revolving Commitments (or if the Revolving Commitments have been terminated, then holding outstanding Revolving Loans, </w:t>
      </w:r>
      <w:r>
        <w:rPr>
          <w:rFonts w:ascii="Times New Roman" w:cs="Times New Roman" w:eastAsia="Times New Roman" w:hAnsi="Times New Roman"/>
          <w:sz w:val="20"/>
          <w:szCs w:val="20"/>
          <w:color w:val="ED0000"/>
          <w:strike w:val="1"/>
        </w:rPr>
        <w:t>Swingline Loans,</w:t>
      </w:r>
      <w:r>
        <w:rPr>
          <w:rFonts w:ascii="Times New Roman" w:cs="Times New Roman" w:eastAsia="Times New Roman" w:hAnsi="Times New Roman"/>
          <w:sz w:val="20"/>
          <w:szCs w:val="20"/>
          <w:color w:val="auto"/>
        </w:rPr>
        <w:t xml:space="preserve"> Bid Rate Loans and/or Letter of Credit Liabilities), the amount of such excess.</w:t>
      </w:r>
    </w:p>
    <w:p>
      <w:pPr>
        <w:spacing w:after="0" w:line="192"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869" w:val="left"/>
        </w:tabs>
        <w:numPr>
          <w:ilvl w:val="3"/>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Bid Rate Facility Overadvance</w:t>
      </w:r>
      <w:r>
        <w:rPr>
          <w:rFonts w:ascii="Times New Roman" w:cs="Times New Roman" w:eastAsia="Times New Roman" w:hAnsi="Times New Roman"/>
          <w:sz w:val="20"/>
          <w:szCs w:val="20"/>
          <w:color w:val="auto"/>
        </w:rPr>
        <w:t>. If at any time the aggregate principal amount of all outstanding Bid Rate Loans exceeds one-half of the aggregate amount of all Revolving Commitments at such time, the Borrowers jointly and severally agree to pay immediately upon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64 -</w:t>
      </w:r>
    </w:p>
    <w:p>
      <w:pPr>
        <w:sectPr>
          <w:pgSz w:w="11900" w:h="16838" w:orient="portrait"/>
          <w:cols w:equalWidth="0" w:num="1">
            <w:col w:w="11240"/>
          </w:cols>
          <w:pgMar w:left="320" w:top="1409" w:right="339" w:bottom="1440" w:gutter="0" w:footer="0" w:header="0"/>
        </w:sectPr>
      </w:pPr>
    </w:p>
    <w:bookmarkStart w:id="401" w:name="page402"/>
    <w:bookmarkEnd w:id="401"/>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demand to the Administrative Agent for the accounts of the applicable Lenders the amount of such excess.</w:t>
      </w:r>
    </w:p>
    <w:p>
      <w:pPr>
        <w:spacing w:after="0" w:line="229" w:lineRule="exact"/>
        <w:rPr>
          <w:sz w:val="20"/>
          <w:szCs w:val="20"/>
          <w:color w:val="auto"/>
        </w:rPr>
      </w:pPr>
    </w:p>
    <w:p>
      <w:pPr>
        <w:jc w:val="both"/>
        <w:ind w:left="660" w:firstLine="644"/>
        <w:spacing w:after="0" w:line="251" w:lineRule="auto"/>
        <w:tabs>
          <w:tab w:leader="none" w:pos="1802"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 Amounts paid under the preceding subsection (b)(i) shall be applied to pay all amounts of principal outstanding on the Revolving Loans and any Reimbursement Obligations pro rata in accordance with Section 3.2. and if any Letters of Credit are outstanding at such time, the remainder, if any, shall be deposited into the Letter of Credit Collateral Account for application to any Reimbursement Obligations. Amounts paid under the preceding subsection (b)(ii) shall be applied in accordance with Section 3.2.(g). If any Borrower is required to pay any outstanding SOFR Loans or SOFR Margin Loans by reason of this Section prior to the end of the applicable Interest Period therefor, the Borrowers jointly and severally agree to pay all amounts due under Section 4.4.</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2.10.</w:t>
      </w:r>
      <w:r>
        <w:rPr>
          <w:sz w:val="20"/>
          <w:szCs w:val="20"/>
          <w:color w:val="auto"/>
        </w:rPr>
        <w:tab/>
      </w:r>
      <w:r>
        <w:rPr>
          <w:rFonts w:ascii="Times New Roman" w:cs="Times New Roman" w:eastAsia="Times New Roman" w:hAnsi="Times New Roman"/>
          <w:sz w:val="19"/>
          <w:szCs w:val="19"/>
          <w:b w:val="1"/>
          <w:bCs w:val="1"/>
          <w:color w:val="auto"/>
        </w:rPr>
        <w:t>Continuation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So long as no Default or Event of Default exists, any Borrower may on any Business Day, with respect to any </w:t>
      </w:r>
      <w:r>
        <w:rPr>
          <w:rFonts w:ascii="Times New Roman" w:cs="Times New Roman" w:eastAsia="Times New Roman" w:hAnsi="Times New Roman"/>
          <w:sz w:val="19"/>
          <w:szCs w:val="19"/>
          <w:u w:val="single" w:color="auto"/>
          <w:color w:val="007BB8"/>
        </w:rPr>
        <w:t>Term</w:t>
      </w:r>
      <w:r>
        <w:rPr>
          <w:rFonts w:ascii="Times New Roman" w:cs="Times New Roman" w:eastAsia="Times New Roman" w:hAnsi="Times New Roman"/>
          <w:sz w:val="19"/>
          <w:szCs w:val="19"/>
          <w:color w:val="auto"/>
        </w:rPr>
        <w:t xml:space="preserve"> SOFR Loan, elect to maintain such </w:t>
      </w:r>
      <w:r>
        <w:rPr>
          <w:rFonts w:ascii="Times New Roman" w:cs="Times New Roman" w:eastAsia="Times New Roman" w:hAnsi="Times New Roman"/>
          <w:sz w:val="19"/>
          <w:szCs w:val="19"/>
          <w:u w:val="single" w:color="auto"/>
          <w:color w:val="007BB8"/>
        </w:rPr>
        <w:t>Term</w:t>
      </w:r>
      <w:r>
        <w:rPr>
          <w:rFonts w:ascii="Times New Roman" w:cs="Times New Roman" w:eastAsia="Times New Roman" w:hAnsi="Times New Roman"/>
          <w:sz w:val="19"/>
          <w:szCs w:val="19"/>
          <w:color w:val="auto"/>
        </w:rPr>
        <w:t xml:space="preserve"> SOFR Loan or any portion thereof as a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xml:space="preserve"> SOFR Loan by selecting a new Interest Period for such </w:t>
      </w:r>
      <w:r>
        <w:rPr>
          <w:rFonts w:ascii="Times New Roman" w:cs="Times New Roman" w:eastAsia="Times New Roman" w:hAnsi="Times New Roman"/>
          <w:sz w:val="19"/>
          <w:szCs w:val="19"/>
          <w:u w:val="single" w:color="auto"/>
          <w:color w:val="007BB8"/>
        </w:rPr>
        <w:t>Term</w:t>
      </w:r>
      <w:r>
        <w:rPr>
          <w:rFonts w:ascii="Times New Roman" w:cs="Times New Roman" w:eastAsia="Times New Roman" w:hAnsi="Times New Roman"/>
          <w:sz w:val="19"/>
          <w:szCs w:val="19"/>
          <w:color w:val="auto"/>
        </w:rPr>
        <w:t xml:space="preserve"> SOFR Loan. Each Continuation of </w:t>
      </w:r>
      <w:r>
        <w:rPr>
          <w:rFonts w:ascii="Times New Roman" w:cs="Times New Roman" w:eastAsia="Times New Roman" w:hAnsi="Times New Roman"/>
          <w:sz w:val="19"/>
          <w:szCs w:val="19"/>
          <w:color w:val="FF0000"/>
          <w:strike w:val="1"/>
        </w:rPr>
        <w:t>SOFRR</w:t>
      </w:r>
      <w:r>
        <w:rPr>
          <w:rFonts w:ascii="Times New Roman" w:cs="Times New Roman" w:eastAsia="Times New Roman" w:hAnsi="Times New Roman"/>
          <w:sz w:val="19"/>
          <w:szCs w:val="19"/>
          <w:u w:val="single" w:color="auto"/>
          <w:color w:val="0070C0"/>
        </w:rPr>
        <w:t>Term SOFR</w:t>
      </w:r>
      <w:r>
        <w:rPr>
          <w:rFonts w:ascii="Times New Roman" w:cs="Times New Roman" w:eastAsia="Times New Roman" w:hAnsi="Times New Roman"/>
          <w:sz w:val="19"/>
          <w:szCs w:val="19"/>
          <w:color w:val="auto"/>
        </w:rPr>
        <w:t xml:space="preserve"> Loans of the same Class shall be in an aggregate minimum amount of $1,000,000 and integral multiples of $1,000,000 in excess of that amount, and each new Interest Period selected under this Section shall commence on the last day of the immediately preceding Interest Period. Each selection of a new Interest Period shall be made by the Borrower Representative giving to the Administrative Agent a Notice of Continuation not later than 12:00 noon Eastern time on the third U.S. Government Securities Business Day prior to the date of any such Continuation. Such notice of a Continuation shall be by telecopy, electronic mail or other similar form of communication in the form of a Notice of Continuation, specifying (a) the proposed date of such Continuation, (b) the </w:t>
      </w:r>
      <w:r>
        <w:rPr>
          <w:rFonts w:ascii="Times New Roman" w:cs="Times New Roman" w:eastAsia="Times New Roman" w:hAnsi="Times New Roman"/>
          <w:sz w:val="19"/>
          <w:szCs w:val="19"/>
          <w:u w:val="single" w:color="auto"/>
          <w:color w:val="007BB8"/>
        </w:rPr>
        <w:t>Term</w:t>
      </w:r>
      <w:r>
        <w:rPr>
          <w:rFonts w:ascii="Times New Roman" w:cs="Times New Roman" w:eastAsia="Times New Roman" w:hAnsi="Times New Roman"/>
          <w:sz w:val="19"/>
          <w:szCs w:val="19"/>
          <w:color w:val="auto"/>
        </w:rPr>
        <w:t xml:space="preserve"> SOFR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Borrowers once given. Promptly after receipt of a Notice of Continuation, the Administrative Agent shall notify each applicable Lender of the proposed Continuation. If the Borrower Representative shall fail to select in a timely manner a new Interest Period for any </w:t>
      </w:r>
      <w:r>
        <w:rPr>
          <w:rFonts w:ascii="Times New Roman" w:cs="Times New Roman" w:eastAsia="Times New Roman" w:hAnsi="Times New Roman"/>
          <w:sz w:val="19"/>
          <w:szCs w:val="19"/>
          <w:u w:val="single" w:color="auto"/>
          <w:color w:val="007BB8"/>
        </w:rPr>
        <w:t>Term</w:t>
      </w:r>
      <w:r>
        <w:rPr>
          <w:rFonts w:ascii="Times New Roman" w:cs="Times New Roman" w:eastAsia="Times New Roman" w:hAnsi="Times New Roman"/>
          <w:sz w:val="19"/>
          <w:szCs w:val="19"/>
          <w:color w:val="auto"/>
        </w:rPr>
        <w:t xml:space="preserve"> SOFR Loan in accordance with this Section, such Loan will automatically, on the last day of the current Interest Period therefor, continue as a </w:t>
      </w:r>
      <w:r>
        <w:rPr>
          <w:rFonts w:ascii="Times New Roman" w:cs="Times New Roman" w:eastAsia="Times New Roman" w:hAnsi="Times New Roman"/>
          <w:sz w:val="19"/>
          <w:szCs w:val="19"/>
          <w:u w:val="single" w:color="auto"/>
          <w:color w:val="007BB8"/>
        </w:rPr>
        <w:t>Term</w:t>
      </w:r>
      <w:r>
        <w:rPr>
          <w:rFonts w:ascii="Times New Roman" w:cs="Times New Roman" w:eastAsia="Times New Roman" w:hAnsi="Times New Roman"/>
          <w:sz w:val="19"/>
          <w:szCs w:val="19"/>
          <w:color w:val="auto"/>
        </w:rPr>
        <w:t xml:space="preserve"> SOFR Loan with an Interest Period of one month; provided, however that if a Default or Event of Default exists, such Loan will automatically, on the last day of the current Interest Period therefor, Convert into a Base Rate Loan notwithstanding the first sentence of Section 2.11. or such Borrower’s failure to comply with any of the terms of such Section.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2.11.</w:t>
      </w:r>
      <w:r>
        <w:rPr>
          <w:sz w:val="20"/>
          <w:szCs w:val="20"/>
          <w:color w:val="auto"/>
        </w:rPr>
        <w:tab/>
      </w:r>
      <w:r>
        <w:rPr>
          <w:rFonts w:ascii="Times New Roman" w:cs="Times New Roman" w:eastAsia="Times New Roman" w:hAnsi="Times New Roman"/>
          <w:sz w:val="19"/>
          <w:szCs w:val="19"/>
          <w:b w:val="1"/>
          <w:bCs w:val="1"/>
          <w:color w:val="auto"/>
        </w:rPr>
        <w:t>Conversion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Any Borrower may on any Business Day, upon the Borrower Representative giving of a Notice of Conversion to the Administrative Agent by telecopy, electronic mail or other similar form of communication, Convert all or a portion of a Loan of one Type into a Loan of another Type; provided, however, a Base Rate Loan may not be Converted into a SOFR Loan if a Default or Event of Default exists. Each Conversion of Base Rate Loans of the same Class into SOFR Loans shall be in an aggregate minimum amount of $1,000,000 and integral multiples of $1,000,000 in excess of that amount. Each such Notice of Conversion shall be given not later than 12:00 noon Eastern time three</w:t>
      </w:r>
    </w:p>
    <w:p>
      <w:pPr>
        <w:spacing w:after="0" w:line="4" w:lineRule="exact"/>
        <w:rPr>
          <w:sz w:val="20"/>
          <w:szCs w:val="20"/>
          <w:color w:val="auto"/>
        </w:rPr>
      </w:pPr>
    </w:p>
    <w:p>
      <w:pPr>
        <w:ind w:firstLine="8"/>
        <w:spacing w:after="0" w:line="260" w:lineRule="auto"/>
        <w:tabs>
          <w:tab w:leader="none" w:pos="327"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Government Securities Business Days prior to the date of any proposed Conversion. Promptly after receipt of a Notice of Conversion, the Administrative Agent shall notify each Lender of the proposed Conversion. Subject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65 -</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restrictions specified above, each Notice of Conversion shall be by telecopy, electronic mail or other similar form of communication in the form of a Notice of Conversion specifying (a) the requested date of such Conversion, (b) the Type of Loan to be Converted, (c) the portion of such Type and Class of Loan to be Converted, (d) the Type of Loan such Loan is to be Converted into and (e) if such Conversion is into a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the requested duration of the Interest Period of such Loan. Each Notice of Conversion shall be irrevocable and binding on the Borrowers once given.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2.12.</w:t>
      </w:r>
      <w:r>
        <w:rPr>
          <w:sz w:val="20"/>
          <w:szCs w:val="20"/>
          <w:color w:val="auto"/>
        </w:rPr>
        <w:tab/>
      </w:r>
      <w:r>
        <w:rPr>
          <w:rFonts w:ascii="Times New Roman" w:cs="Times New Roman" w:eastAsia="Times New Roman" w:hAnsi="Times New Roman"/>
          <w:sz w:val="19"/>
          <w:szCs w:val="19"/>
          <w:b w:val="1"/>
          <w:bCs w:val="1"/>
          <w:color w:val="auto"/>
        </w:rPr>
        <w:t>Notes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0" w:lineRule="auto"/>
        <w:tabs>
          <w:tab w:leader="none" w:pos="1092"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Except in the case of a Revolving Lender that has requested that it not receive a Revolving Note, the Revolving Loans made by each Revolving Lender shall, in addition to this Agreement, also be evidenced by a Revolving Note, payable to such Revolving Lender, or its registered assignees, in a principal amount equal to the amount of its Revolving Commitment as originally in effect and otherwise duly completed. Except in the case of a Revolving Lender that has requested that it not receive a Bid Rate Note, the Bid Rate Loans made by a Revolving Lender to the Borrowers shall, in addition to this Agreement, also be evidenced by a Bid Rate Note payable to such Revolving Lender, or its registered assignees. </w:t>
      </w:r>
      <w:r>
        <w:rPr>
          <w:rFonts w:ascii="Times New Roman" w:cs="Times New Roman" w:eastAsia="Times New Roman" w:hAnsi="Times New Roman"/>
          <w:sz w:val="20"/>
          <w:szCs w:val="20"/>
          <w:color w:val="FF0000"/>
          <w:strike w:val="1"/>
        </w:rPr>
        <w:t>The Swingline Loans made by a Swingline Lender to the Borrowers shall, in addition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this Agreement, also be evidenced by a Swingline Note payable to such Swingline Lender, or its registered assignees.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Except in the case of 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Term Loan Lender that has requested that it not receive a Term Note, the Term Loans made by each Term Loan Lender shall, in addition to this Agreement, also be evidenced by a Term Note, payable to such Term Loan Lender, or its registered assignees, in a principal amount equal to the amount of its Term A Loans or Term B Loans, as applicable, as originally in effect and otherwise duly completed.</w:t>
      </w:r>
    </w:p>
    <w:p>
      <w:pPr>
        <w:spacing w:after="0" w:line="196" w:lineRule="exact"/>
        <w:rPr>
          <w:rFonts w:ascii="Times New Roman" w:cs="Times New Roman" w:eastAsia="Times New Roman" w:hAnsi="Times New Roman"/>
          <w:sz w:val="20"/>
          <w:szCs w:val="20"/>
          <w:color w:val="auto"/>
        </w:rPr>
      </w:pPr>
    </w:p>
    <w:p>
      <w:pPr>
        <w:jc w:val="both"/>
        <w:ind w:firstLine="656"/>
        <w:spacing w:after="0" w:line="251" w:lineRule="auto"/>
        <w:tabs>
          <w:tab w:leader="none" w:pos="1076"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The date, amount, interest rate, Class, Type and duration of Interest Periods (if applicable) of each Loan made by each Lender to any Borrower, and each payment made on account of the principal thereof, shall be recorded by such Lender on its books and such entries shall be binding on such Borrower absent manifest error; provided, however, that (i) the failure of a Lender to make any such record shall not affect the obligations of such Borrower under any of the Loan Documents and (ii) if there is a discrepancy between such records of a Lender and the records maintained by the Administrative Agent pursuant to Sections 3.8. and 12.5.(c), in the absence of manifest error, the records maintained by the Administrative Agent pursuant to Sections 3.8. and 12.5.(c) shall be controlling.</w:t>
      </w:r>
    </w:p>
    <w:p>
      <w:pPr>
        <w:spacing w:after="0" w:line="190"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6"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Lost, Stolen, Destroyed or Mutilated Notes</w:t>
      </w:r>
      <w:r>
        <w:rPr>
          <w:rFonts w:ascii="Times New Roman" w:cs="Times New Roman" w:eastAsia="Times New Roman" w:hAnsi="Times New Roman"/>
          <w:sz w:val="20"/>
          <w:szCs w:val="20"/>
          <w:color w:val="auto"/>
        </w:rPr>
        <w:t>. Upon receipt by the Borrower Representative of (i) written notice from a Lender that a Note of such Lender has been lost, stolen, destroyed or mutilated, and (ii)(A) in the case of loss, theft or destruction, an unsecured agreement of indemnity from such Lender in form reasonably satisfactory to the Borrowers, or (B) in the case of mutilation, upon surrender and cancellation of such Note, the Borrowers shall at their own expense execute and deliver to such Lender a new Note dated the date of such lost, stolen, destroyed or mutilated Note.</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2.13.</w:t>
      </w:r>
      <w:r>
        <w:rPr>
          <w:sz w:val="20"/>
          <w:szCs w:val="20"/>
          <w:color w:val="auto"/>
        </w:rPr>
        <w:tab/>
      </w:r>
      <w:r>
        <w:rPr>
          <w:rFonts w:ascii="Times New Roman" w:cs="Times New Roman" w:eastAsia="Times New Roman" w:hAnsi="Times New Roman"/>
          <w:sz w:val="19"/>
          <w:szCs w:val="19"/>
          <w:b w:val="1"/>
          <w:bCs w:val="1"/>
          <w:color w:val="auto"/>
        </w:rPr>
        <w:t>Voluntary Reductions of the Revolving Commitment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Borrowers shall have the right to terminate or reduce the aggregate unused amount of the Revolving Commitments (for which purpose use of the Revolving Commitments shall be deemed to include the aggregate amount of all Letter of Credit Liabilities and the aggregate principal amount of all outstanding Bid Rate Loans </w:t>
      </w:r>
      <w:r>
        <w:rPr>
          <w:rFonts w:ascii="Times New Roman" w:cs="Times New Roman" w:eastAsia="Times New Roman" w:hAnsi="Times New Roman"/>
          <w:sz w:val="20"/>
          <w:szCs w:val="20"/>
          <w:color w:val="FF0000"/>
        </w:rPr>
        <w:t>and Swingline Loans</w:t>
      </w:r>
      <w:r>
        <w:rPr>
          <w:rFonts w:ascii="Times New Roman" w:cs="Times New Roman" w:eastAsia="Times New Roman" w:hAnsi="Times New Roman"/>
          <w:sz w:val="20"/>
          <w:szCs w:val="20"/>
          <w:color w:val="auto"/>
        </w:rPr>
        <w:t>) at any time and from time to time without penalty or premium upon not less than three (3) Business Days prior written notice (which may be by telecopy or electronic mail) from the Borrower Representative to the Administrative Agent of each such termination or reduction, which notice shall specify the effective date thereof and the amount of any such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-539750</wp:posOffset>
            </wp:positionV>
            <wp:extent cx="11176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- 66 -</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(which in the case of any partial reduction of the Revolving Commitments shall not be less than $50,000,000 and integral multiples of $10,000,000 in excess of that amount in the aggregate) and shall be irrevocable once given and effective only upon receipt by the Administrative Agent (a “Revolving Commitment Reduction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 Revolving Commitment Reduction Notice may state that such notice is conditioned upon the effectiveness of a refinancing of all outstanding Revolving Loans, in which case such Revolving Commitment Reduction Notice may be revoked by the Borrower Representative (by notice to the Administrative Agent on or prior to the specified effective date of such Revolving Commitment Reduction Notice) if such condition is not satisfied. Promptly after receipt of a Revolving Commitment Reduction Notice the Administrative Agent shall notify each Revolving Lender of the proposed termination or Revolving Commitment reduction. The Revolving Commitments, once reduced or terminated pursuant to this Section, may not be increased or reinstated. The Borrowers jointly and severally agree to pay all interest and fees on the Revolving Loans accrued to the date of such reduction or termination of the Revolving Commitments to the Administrative Agent for the account of the Revolving Lenders, including but not limited to any applicable compensation due to each Revolving Lender in accordance with Section 4.4.</w:t>
      </w:r>
    </w:p>
    <w:p>
      <w:pPr>
        <w:spacing w:after="0" w:line="19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2.14.</w:t>
      </w:r>
      <w:r>
        <w:rPr>
          <w:sz w:val="20"/>
          <w:szCs w:val="20"/>
          <w:color w:val="auto"/>
        </w:rPr>
        <w:tab/>
      </w:r>
      <w:r>
        <w:rPr>
          <w:rFonts w:ascii="Times New Roman" w:cs="Times New Roman" w:eastAsia="Times New Roman" w:hAnsi="Times New Roman"/>
          <w:sz w:val="19"/>
          <w:szCs w:val="19"/>
          <w:b w:val="1"/>
          <w:bCs w:val="1"/>
          <w:color w:val="auto"/>
        </w:rPr>
        <w:t>Extension of Revolving Termination Date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Borrowers shall have the right, exercisable two times, to extend the Revolving Termination Date by six months for each extension. The Borrowers may exercise such right only by the Borrower Representative executing and delivering to the Administrative Agent at least 30 days but not more than 180 days prior to the current Revolving Termination Date, a written request for such extension (an “Extension Request”). The Administrative Agent shall forward to each Revolving Lender a copy of the Extension Request delivered to the Administrative Agent promptly upon receipt thereof. Subject to satisfaction of the following conditions, the Revolving Termination Date shall be extended for six months effective upon receipt of the Extension Request and payment of the fee referred to in the following clause (b): (a) immediately prior to such extension and immediately after giving effect thereto, (i) no Event of Default shall exist and no Default under any of subsections (a), (e) or (f) of Section 10.1. shall exist and (ii) the representations and warranties made or deemed made by each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Loan Documents and (b) the Borrowers shall have paid the Fees payable under Section 3.5.(f).</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2.15.</w:t>
      </w:r>
      <w:r>
        <w:rPr>
          <w:sz w:val="20"/>
          <w:szCs w:val="20"/>
          <w:color w:val="auto"/>
        </w:rPr>
        <w:tab/>
      </w:r>
      <w:r>
        <w:rPr>
          <w:rFonts w:ascii="Times New Roman" w:cs="Times New Roman" w:eastAsia="Times New Roman" w:hAnsi="Times New Roman"/>
          <w:sz w:val="19"/>
          <w:szCs w:val="19"/>
          <w:b w:val="1"/>
          <w:bCs w:val="1"/>
          <w:color w:val="auto"/>
        </w:rPr>
        <w:t>Expiration Date of Letters of Credit Past Revolving Commitment Termination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on the date the Revolving Commitments are terminated or reduced to zero (whether voluntarily, by reason of the occurrence of an Event of Default or otherwise) there are any Letters of Credit outstanding hereunder and the aggregate Stated Amount of such Letters of Credit exceeds the balance of available funds on deposit in the Letter of Credit Collateral Account, then the Borrowers shall, on such date, pay to the Administrative Agent, for its benefit and the benefit of the Lenders and the Issuing Banks, for deposit into the Letter of Credit Collateral Account, an amount of money equal to the amount of such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- 67 -</w:t>
      </w:r>
    </w:p>
    <w:p>
      <w:pPr>
        <w:sectPr>
          <w:pgSz w:w="11900" w:h="16838" w:orient="portrait"/>
          <w:cols w:equalWidth="0" w:num="1">
            <w:col w:w="11240"/>
          </w:cols>
          <w:pgMar w:left="320" w:top="1440" w:right="339" w:bottom="1440" w:gutter="0" w:footer="0" w:header="0"/>
        </w:sectPr>
      </w:pPr>
    </w:p>
    <w:bookmarkStart w:id="404" w:name="page405"/>
    <w:bookmarkEnd w:id="404"/>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2.16.</w:t>
      </w:r>
      <w:r>
        <w:rPr>
          <w:sz w:val="20"/>
          <w:szCs w:val="20"/>
          <w:color w:val="auto"/>
        </w:rPr>
        <w:tab/>
      </w:r>
      <w:r>
        <w:rPr>
          <w:rFonts w:ascii="Times New Roman" w:cs="Times New Roman" w:eastAsia="Times New Roman" w:hAnsi="Times New Roman"/>
          <w:sz w:val="19"/>
          <w:szCs w:val="19"/>
          <w:b w:val="1"/>
          <w:bCs w:val="1"/>
          <w:color w:val="auto"/>
        </w:rPr>
        <w:t>Joint and Several Liability of the Borrowers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61" w:lineRule="auto"/>
        <w:tabs>
          <w:tab w:leader="none" w:pos="1120"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Borrower hereunder and under the other Loan Documents to which any Borrower is a party shall be joint and several, and, accordingly, each Borrower confirms that it is liable for the full amount of the Obligations, regardless of whether incurred by such Borrower or any other Borrower.</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149"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to the Administrative Agent, the Issuing Banks and the Lenders that the Borrowers,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6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7"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Administrative Agent, any Issuing Bank or any Lender shall be obligated or required before enforcing any Loan Document against a Borrower: (a) to pursue any right or remedy it may have against any other Borrower or any other Person or commence any suit or other proceeding against any other Borrower or any other Person in any court or other tribunal; (b) to make any claim in a liquidation or bankruptcy of any other Borrower or any other Person; or (c) to make demand of any other Borrower or any other Person or to enforce or seek to enforce or realize upon any collateral security held by the Administrative Agent, any Issuing Bank or any Lender which may secure any of the Obligations.</w:t>
      </w:r>
    </w:p>
    <w:p>
      <w:pPr>
        <w:spacing w:after="0" w:line="192" w:lineRule="exact"/>
        <w:rPr>
          <w:rFonts w:ascii="Times New Roman" w:cs="Times New Roman" w:eastAsia="Times New Roman" w:hAnsi="Times New Roman"/>
          <w:sz w:val="20"/>
          <w:szCs w:val="20"/>
          <w:color w:val="auto"/>
        </w:rPr>
      </w:pPr>
    </w:p>
    <w:p>
      <w:pPr>
        <w:jc w:val="both"/>
        <w:ind w:firstLine="656"/>
        <w:spacing w:after="0" w:line="249" w:lineRule="auto"/>
        <w:tabs>
          <w:tab w:leader="none" w:pos="1137"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intent of each Borrower, the Administrative Agent, the Issuing Banks and the Lenders that in any proceeding of the types described in Sections 10.1.(e) or 10.1.(f), a Borrower’s maximum obligation hereunder shall equal, but not exceed, the maximum amount which would not otherwise cause the obligations of such Borrower hereunder to be avoidable or unenforceable against such Borrower in such proceeding as a result of Applicable Law, including without limitation, (i) Section 548 of the Bankruptcy Code and (ii) any state fraudulent transfer or fraudulent conveyance act or statute applied in such proceeding, whether by virtue of Section 544 of the Bankruptcy Code or otherwise. The Applicable Laws under which the possible avoidance or unenforceability of the obligations of such Borrower hereunder shall be determined in any such proceeding are referred to as the “Avoidance Provisions”. Accordingly, to the extent that the obligations of a Borrower hereunder would otherwise be subject to avoidance under the Avoidance Provisions, the maximum Obligations for which such Borrower shall be liable hereunder shall be reduced to that amount which, as of the time any of the Obligations are deemed to have been incurred under the Avoidance Provisions, would not cause the obligations of such Borrower hereunder, to be subject to avoidance under the Avoidance Provisions. This subsection is intended solely to preserve the rights of the Administrative Agent, the Issuing Banks and the Lenders hereunder to the maximum extent that would not cause the obligations of any Borrower hereunder to be subject to avoidance under the Avoidance Provisions, and no Borrower or any other Person shall have any right or claim under this Section that would not otherwise be available to such Person under the Avoidance Provisions.</w:t>
      </w:r>
    </w:p>
    <w:p>
      <w:pPr>
        <w:spacing w:after="0" w:line="19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1"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Borrower shall be required hereunder to pay any portion of the Obligations exceeding the greater of (a) the amount of the value actually received by such Borrower and its Subsidiaries from the Loans and other Obligations and (b) the amount such Borrower would otherwise have paid if such Borrower had paid the aggregate amount of Obligations (excluding the amount paid by any other Person) in the same proportion as such Borrower’s net worth on the date enforcement is sought hereunder bears to the aggregate net worth of all of the Borrowers on such date, then such Borrower shall be reimbursed by each other Borrower for the amount of such excess pro rata, based on the respective net worth of such other Borrower on such date.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68 -</w:t>
      </w:r>
    </w:p>
    <w:p>
      <w:pPr>
        <w:sectPr>
          <w:pgSz w:w="11900" w:h="16838" w:orient="portrait"/>
          <w:cols w:equalWidth="0" w:num="1">
            <w:col w:w="11240"/>
          </w:cols>
          <w:pgMar w:left="320" w:top="1409" w:right="339" w:bottom="1440" w:gutter="0" w:footer="0" w:header="0"/>
        </w:sectPr>
      </w:pPr>
    </w:p>
    <w:bookmarkStart w:id="405" w:name="page406"/>
    <w:bookmarkEnd w:id="405"/>
    <w:p>
      <w:pPr>
        <w:spacing w:after="0" w:line="189" w:lineRule="exact"/>
        <w:rPr>
          <w:sz w:val="20"/>
          <w:szCs w:val="20"/>
          <w:color w:val="auto"/>
        </w:rPr>
      </w:pPr>
    </w:p>
    <w:p>
      <w:pPr>
        <w:jc w:val="both"/>
        <w:ind w:firstLine="656"/>
        <w:spacing w:after="0" w:line="258" w:lineRule="auto"/>
        <w:tabs>
          <w:tab w:leader="none" w:pos="1213"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assumes all responsibility for being and keeping itself informed of the financial condition of the other Borrowers, and of all other circumstances bearing upon the risk of nonpayment of any of the Obligations and the nature, scope and extent of the risks that such Borrower assumes and incurs hereunder, and agrees that none of the Administrative Agent, any Issuing Bank or any Lender shall have any duty whatsoever to advise any Borrower of information regarding such circumstances or risks.</w:t>
      </w:r>
    </w:p>
    <w:p>
      <w:pPr>
        <w:spacing w:after="0" w:line="1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2.17.</w:t>
      </w:r>
      <w:r>
        <w:rPr>
          <w:sz w:val="20"/>
          <w:szCs w:val="20"/>
          <w:color w:val="auto"/>
        </w:rPr>
        <w:tab/>
      </w:r>
      <w:r>
        <w:rPr>
          <w:rFonts w:ascii="Times New Roman" w:cs="Times New Roman" w:eastAsia="Times New Roman" w:hAnsi="Times New Roman"/>
          <w:sz w:val="19"/>
          <w:szCs w:val="19"/>
          <w:b w:val="1"/>
          <w:bCs w:val="1"/>
          <w:color w:val="auto"/>
        </w:rPr>
        <w:t>Borrower Representative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Each Borrower hereby appoints the Parent to act as its agent for all purposes under the Loan Documents (including, without limitation, with respect to all matters related to the borrowing and repayment of Loans, the issuance of Letters of Credit and the giving and receiving of notices under or in respect of the Loan Documents) (in such capacity, the “Borrower Representative”). Each Borrower acknowledges and agrees that (i) the Borrower Representative may execute such documents as the Borrower Representative deems appropriate in its sole discretion, and with respect to any such document executed by only the Borrower Representative, each Borrower shall be bound by and obligated by all of the terms of any such document, (ii) any notice or other communication delivered by the Administrative Agent, any Issuing Bank or any Lender hereunder to the Borrower Representative shall be deemed to have been delivered to each Borrower and (iii) the Administrative Agent and the Lenders shall accept (and shall be permitted to rely on) any document or agreement executed by the Borrowers or the Borrower Representative. Each Borrower agrees that any action taken by the Borrower Representative without the consent of, or notice to, such Borrower shall not release or discharge such Borrower from its obligations hereunder.</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2.18.</w:t>
      </w:r>
      <w:r>
        <w:rPr>
          <w:sz w:val="20"/>
          <w:szCs w:val="20"/>
          <w:color w:val="auto"/>
        </w:rPr>
        <w:tab/>
      </w:r>
      <w:r>
        <w:rPr>
          <w:rFonts w:ascii="Times New Roman" w:cs="Times New Roman" w:eastAsia="Times New Roman" w:hAnsi="Times New Roman"/>
          <w:sz w:val="19"/>
          <w:szCs w:val="19"/>
          <w:b w:val="1"/>
          <w:bCs w:val="1"/>
          <w:color w:val="auto"/>
        </w:rPr>
        <w:t>Amount Limitations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 other term of this Agreement or any other Loan Document, no Revolving Lender shall be required to make a Revolving </w:t>
      </w:r>
      <w:r>
        <w:rPr>
          <w:rFonts w:ascii="Times New Roman" w:cs="Times New Roman" w:eastAsia="Times New Roman" w:hAnsi="Times New Roman"/>
          <w:sz w:val="20"/>
          <w:szCs w:val="20"/>
          <w:color w:val="FF0000"/>
          <w:strike w:val="1"/>
        </w:rPr>
        <w:t>Loan, no Swingline Lender shall be required to make any Swingline</w:t>
      </w:r>
      <w:r>
        <w:rPr>
          <w:rFonts w:ascii="Times New Roman" w:cs="Times New Roman" w:eastAsia="Times New Roman" w:hAnsi="Times New Roman"/>
          <w:sz w:val="20"/>
          <w:szCs w:val="20"/>
          <w:color w:val="auto"/>
        </w:rPr>
        <w:t xml:space="preserve"> Loan, no Revolving Lender shall make any Bid Rate Loan, the Issuing Banks shall not be required to issue a Letter of Credit and no reduction of the Revolving Commitments pursuant to Section 2.13. shall take effect, if immediately after the making of such Revolving Loan, the issuance of such Letter of Credit or such reduction in the Revolving Commitments:</w:t>
      </w:r>
    </w:p>
    <w:p>
      <w:pPr>
        <w:spacing w:after="0" w:line="178" w:lineRule="exact"/>
        <w:rPr>
          <w:sz w:val="20"/>
          <w:szCs w:val="20"/>
          <w:color w:val="auto"/>
        </w:rPr>
      </w:pPr>
    </w:p>
    <w:p>
      <w:pPr>
        <w:ind w:firstLine="656"/>
        <w:spacing w:after="0" w:line="283" w:lineRule="auto"/>
        <w:tabs>
          <w:tab w:leader="none" w:pos="107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outstanding Revolving Loans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and</w:t>
      </w:r>
      <w:r>
        <w:rPr>
          <w:rFonts w:ascii="Times New Roman" w:cs="Times New Roman" w:eastAsia="Times New Roman" w:hAnsi="Times New Roman"/>
          <w:sz w:val="20"/>
          <w:szCs w:val="20"/>
          <w:color w:val="auto"/>
        </w:rPr>
        <w:t xml:space="preserve"> Bid Rate </w:t>
      </w:r>
      <w:r>
        <w:rPr>
          <w:rFonts w:ascii="Times New Roman" w:cs="Times New Roman" w:eastAsia="Times New Roman" w:hAnsi="Times New Roman"/>
          <w:sz w:val="20"/>
          <w:szCs w:val="20"/>
          <w:color w:val="FF0000"/>
          <w:strike w:val="1"/>
        </w:rPr>
        <w:t>Loans and Swingline</w:t>
      </w:r>
      <w:r>
        <w:rPr>
          <w:rFonts w:ascii="Times New Roman" w:cs="Times New Roman" w:eastAsia="Times New Roman" w:hAnsi="Times New Roman"/>
          <w:sz w:val="20"/>
          <w:szCs w:val="20"/>
          <w:color w:val="auto"/>
        </w:rPr>
        <w:t xml:space="preserve"> Loans, together with the aggregate amount of all Letter of Credit Liabilities, would exceed the aggregate amount of the Revolving Commitments at such time; or</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221"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outstanding Bid Rate Loans would exceed 50.0% of the aggregate amount of the Revolving Commitments at such time.</w:t>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2.19.</w:t>
      </w:r>
      <w:r>
        <w:rPr>
          <w:sz w:val="20"/>
          <w:szCs w:val="20"/>
          <w:color w:val="auto"/>
        </w:rPr>
        <w:tab/>
      </w:r>
      <w:r>
        <w:rPr>
          <w:rFonts w:ascii="Times New Roman" w:cs="Times New Roman" w:eastAsia="Times New Roman" w:hAnsi="Times New Roman"/>
          <w:sz w:val="19"/>
          <w:szCs w:val="19"/>
          <w:b w:val="1"/>
          <w:bCs w:val="1"/>
          <w:color w:val="auto"/>
        </w:rPr>
        <w:t>Increase in Commitments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Borrowers shall have the right at any time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auto"/>
        </w:rPr>
        <w:t xml:space="preserve"> prior to the Revolving Termination Date, to request increases in the aggregate amount of the Revolving Commitments</w:t>
      </w:r>
      <w:r>
        <w:rPr>
          <w:rFonts w:ascii="Times New Roman" w:cs="Times New Roman" w:eastAsia="Times New Roman" w:hAnsi="Times New Roman"/>
          <w:sz w:val="20"/>
          <w:szCs w:val="20"/>
          <w:color w:val="FF0000"/>
          <w:strike w:val="1"/>
        </w:rPr>
        <w:t>, (b) prior to the Term A Loan Maturity Date, to request the making of additional Term A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(“Additional Term A Loans”) and (c) prior to the Term B Loan Maturity Date, to request the making of additional Term B Loans (“Additional Term B Loans” and, collectively with the Additional Term A Loans, “Additional Term Loans”), in each case, </w:t>
      </w:r>
      <w:r>
        <w:rPr>
          <w:rFonts w:ascii="Times New Roman" w:cs="Times New Roman" w:eastAsia="Times New Roman" w:hAnsi="Times New Roman"/>
          <w:sz w:val="20"/>
          <w:szCs w:val="20"/>
          <w:color w:val="000000"/>
          <w:strike w:val="1"/>
        </w:rPr>
        <w:t>by the Borrower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Representative providing written notice (which may be by telecopy or electronic mail) to the Administrative Agent, which notice shall be irrevocable once given; </w:t>
      </w:r>
      <w:r>
        <w:rPr>
          <w:rFonts w:ascii="Times New Roman" w:cs="Times New Roman" w:eastAsia="Times New Roman" w:hAnsi="Times New Roman"/>
          <w:sz w:val="20"/>
          <w:szCs w:val="20"/>
          <w:u w:val="single" w:color="auto"/>
          <w:color w:val="000000"/>
          <w:strike w:val="1"/>
        </w:rPr>
        <w:t>provided</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00"/>
          <w:strike w:val="1"/>
        </w:rPr>
        <w:t>however</w:t>
      </w:r>
      <w:r>
        <w:rPr>
          <w:rFonts w:ascii="Times New Roman" w:cs="Times New Roman" w:eastAsia="Times New Roman" w:hAnsi="Times New Roman"/>
          <w:sz w:val="20"/>
          <w:szCs w:val="20"/>
          <w:color w:val="000000"/>
          <w:strike w:val="1"/>
        </w:rPr>
        <w:t xml:space="preserve">, that after giving effect to any increase in the Revolving Commitments </w:t>
      </w:r>
      <w:r>
        <w:rPr>
          <w:rFonts w:ascii="Times New Roman" w:cs="Times New Roman" w:eastAsia="Times New Roman" w:hAnsi="Times New Roman"/>
          <w:sz w:val="20"/>
          <w:szCs w:val="20"/>
          <w:color w:val="FF0000"/>
          <w:strike w:val="1"/>
        </w:rPr>
        <w:t>and the making of any</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5915025</wp:posOffset>
            </wp:positionH>
            <wp:positionV relativeFrom="paragraph">
              <wp:posOffset>-239395</wp:posOffset>
            </wp:positionV>
            <wp:extent cx="12147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14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- 69 -</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FF0000"/>
          <w:strike w:val="1"/>
        </w:rPr>
        <w:t>Term Loans</w:t>
      </w:r>
      <w:r>
        <w:rPr>
          <w:rFonts w:ascii="Times New Roman" w:cs="Times New Roman" w:eastAsia="Times New Roman" w:hAnsi="Times New Roman"/>
          <w:sz w:val="19"/>
          <w:szCs w:val="19"/>
          <w:color w:val="000000"/>
        </w:rPr>
        <w:t>, the aggregate amount of the Revolving Commitments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u w:val="single" w:color="auto"/>
          <w:color w:val="007BB8"/>
        </w:rPr>
        <w:t>plus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aggregate outstanding principal amount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Term</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7BB8"/>
        </w:rPr>
        <w:t>“</w:t>
      </w:r>
      <w:r>
        <w:rPr>
          <w:rFonts w:ascii="Times New Roman" w:cs="Times New Roman" w:eastAsia="Times New Roman" w:hAnsi="Times New Roman"/>
          <w:sz w:val="19"/>
          <w:szCs w:val="19"/>
          <w:color w:val="000000"/>
        </w:rPr>
        <w:t>Loans</w:t>
      </w:r>
      <w:r>
        <w:rPr>
          <w:rFonts w:ascii="Times New Roman" w:cs="Times New Roman" w:eastAsia="Times New Roman" w:hAnsi="Times New Roman"/>
          <w:sz w:val="19"/>
          <w:szCs w:val="19"/>
          <w:u w:val="single" w:color="auto"/>
          <w:color w:val="007BB8"/>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7BB8"/>
        </w:rPr>
        <w:t>under and as defined in the Tranche C Term Loan Agreement</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000000"/>
        </w:rPr>
        <w:t>shall not exceed $4,500,000,000 less (i) the amount of any voluntary reductions</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000000"/>
        </w:rPr>
        <w:t xml:space="preserve">of the Revolving Commitments made pursuant to Section 2.13. and (ii) the amount of any optional prepayments of the </w:t>
      </w:r>
      <w:r>
        <w:rPr>
          <w:rFonts w:ascii="Times New Roman" w:cs="Times New Roman" w:eastAsia="Times New Roman" w:hAnsi="Times New Roman"/>
          <w:sz w:val="19"/>
          <w:szCs w:val="19"/>
          <w:color w:val="FF0000"/>
          <w:strike w:val="1"/>
        </w:rPr>
        <w:t>Term Loans pursuant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 xml:space="preserve">to Section 2.9. Additional Term Loans shall be subject to </w:t>
      </w:r>
      <w:r>
        <w:rPr>
          <w:rFonts w:ascii="Times New Roman" w:cs="Times New Roman" w:eastAsia="Times New Roman" w:hAnsi="Times New Roman"/>
          <w:sz w:val="19"/>
          <w:szCs w:val="19"/>
          <w:color w:val="00B050"/>
          <w:strike w:val="1"/>
        </w:rPr>
        <w:t>the same terms and conditions</w:t>
      </w:r>
      <w:r>
        <w:rPr>
          <w:rFonts w:ascii="Times New Roman" w:cs="Times New Roman" w:eastAsia="Times New Roman" w:hAnsi="Times New Roman"/>
          <w:sz w:val="19"/>
          <w:szCs w:val="19"/>
          <w:color w:val="FF0000"/>
          <w:strike w:val="1"/>
        </w:rPr>
        <w:t xml:space="preserve"> of this Agreement that are applicable to all other Term Loans</w:t>
      </w:r>
      <w:r>
        <w:rPr>
          <w:rFonts w:ascii="Times New Roman" w:cs="Times New Roman" w:eastAsia="Times New Roman" w:hAnsi="Times New Roman"/>
          <w:sz w:val="19"/>
          <w:szCs w:val="19"/>
          <w:u w:val="single" w:color="auto"/>
          <w:color w:val="007BB8"/>
          <w:strike w:val="1"/>
        </w:rPr>
        <w:t>Loans under the Tranche C Term Loan Agreement</w:t>
      </w:r>
      <w:r>
        <w:rPr>
          <w:rFonts w:ascii="Times New Roman" w:cs="Times New Roman" w:eastAsia="Times New Roman" w:hAnsi="Times New Roman"/>
          <w:sz w:val="19"/>
          <w:szCs w:val="19"/>
          <w:color w:val="000000"/>
          <w:strike w:val="1"/>
        </w:rPr>
        <w:t>. Each such increase in the Revolving Commitments must be in an aggregate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minimum amount of $100,000,000 and integral multiples of $50,000,000 in excess thereof. </w:t>
      </w:r>
      <w:r>
        <w:rPr>
          <w:rFonts w:ascii="Times New Roman" w:cs="Times New Roman" w:eastAsia="Times New Roman" w:hAnsi="Times New Roman"/>
          <w:sz w:val="19"/>
          <w:szCs w:val="19"/>
          <w:color w:val="FF0000"/>
          <w:strike w:val="1"/>
        </w:rPr>
        <w:t>Each such request to make Additional Term</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 xml:space="preserve">Loans must be in an aggregate minimum amount of $25,000,000 and integral multiples of $5,000,000 </w:t>
      </w:r>
      <w:r>
        <w:rPr>
          <w:rFonts w:ascii="Times New Roman" w:cs="Times New Roman" w:eastAsia="Times New Roman" w:hAnsi="Times New Roman"/>
          <w:sz w:val="19"/>
          <w:szCs w:val="19"/>
          <w:color w:val="00B050"/>
          <w:strike w:val="1"/>
        </w:rPr>
        <w:t>in excess thereof (or such other</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B050"/>
          <w:strike w:val="1"/>
        </w:rPr>
        <w:t>amounts as may be acceptable to the Administrative Agent and the Borrowers</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B050"/>
          <w:strike w:val="1"/>
        </w:rPr>
        <w:t xml:space="preserve"> </w:t>
      </w:r>
      <w:r>
        <w:rPr>
          <w:rFonts w:ascii="Times New Roman" w:cs="Times New Roman" w:eastAsia="Times New Roman" w:hAnsi="Times New Roman"/>
          <w:sz w:val="19"/>
          <w:szCs w:val="19"/>
          <w:color w:val="000000"/>
          <w:strike w:val="1"/>
        </w:rPr>
        <w:t>The Administrative Agent, in consultation with the Borrower</w:t>
      </w:r>
      <w:r>
        <w:rPr>
          <w:rFonts w:ascii="Times New Roman" w:cs="Times New Roman" w:eastAsia="Times New Roman" w:hAnsi="Times New Roman"/>
          <w:sz w:val="19"/>
          <w:szCs w:val="19"/>
          <w:color w:val="00B050"/>
          <w:strike w:val="1"/>
        </w:rPr>
        <w:t xml:space="preserve"> </w:t>
      </w:r>
      <w:r>
        <w:rPr>
          <w:rFonts w:ascii="Times New Roman" w:cs="Times New Roman" w:eastAsia="Times New Roman" w:hAnsi="Times New Roman"/>
          <w:sz w:val="19"/>
          <w:szCs w:val="19"/>
          <w:color w:val="000000"/>
          <w:strike w:val="1"/>
        </w:rPr>
        <w:t xml:space="preserve">Representative, shall manage all aspects of the syndication of such increase in the Revolving Commitments </w:t>
      </w:r>
      <w:r>
        <w:rPr>
          <w:rFonts w:ascii="Times New Roman" w:cs="Times New Roman" w:eastAsia="Times New Roman" w:hAnsi="Times New Roman"/>
          <w:sz w:val="19"/>
          <w:szCs w:val="19"/>
          <w:color w:val="FF0000"/>
          <w:strike w:val="1"/>
        </w:rPr>
        <w:t>or making of Additional Term</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 xml:space="preserve">Loans, as applicable, </w:t>
      </w:r>
      <w:r>
        <w:rPr>
          <w:rFonts w:ascii="Times New Roman" w:cs="Times New Roman" w:eastAsia="Times New Roman" w:hAnsi="Times New Roman"/>
          <w:sz w:val="19"/>
          <w:szCs w:val="19"/>
          <w:color w:val="000000"/>
          <w:strike w:val="1"/>
        </w:rPr>
        <w:t>including decisions as to the selection of the existing Lenders and/or other banks, financial institutions and other</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institutional lenders to be approached with respect to such increase in the Revolving Commitments </w:t>
      </w:r>
      <w:r>
        <w:rPr>
          <w:rFonts w:ascii="Times New Roman" w:cs="Times New Roman" w:eastAsia="Times New Roman" w:hAnsi="Times New Roman"/>
          <w:sz w:val="19"/>
          <w:szCs w:val="19"/>
          <w:color w:val="FF0000"/>
          <w:strike w:val="1"/>
        </w:rPr>
        <w:t>or the making of Additional Term Loans,</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as applicable</w:t>
      </w:r>
      <w:r>
        <w:rPr>
          <w:rFonts w:ascii="Times New Roman" w:cs="Times New Roman" w:eastAsia="Times New Roman" w:hAnsi="Times New Roman"/>
          <w:sz w:val="19"/>
          <w:szCs w:val="19"/>
          <w:color w:val="000000"/>
          <w:strike w:val="1"/>
        </w:rPr>
        <w:t>, and the allocations of the increase in the Revolving Commitments</w:t>
      </w:r>
      <w:r>
        <w:rPr>
          <w:rFonts w:ascii="Times New Roman" w:cs="Times New Roman" w:eastAsia="Times New Roman" w:hAnsi="Times New Roman"/>
          <w:sz w:val="19"/>
          <w:szCs w:val="19"/>
          <w:color w:val="FF0000"/>
          <w:strike w:val="1"/>
        </w:rPr>
        <w:t xml:space="preserve"> or making of Additional Term Loans, as applicable, </w:t>
      </w:r>
      <w:r>
        <w:rPr>
          <w:rFonts w:ascii="Times New Roman" w:cs="Times New Roman" w:eastAsia="Times New Roman" w:hAnsi="Times New Roman"/>
          <w:sz w:val="19"/>
          <w:szCs w:val="19"/>
          <w:color w:val="000000"/>
          <w:strike w:val="1"/>
        </w:rPr>
        <w:t>among</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such existing Lenders and/or other banks, financial institutions and other institutional lenders. No Lender shall be obligated in any way whatsoever to increase its Revolving Commitment or provide a new Revolving Commitment </w:t>
      </w:r>
      <w:r>
        <w:rPr>
          <w:rFonts w:ascii="Times New Roman" w:cs="Times New Roman" w:eastAsia="Times New Roman" w:hAnsi="Times New Roman"/>
          <w:sz w:val="19"/>
          <w:szCs w:val="19"/>
          <w:color w:val="FF0000"/>
          <w:strike w:val="1"/>
        </w:rPr>
        <w:t>or make an Additional Term Loan</w:t>
      </w:r>
      <w:r>
        <w:rPr>
          <w:rFonts w:ascii="Times New Roman" w:cs="Times New Roman" w:eastAsia="Times New Roman" w:hAnsi="Times New Roman"/>
          <w:sz w:val="19"/>
          <w:szCs w:val="19"/>
          <w:color w:val="000000"/>
          <w:strike w:val="1"/>
        </w:rPr>
        <w:t xml:space="preserve">, and any new Lender becoming a party to this Agreement in connection with any such requested increase in the Revolving Commitments </w:t>
      </w:r>
      <w:r>
        <w:rPr>
          <w:rFonts w:ascii="Times New Roman" w:cs="Times New Roman" w:eastAsia="Times New Roman" w:hAnsi="Times New Roman"/>
          <w:sz w:val="19"/>
          <w:szCs w:val="19"/>
          <w:color w:val="FF0000"/>
          <w:strike w:val="1"/>
        </w:rPr>
        <w:t>or the making of</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 xml:space="preserve">Additional Term Loans, as applicable, </w:t>
      </w:r>
      <w:r>
        <w:rPr>
          <w:rFonts w:ascii="Times New Roman" w:cs="Times New Roman" w:eastAsia="Times New Roman" w:hAnsi="Times New Roman"/>
          <w:sz w:val="19"/>
          <w:szCs w:val="19"/>
          <w:color w:val="000000"/>
          <w:strike w:val="1"/>
        </w:rPr>
        <w:t>must be an Eligible Assignee. If a new Revolving Lender becomes a party to this Agreement, or if any</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existing Lender is increasing its Revolving Commitment or making an initial Revolving Commitment, such Lender shall on the date it becomes a Revolving Lender hereunder (or in the case of an existing Revolving Lender, increases its Revolving Commitment) (and as a condition thereto) purchase from the other Revolving Lenders its Revolving Commitment Percentage or, in the case of a Revolving Lender increasing its Revolving Commitment, the amount of the increase in its Revolving Commitment Percentage (determined with respect to the Revolving Lenders’ respective Revolving Commitments and after giving effect to the increase of Revolving Commitments) of any outstanding Revolving Loans, by making available to the Administrative Agent for the account of such other Revolving Lenders, in same day funds, an amount equal to the sum of (A) the portion of the outstanding principal amount of such Revolving Loans to be purchased by such Revolving Lender, </w:t>
      </w:r>
      <w:r>
        <w:rPr>
          <w:rFonts w:ascii="Times New Roman" w:cs="Times New Roman" w:eastAsia="Times New Roman" w:hAnsi="Times New Roman"/>
          <w:sz w:val="19"/>
          <w:szCs w:val="19"/>
          <w:u w:val="single" w:color="auto"/>
          <w:color w:val="000000"/>
          <w:strike w:val="1"/>
        </w:rPr>
        <w:t>plus</w:t>
      </w:r>
      <w:r>
        <w:rPr>
          <w:rFonts w:ascii="Times New Roman" w:cs="Times New Roman" w:eastAsia="Times New Roman" w:hAnsi="Times New Roman"/>
          <w:sz w:val="19"/>
          <w:szCs w:val="19"/>
          <w:color w:val="000000"/>
          <w:strike w:val="1"/>
        </w:rPr>
        <w:t xml:space="preserve"> (B) the aggregate amount of payments previously made by the other Revolving Lenders under Section 2.4.(j) that have not been repaid, </w:t>
      </w:r>
      <w:r>
        <w:rPr>
          <w:rFonts w:ascii="Times New Roman" w:cs="Times New Roman" w:eastAsia="Times New Roman" w:hAnsi="Times New Roman"/>
          <w:sz w:val="19"/>
          <w:szCs w:val="19"/>
          <w:u w:val="single" w:color="auto"/>
          <w:color w:val="000000"/>
          <w:strike w:val="1"/>
        </w:rPr>
        <w:t>plus</w:t>
      </w:r>
      <w:r>
        <w:rPr>
          <w:rFonts w:ascii="Times New Roman" w:cs="Times New Roman" w:eastAsia="Times New Roman" w:hAnsi="Times New Roman"/>
          <w:sz w:val="19"/>
          <w:szCs w:val="19"/>
          <w:color w:val="000000"/>
          <w:strike w:val="1"/>
        </w:rPr>
        <w:t xml:space="preserve"> (C) interest accrued and unpaid to and as of such date on such portion of the outstanding principal amount of such Revolving Loans. The Borrowers jointly and severally agree to pay to the Revolving Lenders amounts payable, if any, to such Revolving Lenders under Section 4.4. as if such purchase were a prepayment of any such Revolving Loans. Effecting the increase of the Revolving Commitments </w:t>
      </w:r>
      <w:r>
        <w:rPr>
          <w:rFonts w:ascii="Times New Roman" w:cs="Times New Roman" w:eastAsia="Times New Roman" w:hAnsi="Times New Roman"/>
          <w:sz w:val="19"/>
          <w:szCs w:val="19"/>
          <w:color w:val="FF0000"/>
          <w:strike w:val="1"/>
        </w:rPr>
        <w:t>or the making of Additional Term Loans</w:t>
      </w:r>
      <w:r>
        <w:rPr>
          <w:rFonts w:ascii="Times New Roman" w:cs="Times New Roman" w:eastAsia="Times New Roman" w:hAnsi="Times New Roman"/>
          <w:sz w:val="19"/>
          <w:szCs w:val="19"/>
          <w:color w:val="000000"/>
          <w:strike w:val="1"/>
        </w:rPr>
        <w:t xml:space="preserve"> under this Section is subject to the following conditions precedent: (x) no Default or Event of Default shall be in existence on the effective date of such increase in the Revolving Commitments </w:t>
      </w:r>
      <w:r>
        <w:rPr>
          <w:rFonts w:ascii="Times New Roman" w:cs="Times New Roman" w:eastAsia="Times New Roman" w:hAnsi="Times New Roman"/>
          <w:sz w:val="19"/>
          <w:szCs w:val="19"/>
          <w:color w:val="FF0000"/>
          <w:strike w:val="1"/>
        </w:rPr>
        <w:t>or the making of such Additional</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Term Loans</w:t>
      </w:r>
      <w:r>
        <w:rPr>
          <w:rFonts w:ascii="Times New Roman" w:cs="Times New Roman" w:eastAsia="Times New Roman" w:hAnsi="Times New Roman"/>
          <w:sz w:val="19"/>
          <w:szCs w:val="19"/>
          <w:color w:val="000000"/>
          <w:strike w:val="1"/>
        </w:rPr>
        <w:t>, (y) the representations and warranties made or deemed made by any Borrower or any other Loan Party in any Loan Document</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to which such Borrower or such other Loan Party is a party shall be true and correct in all material respects (except in the case of a representation or warranty qualified by materiality, in which case such representation or warranty shall be true and correct in all respects) on the effective date of such increase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-3708400</wp:posOffset>
            </wp:positionV>
            <wp:extent cx="21240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12407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-3253740</wp:posOffset>
            </wp:positionV>
            <wp:extent cx="17424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5427345</wp:posOffset>
            </wp:positionH>
            <wp:positionV relativeFrom="paragraph">
              <wp:posOffset>-990600</wp:posOffset>
            </wp:positionV>
            <wp:extent cx="17043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- 70 -</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factual circumstances specifically and expressly permitted hereunder, and (z) the Administrative Agent shall have received each of the following, in form and substance satisfactory to the Administrative Agent: (i) if not previously delivered to the Administrative Agent, copies certified by the Secretary or Assistant Secretary of all corporate, partnership or other necessary action taken by the Borrowers to authorize such increase in the Revolving Commitments </w:t>
      </w:r>
      <w:r>
        <w:rPr>
          <w:rFonts w:ascii="Times New Roman" w:cs="Times New Roman" w:eastAsia="Times New Roman" w:hAnsi="Times New Roman"/>
          <w:sz w:val="20"/>
          <w:szCs w:val="20"/>
          <w:color w:val="FF0000"/>
        </w:rPr>
        <w:t>or the borrowing of Additional Term Loans, as applicable</w:t>
      </w:r>
      <w:r>
        <w:rPr>
          <w:rFonts w:ascii="Times New Roman" w:cs="Times New Roman" w:eastAsia="Times New Roman" w:hAnsi="Times New Roman"/>
          <w:sz w:val="20"/>
          <w:szCs w:val="20"/>
          <w:color w:val="auto"/>
        </w:rPr>
        <w:t xml:space="preserve">; (ii) an opinion of counsel to the Borrowers and addressed to the Administrative Agent and the Lenders covering such matters as reasonably requested by the Administrative Agent; </w:t>
      </w:r>
      <w:r>
        <w:rPr>
          <w:rFonts w:ascii="Times New Roman" w:cs="Times New Roman" w:eastAsia="Times New Roman" w:hAnsi="Times New Roman"/>
          <w:sz w:val="20"/>
          <w:szCs w:val="20"/>
          <w:u w:val="single" w:color="auto"/>
          <w:color w:val="007BB8"/>
        </w:rPr>
        <w:t>and</w:t>
      </w:r>
      <w:r>
        <w:rPr>
          <w:rFonts w:ascii="Times New Roman" w:cs="Times New Roman" w:eastAsia="Times New Roman" w:hAnsi="Times New Roman"/>
          <w:sz w:val="20"/>
          <w:szCs w:val="20"/>
          <w:color w:val="auto"/>
        </w:rPr>
        <w:t xml:space="preserve"> (iii) </w:t>
      </w:r>
      <w:r>
        <w:rPr>
          <w:rFonts w:ascii="Times New Roman" w:cs="Times New Roman" w:eastAsia="Times New Roman" w:hAnsi="Times New Roman"/>
          <w:sz w:val="20"/>
          <w:szCs w:val="20"/>
          <w:color w:val="FF0000"/>
          <w:strike w:val="1"/>
        </w:rPr>
        <w:t>in the case of an increase in the Revolving Commitments,</w:t>
      </w:r>
      <w:r>
        <w:rPr>
          <w:rFonts w:ascii="Times New Roman" w:cs="Times New Roman" w:eastAsia="Times New Roman" w:hAnsi="Times New Roman"/>
          <w:sz w:val="20"/>
          <w:szCs w:val="20"/>
          <w:color w:val="auto"/>
        </w:rPr>
        <w:t xml:space="preserve"> new Revolving Notes executed by the Borrowers, payable to any new Revolving Lenders and replacement Revolving Notes executed by the Borrowers, payable to any existing Revolving Lenders increasing their Revolving Commitments, in the amount of such Revolving Lender’s Revolving Commitment at the time of the effectiveness of the applicable increase in the aggregate amount of the Revolving Commitments (in each case unless any such Revolving Lender requests not to receive such a Note)</w:t>
      </w:r>
      <w:r>
        <w:rPr>
          <w:rFonts w:ascii="Times New Roman" w:cs="Times New Roman" w:eastAsia="Times New Roman" w:hAnsi="Times New Roman"/>
          <w:sz w:val="20"/>
          <w:szCs w:val="20"/>
          <w:color w:val="FF0000"/>
          <w:strike w:val="1"/>
        </w:rPr>
        <w:t>; and (iv) in the case of the making of Additional Term Loans, new Term Notes executed by the Borrowers, payable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any new Term Loan Lenders and replacement Term Notes executed by the Borrowers, payable to any existing Term Loan Lenders increasing their Term Loans, in the amount of such Term Loan Lender’s Term Loan (in each case unless any such Term Loan Lender requests not to receive such a Note)</w:t>
      </w:r>
      <w:r>
        <w:rPr>
          <w:rFonts w:ascii="Times New Roman" w:cs="Times New Roman" w:eastAsia="Times New Roman" w:hAnsi="Times New Roman"/>
          <w:sz w:val="20"/>
          <w:szCs w:val="20"/>
          <w:color w:val="000000"/>
          <w:strike w:val="1"/>
        </w:rPr>
        <w:t>. In connection with any increase in the aggregate amount of the Revolving Commitments</w:t>
      </w:r>
      <w:r>
        <w:rPr>
          <w:rFonts w:ascii="Times New Roman" w:cs="Times New Roman" w:eastAsia="Times New Roman" w:hAnsi="Times New Roman"/>
          <w:sz w:val="20"/>
          <w:szCs w:val="20"/>
          <w:color w:val="FF0000"/>
          <w:strike w:val="1"/>
        </w:rPr>
        <w:t xml:space="preserve"> or the making of any Additional Term Loans </w:t>
      </w:r>
      <w:r>
        <w:rPr>
          <w:rFonts w:ascii="Times New Roman" w:cs="Times New Roman" w:eastAsia="Times New Roman" w:hAnsi="Times New Roman"/>
          <w:sz w:val="20"/>
          <w:szCs w:val="20"/>
          <w:color w:val="000000"/>
          <w:strike w:val="1"/>
        </w:rPr>
        <w:t>pursuant to this Section, any Lender becoming a party hereto shall (1) execute such documents and agreements as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Administrative Agent may reasonably request and (2) in the case of any Lender that is organized under the laws of a jurisdiction outside of the United States of America, provide to the Administrative Agent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7BB8"/>
          <w:strike w:val="1"/>
        </w:rPr>
        <w:t>and</w:t>
      </w:r>
      <w:r>
        <w:rPr>
          <w:rFonts w:ascii="Times New Roman" w:cs="Times New Roman" w:eastAsia="Times New Roman" w:hAnsi="Times New Roman"/>
          <w:sz w:val="20"/>
          <w:szCs w:val="20"/>
          <w:color w:val="000000"/>
          <w:strike w:val="1"/>
        </w:rPr>
        <w:t xml:space="preserve"> each Issuing Bank </w:t>
      </w:r>
      <w:r>
        <w:rPr>
          <w:rFonts w:ascii="Times New Roman" w:cs="Times New Roman" w:eastAsia="Times New Roman" w:hAnsi="Times New Roman"/>
          <w:sz w:val="20"/>
          <w:szCs w:val="20"/>
          <w:color w:val="FF0000"/>
          <w:strike w:val="1"/>
        </w:rPr>
        <w:t>and each Swingline Lender</w:t>
      </w:r>
      <w:r>
        <w:rPr>
          <w:rFonts w:ascii="Times New Roman" w:cs="Times New Roman" w:eastAsia="Times New Roman" w:hAnsi="Times New Roman"/>
          <w:sz w:val="20"/>
          <w:szCs w:val="20"/>
          <w:color w:val="000000"/>
          <w:strike w:val="1"/>
        </w:rPr>
        <w: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-2189480</wp:posOffset>
            </wp:positionV>
            <wp:extent cx="30403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3040380" cy="8255"/>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-380365</wp:posOffset>
            </wp:positionV>
            <wp:extent cx="14027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17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2.20.</w:t>
      </w:r>
      <w:r>
        <w:rPr>
          <w:sz w:val="20"/>
          <w:szCs w:val="20"/>
          <w:color w:val="auto"/>
        </w:rPr>
        <w:tab/>
      </w:r>
      <w:r>
        <w:rPr>
          <w:rFonts w:ascii="Times New Roman" w:cs="Times New Roman" w:eastAsia="Times New Roman" w:hAnsi="Times New Roman"/>
          <w:sz w:val="19"/>
          <w:szCs w:val="19"/>
          <w:b w:val="1"/>
          <w:bCs w:val="1"/>
          <w:color w:val="auto"/>
        </w:rPr>
        <w:t>Funds Transfer Disbursements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0" w:lineRule="auto"/>
        <w:tabs>
          <w:tab w:leader="none" w:pos="1173"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Each Borrower hereby authorizes the Administrative Agent to disburse the proceeds of any Loan made by the Lenders or any of their Affiliates pursuant to the Loan Documents as requested by an authorized representative of such Borrower to any of the accounts designated in the Disbursement Instruction Agreement. Each Borrower agrees to be bound by any transfer request: (i) authorized or transmitted by the Borrower Representative or such Borrower; or (ii) made in such Borrower’s name and accepted by the Administrative Agent in good faith and in compliance with these transfer instructions, even if not properly authorized by such Borrower. Each Borrower further agrees and acknowledges that the Administrative Agent may rely solely on any bank routing number or identifying bank account number or name provided by the Borrower Representative or such Borrower to effect a wire or funds transfer even if the information provided by the Borrower Representative or such Borrower identifies a different bank or account holder than named by the Borrower Representative or such Borrower. The Administrative Agent is not obligated or required in any way to take any actions to detect errors in information provided by the Borrower Representative or any Borrower. If the Administrative Agent takes any actions in an attempt to detect errors in the transmission or content of transfer requests or takes any actions in an attempt to detect unauthorized funds transfer requests, each Borrower agrees that no matter how many times the Administrative Agent takes these actions the Administrative Agent will not in any situation be liable for failing to take or correctly perform these actions in the future and such actions shall not become any part of the transfer disbursement procedures authorized under this provision, the Loan Documents, or any agreement between the Administrative Agent and any Borrower. Each Borrower agrees to notify the Administrative Agent of any errors in the transfer of any funds or of any unauthorized or improperly authorized transfer requests within fourteen (14) days after the Administrative Agent’s confirmation to the Borrower Representative or such Borrower of such transfer.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71 -</w:t>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89" w:lineRule="exact"/>
        <w:rPr>
          <w:sz w:val="20"/>
          <w:szCs w:val="20"/>
          <w:color w:val="auto"/>
        </w:rPr>
      </w:pPr>
    </w:p>
    <w:p>
      <w:pPr>
        <w:jc w:val="both"/>
        <w:ind w:firstLine="656"/>
        <w:spacing w:after="0" w:line="253" w:lineRule="auto"/>
        <w:tabs>
          <w:tab w:leader="none" w:pos="1144"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Funds Transfer</w:t>
      </w:r>
      <w:r>
        <w:rPr>
          <w:rFonts w:ascii="Times New Roman" w:cs="Times New Roman" w:eastAsia="Times New Roman" w:hAnsi="Times New Roman"/>
          <w:sz w:val="20"/>
          <w:szCs w:val="20"/>
          <w:color w:val="auto"/>
        </w:rPr>
        <w:t>. The Administrative Agent will, in its sole discretion, determine the funds transfer system and the means by which each transfer will be made. The Administrative Agent may delay or refuse to accept a funds transfer request if the transfer would: (i) violate the terms of this authorization, (ii) require use of a bank unacceptable to the Administrative Agent or any Lender or prohibited by any Governmental Authority, (iii) cause the Administrative Agent or any Lender to violate any Federal Reserve or other regulatory risk control program or guideline or (iv) otherwise cause the Administrative Agent or any Lender to violate any Applicable Law or regulation.</w:t>
      </w:r>
    </w:p>
    <w:p>
      <w:pPr>
        <w:spacing w:after="0" w:line="191" w:lineRule="exact"/>
        <w:rPr>
          <w:rFonts w:ascii="Times New Roman" w:cs="Times New Roman" w:eastAsia="Times New Roman" w:hAnsi="Times New Roman"/>
          <w:sz w:val="20"/>
          <w:szCs w:val="20"/>
          <w:color w:val="auto"/>
        </w:rPr>
      </w:pPr>
    </w:p>
    <w:p>
      <w:pPr>
        <w:jc w:val="both"/>
        <w:ind w:firstLine="656"/>
        <w:spacing w:after="0" w:line="252" w:lineRule="auto"/>
        <w:tabs>
          <w:tab w:leader="none" w:pos="1106"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None of the Administrative Agent, any Issuing Bank or any Lender shall be liable to any Borrower or any other parties for (i) errors, acts or failures to act of others, including other entities, banks, communications carriers or clearinghouses, through which any Borrower’s transfers may be made or information received or transmitted, and no such entity shall be deemed an agent of the Administrative Agent, any Issuing Bank or any Lender, (ii) any loss, liability or delay caused by fires, earthquakes, wars, civil disturbances, power surges or failures, acts of government, labor disputes, failures in communications networks, legal constraints or other events beyond Administrative Agent’s, any Issuing Bank’s or any Lender’s control, or (iii) any special, consequential, indirect or punitive damages, whether or not (x) any claim for these damages is based on tort or contract or (y) the Administrative Agent, any Issuing Bank, any Lender or any Borrower knew or should have known the likelihood of these damages in any situation. None of the Administrative Agent, any Issuing Bank or any Lender makes any representations or warranties other than those expressly made in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PAYMENTS, FEES AND OTHER GENERAL PROVISIONS</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3.1.</w:t>
      </w:r>
      <w:r>
        <w:rPr>
          <w:sz w:val="20"/>
          <w:szCs w:val="20"/>
          <w:color w:val="auto"/>
        </w:rPr>
        <w:tab/>
      </w:r>
      <w:r>
        <w:rPr>
          <w:rFonts w:ascii="Times New Roman" w:cs="Times New Roman" w:eastAsia="Times New Roman" w:hAnsi="Times New Roman"/>
          <w:sz w:val="19"/>
          <w:szCs w:val="19"/>
          <w:b w:val="1"/>
          <w:bCs w:val="1"/>
          <w:color w:val="auto"/>
        </w:rPr>
        <w:t>Payments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49" w:lineRule="auto"/>
        <w:tabs>
          <w:tab w:leader="none" w:pos="1146"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w:t>
      </w:r>
      <w:r>
        <w:rPr>
          <w:rFonts w:ascii="Times New Roman" w:cs="Times New Roman" w:eastAsia="Times New Roman" w:hAnsi="Times New Roman"/>
          <w:sz w:val="20"/>
          <w:szCs w:val="20"/>
          <w:color w:val="auto"/>
        </w:rPr>
        <w:t>. Except to the extent otherwise provided herein, all payments of principal, interest, Fees and other amounts to be made by any Loan Party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12:00 noon Eastern time on the date on which such payment shall become due (each such payment made after such time on such due date to be deemed to have been made on the next succeeding Business Day). Subject to Section 10.5., each Borrower shall, at the time of such Borrower’s making a payment under this Agreement or any other Loan Document, specify to the Administrative Agent the amounts payable by such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Each payment received by the Administrative Agent for the account of any Issuing Bank under this Agreement shall be paid to such Issuing Bank by wire transfer of immediately available funds in accordance with the wiring instructions provided by such Issuing Bank to the Administrative Agent from time to time, for the account of such Issuing Bank. In the event the Administrative Agent fails to pay such amounts to such Lender or such Issuing Bank, as the case may be,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3"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72 -</w:t>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189" w:lineRule="exact"/>
        <w:rPr>
          <w:sz w:val="20"/>
          <w:szCs w:val="20"/>
          <w:color w:val="auto"/>
        </w:rPr>
      </w:pPr>
    </w:p>
    <w:p>
      <w:pPr>
        <w:jc w:val="both"/>
        <w:ind w:firstLine="656"/>
        <w:spacing w:after="0" w:line="251" w:lineRule="auto"/>
        <w:tabs>
          <w:tab w:leader="none" w:pos="1238"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Presumptions Regarding Payments by Borrowers</w:t>
      </w:r>
      <w:r>
        <w:rPr>
          <w:rFonts w:ascii="Times New Roman" w:cs="Times New Roman" w:eastAsia="Times New Roman" w:hAnsi="Times New Roman"/>
          <w:sz w:val="20"/>
          <w:szCs w:val="20"/>
          <w:color w:val="auto"/>
        </w:rPr>
        <w:t>. Unless the Administrative Agent shall have received notice from the Borrower Representative prior to the date on which any payment is due from a Borrower to the Administrative Agent for the account of the Lenders or the Issuing Banks hereunder that such Borrower will not make such payment, the Administrative Agent may assume that such Borrower has made such payment on such date in accordance herewith and may (but shall not be obligated to), in reliance upon such assumption, distribute to the Lenders or the Issuing Banks, as the case may be, the amount due. In such event, if such Borrower has not in fact made such payment, then each of the Lenders or the Issuing Banks, as the case may be, severally agrees to repay to the Administrative Agent on demand that amount so distributed to such Lender or such Issuing Bank, with interest thereon, for each day from and including the date such amount is distributed to it to but excluding the date of payment to the Administrative Agent, at the Overnight Rate.</w:t>
      </w:r>
    </w:p>
    <w:p>
      <w:pPr>
        <w:spacing w:after="0" w:line="19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3.2.</w:t>
      </w:r>
      <w:r>
        <w:rPr>
          <w:sz w:val="20"/>
          <w:szCs w:val="20"/>
          <w:color w:val="auto"/>
        </w:rPr>
        <w:tab/>
      </w:r>
      <w:r>
        <w:rPr>
          <w:rFonts w:ascii="Times New Roman" w:cs="Times New Roman" w:eastAsia="Times New Roman" w:hAnsi="Times New Roman"/>
          <w:sz w:val="19"/>
          <w:szCs w:val="19"/>
          <w:b w:val="1"/>
          <w:bCs w:val="1"/>
          <w:color w:val="auto"/>
        </w:rPr>
        <w:t>Pro Rata Treatment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Except to the extent otherwise provided herein: (a) each borrowing from the Revolving Lenders under Sections 2.1.(a)</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and</w:t>
      </w:r>
      <w:r>
        <w:rPr>
          <w:rFonts w:ascii="Times New Roman" w:cs="Times New Roman" w:eastAsia="Times New Roman" w:hAnsi="Times New Roman"/>
          <w:sz w:val="20"/>
          <w:szCs w:val="20"/>
          <w:color w:val="auto"/>
        </w:rPr>
        <w:t xml:space="preserve"> 2.4.</w:t>
      </w:r>
      <w:r>
        <w:rPr>
          <w:rFonts w:ascii="Times New Roman" w:cs="Times New Roman" w:eastAsia="Times New Roman" w:hAnsi="Times New Roman"/>
          <w:sz w:val="20"/>
          <w:szCs w:val="20"/>
          <w:color w:val="FF0000"/>
          <w:strike w:val="1"/>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and 2.5.</w:t>
      </w:r>
      <w:r>
        <w:rPr>
          <w:rFonts w:ascii="Times New Roman" w:cs="Times New Roman" w:eastAsia="Times New Roman" w:hAnsi="Times New Roman"/>
          <w:sz w:val="20"/>
          <w:szCs w:val="20"/>
          <w:color w:val="000000"/>
        </w:rPr>
        <w:t>(e) shall be made from the Revolving Lenders, each payment of the fees under Section 3.5.(b), the first sentence of 3.5.(e), and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Section 3.5.(f) shall be made for the account of the Revolving Lenders, and each termination or reduction of the amount of the Revolving Commitments under Section 2.13. shall be applied to the respective Revolving Commitments of the Revolving Lenders, pro rata according to the amounts of their respective Revolving Commitments; (b) each payment or prepayment of principal of Revolving Loans shall be made for the account of the Revolving Lenders pro rata in accordance with the respective unpaid principal amounts of the Revolving Loans held by them, provided that, subject to Section 3.9., if immediately prior to giving effect to any such payment in respect of any Revolving Loans the outstanding principal amount of the Revolving Loans shall not be held by the Revolving Lenders pro rata in accordance with their respective Revolving Commitments in effect at the time such Revolving Loans were made, then such payment shall be applied to the Revolving Loans in such manner as shall result, as nearly as is practicable, in the outstanding principal amount of the Revolving Loans being held by the Revolving Lenders pro rata in accordance with their respective Revolving Commitments; (c) [reserved]; (d) each payment or prepayment of principal of Term Loans shall be made for the account of the Term Loan Lenders, pro rata in accordance with the respective unpaid principal amounts of the Term Loans held by them; (e) each payment of interest on Revolving Loans or Term Loans shall be made for the account of the Revolving Lenders or Term Loan Lenders, as applicable, pro rata in accordance with the amounts of interest on such Revolving Loans or Term Loans, as applicable, then due and payable to the respective Lenders; (f) the Conversion and Continuation of Revolving Loans or Term Loans, as applicable, of a particular Type (other than Conversions provided for by Sections 4.1.(c) and 4.5.) shall be made pro rata among the Revolving Lenders or Term Loan Lenders, as applicable, according to the amounts of their respective Revolving Loans or Term Loans, as applicable, and the then current Interest Period for each Lender’s portion of each such Loan of such Type shall be coterminous; (g) each prepayment of principal of Bid Rate Loans by any Borrower pursuant to Section 2.9.(b)(ii) shall be made for account of the Lenders then owed Bid Rate Loans pro rata in accordance with the respective unpaid principal amounts of the Bid Rate Loans then owing to each such Lender; (h) </w:t>
      </w:r>
      <w:r>
        <w:rPr>
          <w:rFonts w:ascii="Times New Roman" w:cs="Times New Roman" w:eastAsia="Times New Roman" w:hAnsi="Times New Roman"/>
          <w:sz w:val="20"/>
          <w:szCs w:val="20"/>
          <w:color w:val="FF0000"/>
          <w:strike w:val="1"/>
        </w:rPr>
        <w:t>the Revolving Lenders’ participation in, and payment obligations in respect of, Swingline Loans under Section 2.5. shall be in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accordance with their respective Revolving Commitment Percentages</w:t>
      </w:r>
      <w:r>
        <w:rPr>
          <w:rFonts w:ascii="Times New Roman" w:cs="Times New Roman" w:eastAsia="Times New Roman" w:hAnsi="Times New Roman"/>
          <w:sz w:val="20"/>
          <w:szCs w:val="20"/>
          <w:u w:val="single" w:color="auto"/>
          <w:color w:val="007BB8"/>
        </w:rPr>
        <w:t>[reserved]</w:t>
      </w:r>
      <w:r>
        <w:rPr>
          <w:rFonts w:ascii="Times New Roman" w:cs="Times New Roman" w:eastAsia="Times New Roman" w:hAnsi="Times New Roman"/>
          <w:sz w:val="20"/>
          <w:szCs w:val="20"/>
          <w:color w:val="000000"/>
        </w:rPr>
        <w:t>; and (i) the Revolving Lenders’ participation in, and payment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obligations in respect of, Letters of Credit under Section 2.4. shall be in accordance with their respective Revolving Commitment Percentages. </w:t>
      </w:r>
      <w:r>
        <w:rPr>
          <w:rFonts w:ascii="Times New Roman" w:cs="Times New Roman" w:eastAsia="Times New Roman" w:hAnsi="Times New Roman"/>
          <w:sz w:val="20"/>
          <w:szCs w:val="20"/>
          <w:color w:val="FF0000"/>
        </w:rPr>
        <w:t>All payments of principal, interest, fees and other amounts in respect of the Swingline Loans shall be for the account of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applicable Swingline Lender only (except to the extent any Revolving Lender shall have acquired a participating interest in any such Swingline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-383540</wp:posOffset>
            </wp:positionV>
            <wp:extent cx="6499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499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- 73 -</w:t>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pursuant to Section 2.5.(e), in which case such payments shall be pro rata in accordance with such participating interests).</w:t>
      </w:r>
      <w:r>
        <w:rPr>
          <w:rFonts w:ascii="Times New Roman" w:cs="Times New Roman" w:eastAsia="Times New Roman" w:hAnsi="Times New Roman"/>
          <w:sz w:val="25"/>
          <w:szCs w:val="25"/>
          <w:u w:val="single" w:color="auto"/>
          <w:color w:val="0070C0"/>
          <w:strike w:val="1"/>
          <w:vertAlign w:val="superscript"/>
        </w:rPr>
        <w:t>2</w:t>
      </w:r>
    </w:p>
    <w:p>
      <w:pPr>
        <w:spacing w:after="0" w:line="1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3.3.</w:t>
      </w:r>
      <w:r>
        <w:rPr>
          <w:sz w:val="20"/>
          <w:szCs w:val="20"/>
          <w:color w:val="auto"/>
        </w:rPr>
        <w:tab/>
      </w:r>
      <w:r>
        <w:rPr>
          <w:rFonts w:ascii="Times New Roman" w:cs="Times New Roman" w:eastAsia="Times New Roman" w:hAnsi="Times New Roman"/>
          <w:sz w:val="19"/>
          <w:szCs w:val="19"/>
          <w:b w:val="1"/>
          <w:bCs w:val="1"/>
          <w:color w:val="auto"/>
        </w:rPr>
        <w:t>Sharing of Payments, Etc.</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If a Lender shall obtain payment of any principal of, or interest on, any Loan made by it to a Borrower under this Agreement or shall obtain payment on any other Obligation owing by a Borrower through the exercise of any right of set-off, banker’s lien, counterclaim or similar right or otherwise or through voluntary prepayments directly to a Lender or other payments made by or on behalf of a Borrower to a Lender (other than any payment in respect of Specified Derivatives Obligations) not in accordance with the terms of this Agreement and such payment should be distributed to other Lenders in accordance with Section 3.2. or Section 10.5., as applicable, such Lender shall promptly purchase from such other Lenders participations in (or, if and to the extent specified by such Lender, direct interests in) the applicable Loans made by such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Each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any Borrower.</w:t>
      </w:r>
    </w:p>
    <w:p>
      <w:pPr>
        <w:spacing w:after="0" w:line="17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3.4.</w:t>
      </w:r>
      <w:r>
        <w:rPr>
          <w:sz w:val="20"/>
          <w:szCs w:val="20"/>
          <w:color w:val="auto"/>
        </w:rPr>
        <w:tab/>
      </w:r>
      <w:r>
        <w:rPr>
          <w:rFonts w:ascii="Times New Roman" w:cs="Times New Roman" w:eastAsia="Times New Roman" w:hAnsi="Times New Roman"/>
          <w:sz w:val="19"/>
          <w:szCs w:val="19"/>
          <w:b w:val="1"/>
          <w:bCs w:val="1"/>
          <w:color w:val="auto"/>
        </w:rPr>
        <w:t>Several Obligations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8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3.5.</w:t>
        <w:tab/>
        <w:t>Fees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firstLine="656"/>
        <w:spacing w:after="0" w:line="269" w:lineRule="auto"/>
        <w:tabs>
          <w:tab w:leader="none" w:pos="114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Fee</w:t>
      </w:r>
      <w:r>
        <w:rPr>
          <w:rFonts w:ascii="Times New Roman" w:cs="Times New Roman" w:eastAsia="Times New Roman" w:hAnsi="Times New Roman"/>
          <w:sz w:val="20"/>
          <w:szCs w:val="20"/>
          <w:color w:val="auto"/>
        </w:rPr>
        <w:t xml:space="preserve">. On the Effective Date </w:t>
      </w:r>
      <w:r>
        <w:rPr>
          <w:rFonts w:ascii="Times New Roman" w:cs="Times New Roman" w:eastAsia="Times New Roman" w:hAnsi="Times New Roman"/>
          <w:sz w:val="20"/>
          <w:szCs w:val="20"/>
          <w:u w:val="single" w:color="auto"/>
          <w:color w:val="007BB8"/>
        </w:rPr>
        <w:t>and the First Amendment Date</w:t>
      </w:r>
      <w:r>
        <w:rPr>
          <w:rFonts w:ascii="Times New Roman" w:cs="Times New Roman" w:eastAsia="Times New Roman" w:hAnsi="Times New Roman"/>
          <w:sz w:val="20"/>
          <w:szCs w:val="20"/>
          <w:color w:val="auto"/>
        </w:rPr>
        <w:t>, the Borrowers jointly and severally agree to pay to the Administrative Agent and each Lender all loan fees as have been agreed to in writing by any Borrower and the Administrative Agent.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71"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Facility Fees</w:t>
      </w:r>
      <w:r>
        <w:rPr>
          <w:rFonts w:ascii="Times New Roman" w:cs="Times New Roman" w:eastAsia="Times New Roman" w:hAnsi="Times New Roman"/>
          <w:sz w:val="20"/>
          <w:szCs w:val="20"/>
          <w:color w:val="auto"/>
        </w:rPr>
        <w:t>. During the period from the Effective Date to but excluding the Revolving Termination Date, the Borrowers jointly and severally agree to pay to the Administrative Agent for the account of the Revolving Lenders a facility fee equal to the daily aggregate amount of the Revolving Commitments (whether or not utilized) times a rate per annum equal to the Applicable Facility Fee. Such fee shall be payable quarterly in arrears on the first day of each January, April, July and October during the term of this Agreement and on the Revolving Termination Date or any earlier date of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6459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7" w:lineRule="exact"/>
        <w:rPr>
          <w:sz w:val="20"/>
          <w:szCs w:val="20"/>
          <w:color w:val="auto"/>
        </w:rPr>
      </w:pPr>
    </w:p>
    <w:p>
      <w:pPr>
        <w:ind w:left="340" w:right="20" w:hanging="332"/>
        <w:spacing w:after="0" w:line="231" w:lineRule="auto"/>
        <w:tabs>
          <w:tab w:leader="none" w:pos="367" w:val="left"/>
        </w:tabs>
        <w:numPr>
          <w:ilvl w:val="0"/>
          <w:numId w:val="2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u w:val="single" w:color="auto"/>
          <w:color w:val="0070C0"/>
        </w:rPr>
        <w:t>NTD: The deletion of the reference to Section 2.5, clause (h) and the last sentence of this Section 3.2 in the First Amendment is a technical amendment deemed made pursuant to Section 12.6(d) hereof.</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9" w:lineRule="exact"/>
        <w:rPr>
          <w:rFonts w:ascii="Times New Roman" w:cs="Times New Roman" w:eastAsia="Times New Roman" w:hAnsi="Times New Roman"/>
          <w:sz w:val="23"/>
          <w:szCs w:val="23"/>
          <w:color w:val="auto"/>
          <w:vertAlign w:val="superscript"/>
        </w:rPr>
      </w:pPr>
    </w:p>
    <w:p>
      <w:pPr>
        <w:ind w:left="320" w:hanging="114"/>
        <w:spacing w:after="0"/>
        <w:tabs>
          <w:tab w:leader="none" w:pos="320"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74 -</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Revolving Commitments or reduction of the Revolving Commitments to zero. Each Borrower acknowledges that the fee payable hereunder is a bona fide commitment fee and is intended as reasonable compensation to the Revolving Lenders for committing to make funds available to the Borrowers as described herein and for no other purposes.</w:t>
      </w:r>
    </w:p>
    <w:p>
      <w:pPr>
        <w:spacing w:after="0" w:line="181" w:lineRule="exact"/>
        <w:rPr>
          <w:sz w:val="20"/>
          <w:szCs w:val="20"/>
          <w:color w:val="auto"/>
        </w:rPr>
      </w:pPr>
    </w:p>
    <w:p>
      <w:pPr>
        <w:ind w:left="1080" w:hanging="424"/>
        <w:spacing w:after="0"/>
        <w:tabs>
          <w:tab w:leader="none" w:pos="1080"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119"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Each Borrower jointly and severally agrees to pay to the Administrative Agent for the account of each Revolving Lender a letter of credit fee at a rate per annum equal to the Applicable Margin for Revolving Loans that are SOFR Loans times the daily average Stated Amount of each such Letter of Credit for the period from and including the date of issuance of such Letter of Credit</w:t>
      </w:r>
    </w:p>
    <w:p>
      <w:pPr>
        <w:jc w:val="both"/>
        <w:ind w:firstLine="8"/>
        <w:spacing w:after="0" w:line="263" w:lineRule="auto"/>
        <w:tabs>
          <w:tab w:leader="none" w:pos="294"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and including the date such Letter of Credit expires or is cancelled or (y) to but excluding the date such Letter of Credit is drawn in full. In addition to such fees, each Borrower jointly and severally agrees to pay to the applicable Issuing Bank solely for its own account, a fronting fee in respect of each Letter of Credit issued for its account equal to one-eighth of one percent (0.125%) of the initial Stated Amount of such Letter of Credit. The fees provided for in this subsection shall be nonrefundable and payable, in the case of the fee provided for in the first sentence, in arrears (i) quarterly on the first day of each January, April, July and October, (ii) on the Revolving Termination Date, (iii) on the date the Revolving Commitments are terminated or reduced to zero and (iv) thereafter from time to time on demand of the Administrative Agent, and in the case of the fee provided for in the second sentence, at the time of issuance of such Letter of Credit. Each Borrower jointly and severally agrees to pay directly to the applicable Issuing Bank from time to time on demand all commissions, charges, costs and expenses in the amounts customarily charged or incurred by such Issuing Bank from time to time in like circumstances with respect to the issuance, amendment, renewal or extension of any Letter of Credit or any other transaction relating thereto.</w:t>
      </w:r>
    </w:p>
    <w:p>
      <w:pPr>
        <w:spacing w:after="0" w:line="182" w:lineRule="exact"/>
        <w:rPr>
          <w:rFonts w:ascii="Times New Roman" w:cs="Times New Roman" w:eastAsia="Times New Roman" w:hAnsi="Times New Roman"/>
          <w:sz w:val="19"/>
          <w:szCs w:val="19"/>
          <w:color w:val="auto"/>
        </w:rPr>
      </w:pPr>
    </w:p>
    <w:p>
      <w:pPr>
        <w:jc w:val="both"/>
        <w:ind w:firstLine="656"/>
        <w:spacing w:after="0" w:line="254" w:lineRule="auto"/>
        <w:tabs>
          <w:tab w:leader="none" w:pos="1111"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Extension Fee</w:t>
      </w:r>
      <w:r>
        <w:rPr>
          <w:rFonts w:ascii="Times New Roman" w:cs="Times New Roman" w:eastAsia="Times New Roman" w:hAnsi="Times New Roman"/>
          <w:sz w:val="20"/>
          <w:szCs w:val="20"/>
          <w:color w:val="auto"/>
        </w:rPr>
        <w:t>. If the Revolving Termination Date is being extended in accordance with Section 2.14., the Borrowers shall pay to the Administrative Agent for the account of each Revolving Lender a fee equal 0.0625% of the amount of such Revolving Lender’s Revolving Commitment (whether or not utilized). Such fee shall be due and payable in full on the effective date of such extension.</w:t>
      </w:r>
    </w:p>
    <w:p>
      <w:pPr>
        <w:spacing w:after="0" w:line="187" w:lineRule="exact"/>
        <w:rPr>
          <w:rFonts w:ascii="Times New Roman" w:cs="Times New Roman" w:eastAsia="Times New Roman" w:hAnsi="Times New Roman"/>
          <w:sz w:val="20"/>
          <w:szCs w:val="20"/>
          <w:color w:val="auto"/>
        </w:rPr>
      </w:pPr>
    </w:p>
    <w:p>
      <w:pPr>
        <w:jc w:val="both"/>
        <w:ind w:firstLine="656"/>
        <w:spacing w:after="0" w:line="258" w:lineRule="auto"/>
        <w:tabs>
          <w:tab w:leader="none" w:pos="1117"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and Other Fees</w:t>
      </w:r>
      <w:r>
        <w:rPr>
          <w:rFonts w:ascii="Times New Roman" w:cs="Times New Roman" w:eastAsia="Times New Roman" w:hAnsi="Times New Roman"/>
          <w:sz w:val="20"/>
          <w:szCs w:val="20"/>
          <w:color w:val="auto"/>
        </w:rPr>
        <w:t xml:space="preserve">. Each Borrower jointly and severally agrees to pay (i) the administrative and other fees of the Administrative Agent as provided in the Fee Letter with the Lender acting as Administrative Agent and as may be otherwise agreed to in writing from time to time by any Borrower and the Administrative Agent </w:t>
      </w:r>
      <w:r>
        <w:rPr>
          <w:rFonts w:ascii="Times New Roman" w:cs="Times New Roman" w:eastAsia="Times New Roman" w:hAnsi="Times New Roman"/>
          <w:sz w:val="20"/>
          <w:szCs w:val="20"/>
          <w:color w:val="007BB8"/>
        </w:rPr>
        <w:t>and (ii) the Sustainability Structuring Agent such fees (if any)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may be otherwise agreed to in writing by a Borrower and the Sustainability Structuring Agent from time to time</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-492760</wp:posOffset>
            </wp:positionV>
            <wp:extent cx="1587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58750" cy="889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-193040</wp:posOffset>
            </wp:positionV>
            <wp:extent cx="3362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362325" cy="8890"/>
                    </a:xfrm>
                    <a:prstGeom prst="rect">
                      <a:avLst/>
                    </a:prstGeom>
                    <a:noFill/>
                  </pic:spPr>
                </pic:pic>
              </a:graphicData>
            </a:graphic>
          </wp:anchor>
        </w:drawing>
      </w:r>
    </w:p>
    <w:p>
      <w:pPr>
        <w:spacing w:after="0" w:line="14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3.6.</w:t>
      </w:r>
      <w:r>
        <w:rPr>
          <w:sz w:val="20"/>
          <w:szCs w:val="20"/>
          <w:color w:val="auto"/>
        </w:rPr>
        <w:tab/>
      </w:r>
      <w:r>
        <w:rPr>
          <w:rFonts w:ascii="Times New Roman" w:cs="Times New Roman" w:eastAsia="Times New Roman" w:hAnsi="Times New Roman"/>
          <w:sz w:val="19"/>
          <w:szCs w:val="19"/>
          <w:b w:val="1"/>
          <w:bCs w:val="1"/>
          <w:color w:val="auto"/>
        </w:rPr>
        <w:t>Computations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expressly set forth herein, any accrued interest on any Loan, any Fees or any other Obligations due hereunder shall be computed on the basis of a year of 360 days and the actual number of days elapsed.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- 75 -</w:t>
      </w:r>
    </w:p>
    <w:p>
      <w:pPr>
        <w:sectPr>
          <w:pgSz w:w="11900" w:h="16838" w:orient="portrait"/>
          <w:cols w:equalWidth="0" w:num="1">
            <w:col w:w="11240"/>
          </w:cols>
          <w:pgMar w:left="320" w:top="1440" w:right="339" w:bottom="1440" w:gutter="0" w:footer="0" w:header="0"/>
        </w:sectPr>
      </w:pPr>
    </w:p>
    <w:bookmarkStart w:id="412" w:name="page413"/>
    <w:bookmarkEnd w:id="412"/>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3.7.</w:t>
        <w:tab/>
        <w:t>Usury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no event shall the amount of interest due or payable on the Loans or other Obligations exceed the maximum rate of interest allowed by Applicable Law and, if any such payment is paid by any Borrower or any other Loan Party or received by any Lender, then such excess sum shall be credited as a payment of principal, unless the Borrower Representative shall notify the respective Lender in writing that such Borrower elects to have such excess sum returned to it forthwith. It is the express intent of the parties hereto that no Borrower pay and the Lenders not receive, directly or indirectly, in any manner whatsoever, interest in excess of that which may be lawfully paid by such Borrower under Applicable Law. The parties hereto hereby agree and stipulate that the only charge imposed upon any Borrower for the use of money in connection with this Agreement is and shall be the interest specifically described in Section 2.6.(a)(i) through (</w:t>
      </w:r>
      <w:r>
        <w:rPr>
          <w:rFonts w:ascii="Times New Roman" w:cs="Times New Roman" w:eastAsia="Times New Roman" w:hAnsi="Times New Roman"/>
          <w:sz w:val="20"/>
          <w:szCs w:val="20"/>
          <w:color w:val="FF0000"/>
          <w:strike w:val="1"/>
        </w:rPr>
        <w:t>iv) and, with respect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to Swingline Loans, in Section 2.5.(c</w:t>
      </w:r>
      <w:r>
        <w:rPr>
          <w:rFonts w:ascii="Times New Roman" w:cs="Times New Roman" w:eastAsia="Times New Roman" w:hAnsi="Times New Roman"/>
          <w:sz w:val="20"/>
          <w:szCs w:val="20"/>
          <w:color w:val="000000"/>
        </w:rPr>
        <w:t>vi). Notwithstanding the foregoing, the parties hereto further agree and stipulate that all agency fees,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spacing w:after="0" w:line="19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3.8.</w:t>
      </w:r>
      <w:r>
        <w:rPr>
          <w:sz w:val="20"/>
          <w:szCs w:val="20"/>
          <w:color w:val="auto"/>
        </w:rPr>
        <w:tab/>
      </w:r>
      <w:r>
        <w:rPr>
          <w:rFonts w:ascii="Times New Roman" w:cs="Times New Roman" w:eastAsia="Times New Roman" w:hAnsi="Times New Roman"/>
          <w:sz w:val="19"/>
          <w:szCs w:val="19"/>
          <w:b w:val="1"/>
          <w:bCs w:val="1"/>
          <w:color w:val="auto"/>
        </w:rPr>
        <w:t>Statements of Account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Administrative Agent will account to the Borrowers monthly with a statement of Loans, accrued interest and Fees, charges and payments made pursuant to this Agreement and the other Loan Documents, and such account rendered by the Administrative Agent shall be deemed conclusive upon the Borrowers absent manifest error. The failure of the Administrative Agent to deliver such a statement of accounts shall not relieve or discharge any Borrower from any of its obligations hereunder.</w:t>
      </w:r>
    </w:p>
    <w:p>
      <w:pPr>
        <w:spacing w:after="0" w:line="1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3.9.</w:t>
      </w:r>
      <w:r>
        <w:rPr>
          <w:sz w:val="20"/>
          <w:szCs w:val="20"/>
          <w:color w:val="auto"/>
        </w:rPr>
        <w:tab/>
      </w:r>
      <w:r>
        <w:rPr>
          <w:rFonts w:ascii="Times New Roman" w:cs="Times New Roman" w:eastAsia="Times New Roman" w:hAnsi="Times New Roman"/>
          <w:sz w:val="19"/>
          <w:szCs w:val="19"/>
          <w:b w:val="1"/>
          <w:bCs w:val="1"/>
          <w:color w:val="auto"/>
        </w:rPr>
        <w:t>Defaulting Lenders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46" w:lineRule="exact"/>
        <w:rPr>
          <w:sz w:val="20"/>
          <w:szCs w:val="20"/>
          <w:color w:val="auto"/>
        </w:rPr>
      </w:pPr>
    </w:p>
    <w:p>
      <w:pPr>
        <w:jc w:val="both"/>
        <w:ind w:firstLine="656"/>
        <w:spacing w:after="0" w:line="261" w:lineRule="auto"/>
        <w:tabs>
          <w:tab w:leader="none" w:pos="1119"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Such Defaulting Lender’s right to approve or disapprove any amendment, waiver or consent with respect to this Agreement shall be restricted as set forth in Section 12.6. and in the definition of Requisite Lenders, Requisite Revolving Lenders, Requisite Term A Loan Lenders or Requisite Term B Loan Lenders, as applicable.</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7"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if such Defaulting Lender is a Revolving Lender, to the payment on a pro rata basis of any amounts owing by such Defaulting Lender to the Issuing Banks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76 -</w:t>
      </w:r>
    </w:p>
    <w:p>
      <w:pPr>
        <w:sectPr>
          <w:pgSz w:w="11900" w:h="16838" w:orient="portrait"/>
          <w:cols w:equalWidth="0" w:num="1">
            <w:col w:w="11240"/>
          </w:cols>
          <w:pgMar w:left="320" w:top="1409" w:right="339" w:bottom="1440" w:gutter="0" w:footer="0" w:header="0"/>
        </w:sectPr>
      </w:pPr>
    </w:p>
    <w:bookmarkStart w:id="413" w:name="page414"/>
    <w:bookmarkEnd w:id="413"/>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FF0000"/>
          <w:strike w:val="1"/>
        </w:rPr>
        <w:t>or the Swingline Lenders hereunder</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third</w:t>
      </w:r>
      <w:r>
        <w:rPr>
          <w:rFonts w:ascii="Times New Roman" w:cs="Times New Roman" w:eastAsia="Times New Roman" w:hAnsi="Times New Roman"/>
          <w:sz w:val="19"/>
          <w:szCs w:val="19"/>
          <w:color w:val="000000"/>
        </w:rPr>
        <w:t>, if such Defaulting Lender is a Revolving Lender, to Cash Collateralize the Issuing Banks’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Fronting Exposures with respect to such Defaulting Lender in accordance with subsection (e) below; </w:t>
      </w:r>
      <w:r>
        <w:rPr>
          <w:rFonts w:ascii="Times New Roman" w:cs="Times New Roman" w:eastAsia="Times New Roman" w:hAnsi="Times New Roman"/>
          <w:sz w:val="19"/>
          <w:szCs w:val="19"/>
          <w:u w:val="single" w:color="auto"/>
          <w:color w:val="000000"/>
        </w:rPr>
        <w:t>fourth</w:t>
      </w:r>
      <w:r>
        <w:rPr>
          <w:rFonts w:ascii="Times New Roman" w:cs="Times New Roman" w:eastAsia="Times New Roman" w:hAnsi="Times New Roman"/>
          <w:sz w:val="19"/>
          <w:szCs w:val="19"/>
          <w:color w:val="000000"/>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u w:val="single" w:color="auto"/>
          <w:color w:val="000000"/>
        </w:rPr>
        <w:t>fifth</w:t>
      </w:r>
      <w:r>
        <w:rPr>
          <w:rFonts w:ascii="Times New Roman" w:cs="Times New Roman" w:eastAsia="Times New Roman" w:hAnsi="Times New Roman"/>
          <w:sz w:val="19"/>
          <w:szCs w:val="19"/>
          <w:color w:val="000000"/>
        </w:rPr>
        <w:t xml:space="preserve">, if so determined by the Administrative Agent and the Borrower Representative, to be held in a deposit account and released pro rata in order to (x) satisfy such Defaulting Lender’s potential future funding obligations with respect to Loans under this Agreement and (y) if such Defaulting Lender is a Revolving Lender, Cash Collateralize the Issuing Banks’ future Fronting Exposure with respect to such Defaulting Lender with respect to future Letters of Credit issued under this Agreement, in accordance with subsection (e) below; </w:t>
      </w:r>
      <w:r>
        <w:rPr>
          <w:rFonts w:ascii="Times New Roman" w:cs="Times New Roman" w:eastAsia="Times New Roman" w:hAnsi="Times New Roman"/>
          <w:sz w:val="19"/>
          <w:szCs w:val="19"/>
          <w:u w:val="single" w:color="auto"/>
          <w:color w:val="000000"/>
        </w:rPr>
        <w:t>sixth</w:t>
      </w:r>
      <w:r>
        <w:rPr>
          <w:rFonts w:ascii="Times New Roman" w:cs="Times New Roman" w:eastAsia="Times New Roman" w:hAnsi="Times New Roman"/>
          <w:sz w:val="19"/>
          <w:szCs w:val="19"/>
          <w:color w:val="000000"/>
        </w:rPr>
        <w:t>, to the payment of any amounts owing to the Lenders</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7BB8"/>
        </w:rPr>
        <w:t>or</w:t>
      </w:r>
      <w:r>
        <w:rPr>
          <w:rFonts w:ascii="Times New Roman" w:cs="Times New Roman" w:eastAsia="Times New Roman" w:hAnsi="Times New Roman"/>
          <w:sz w:val="19"/>
          <w:szCs w:val="19"/>
          <w:color w:val="000000"/>
        </w:rPr>
        <w:t xml:space="preserve"> the Issuing Banks </w:t>
      </w:r>
      <w:r>
        <w:rPr>
          <w:rFonts w:ascii="Times New Roman" w:cs="Times New Roman" w:eastAsia="Times New Roman" w:hAnsi="Times New Roman"/>
          <w:sz w:val="19"/>
          <w:szCs w:val="19"/>
          <w:color w:val="FF0000"/>
          <w:strike w:val="1"/>
        </w:rPr>
        <w:t>or the Swingline Lenders</w:t>
      </w:r>
      <w:r>
        <w:rPr>
          <w:rFonts w:ascii="Times New Roman" w:cs="Times New Roman" w:eastAsia="Times New Roman" w:hAnsi="Times New Roman"/>
          <w:sz w:val="19"/>
          <w:szCs w:val="19"/>
          <w:color w:val="000000"/>
        </w:rPr>
        <w:t xml:space="preserve"> as a result of any judgment of a court of competent jurisdiction obtained by any Lender</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7BB8"/>
        </w:rPr>
        <w:t>or</w:t>
      </w:r>
      <w:r>
        <w:rPr>
          <w:rFonts w:ascii="Times New Roman" w:cs="Times New Roman" w:eastAsia="Times New Roman" w:hAnsi="Times New Roman"/>
          <w:sz w:val="19"/>
          <w:szCs w:val="19"/>
          <w:color w:val="000000"/>
        </w:rPr>
        <w:t xml:space="preserve"> any Issuing Bank </w:t>
      </w:r>
      <w:r>
        <w:rPr>
          <w:rFonts w:ascii="Times New Roman" w:cs="Times New Roman" w:eastAsia="Times New Roman" w:hAnsi="Times New Roman"/>
          <w:sz w:val="19"/>
          <w:szCs w:val="19"/>
          <w:color w:val="FF0000"/>
          <w:strike w:val="1"/>
        </w:rPr>
        <w:t>or any Swingline Lender</w:t>
      </w:r>
      <w:r>
        <w:rPr>
          <w:rFonts w:ascii="Times New Roman" w:cs="Times New Roman" w:eastAsia="Times New Roman" w:hAnsi="Times New Roman"/>
          <w:sz w:val="19"/>
          <w:szCs w:val="19"/>
          <w:color w:val="000000"/>
        </w:rPr>
        <w:t xml:space="preserve"> against such Defaulting Lender as a result of such Defaulting Lender’s breach of its obligations under this Agreement; </w:t>
      </w:r>
      <w:r>
        <w:rPr>
          <w:rFonts w:ascii="Times New Roman" w:cs="Times New Roman" w:eastAsia="Times New Roman" w:hAnsi="Times New Roman"/>
          <w:sz w:val="19"/>
          <w:szCs w:val="19"/>
          <w:u w:val="single" w:color="auto"/>
          <w:color w:val="000000"/>
        </w:rPr>
        <w:t>seventh</w:t>
      </w:r>
      <w:r>
        <w:rPr>
          <w:rFonts w:ascii="Times New Roman" w:cs="Times New Roman" w:eastAsia="Times New Roman" w:hAnsi="Times New Roman"/>
          <w:sz w:val="19"/>
          <w:szCs w:val="19"/>
          <w:color w:val="000000"/>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19"/>
          <w:szCs w:val="19"/>
          <w:u w:val="single" w:color="auto"/>
          <w:color w:val="000000"/>
        </w:rPr>
        <w:t>eighth</w:t>
      </w:r>
      <w:r>
        <w:rPr>
          <w:rFonts w:ascii="Times New Roman" w:cs="Times New Roman" w:eastAsia="Times New Roman" w:hAnsi="Times New Roman"/>
          <w:sz w:val="19"/>
          <w:szCs w:val="19"/>
          <w:color w:val="000000"/>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if (x) such payment is a payment of the principal amount of any Loans or amounts owing by such Defaulting Lender under Section 2.4.(j) in respect of Letters of Credit (such amounts “L/C Disbursements”), in respect of which such Defaulting Lender has not fully funded its appropriate share, and (y) such Loans were made or the related Letters of Credit were issued at a time when the conditions set forth in Article V.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Letter of Credit Liabilities </w:t>
      </w:r>
      <w:r>
        <w:rPr>
          <w:rFonts w:ascii="Times New Roman" w:cs="Times New Roman" w:eastAsia="Times New Roman" w:hAnsi="Times New Roman"/>
          <w:sz w:val="19"/>
          <w:szCs w:val="19"/>
          <w:color w:val="FF0000"/>
        </w:rPr>
        <w:t>and Swingline Loans</w:t>
      </w:r>
      <w:r>
        <w:rPr>
          <w:rFonts w:ascii="Times New Roman" w:cs="Times New Roman" w:eastAsia="Times New Roman" w:hAnsi="Times New Roman"/>
          <w:sz w:val="19"/>
          <w:szCs w:val="19"/>
          <w:color w:val="000000"/>
        </w:rPr>
        <w:t xml:space="preserve"> are held by the Lenders pro rata in accordance with their respective Revolving Commitment Percentages (determined without giving effect to the immediately following subsection (d)).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-1988185</wp:posOffset>
            </wp:positionV>
            <wp:extent cx="135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-1842135</wp:posOffset>
            </wp:positionV>
            <wp:extent cx="1447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44780" cy="8890"/>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-384810</wp:posOffset>
            </wp:positionV>
            <wp:extent cx="11747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80" w:hanging="424"/>
        <w:spacing w:after="0"/>
        <w:tabs>
          <w:tab w:leader="none" w:pos="108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693"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Defaulting Lender shall be entitled to receive any Fee payable under Section 3.5.(b) for any period during which that Lender is a Defaulting Lender and no Borrower shall be required to pay any such fee to a Defaulting Lender that otherwise would have been required to have been paid to that Defaulting Lender.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81" w:lineRule="auto"/>
        <w:tabs>
          <w:tab w:leader="none" w:pos="1755" w:val="left"/>
        </w:tabs>
        <w:numPr>
          <w:ilvl w:val="1"/>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Defaulting Lender that is a Revolving Lender shall be entitled to receive the Fee payable under Section 3.5.(e) for any period during which that Lender is a Defaulting Lender only to the extent allocable to its Revolving Commitment Percentage of the stated amount of Letters of Credit for which it has provided Cash Collateral pursuant to the immediately following subsection (e).</w:t>
      </w:r>
    </w:p>
    <w:p>
      <w:pPr>
        <w:spacing w:after="0" w:line="164"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849"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Fee not required to be paid to any Defaulting Lender that is a Revolving Lender pursuant to the immediately preceding clauses (i) or (ii), the Borrowers jointly and severally agree to (x) pay to each Non-Defaulting Lender that is a Revolving Lender that portion of any such Fee otherwise payable to such Defaulting Lender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- 77 -</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89" w:lineRule="exact"/>
        <w:rPr>
          <w:sz w:val="20"/>
          <w:szCs w:val="20"/>
          <w:color w:val="auto"/>
        </w:rPr>
      </w:pPr>
    </w:p>
    <w:p>
      <w:pPr>
        <w:jc w:val="both"/>
        <w:ind w:left="454"/>
        <w:spacing w:after="0" w:line="253" w:lineRule="auto"/>
        <w:rPr>
          <w:sz w:val="20"/>
          <w:szCs w:val="20"/>
          <w:color w:val="auto"/>
        </w:rPr>
      </w:pPr>
      <w:r>
        <w:rPr>
          <w:rFonts w:ascii="Times New Roman" w:cs="Times New Roman" w:eastAsia="Times New Roman" w:hAnsi="Times New Roman"/>
          <w:sz w:val="20"/>
          <w:szCs w:val="20"/>
          <w:color w:val="auto"/>
        </w:rPr>
        <w:t xml:space="preserve">Defaulting Lender’s participation in Letter of Credit Liabilities </w:t>
      </w:r>
      <w:r>
        <w:rPr>
          <w:rFonts w:ascii="Times New Roman" w:cs="Times New Roman" w:eastAsia="Times New Roman" w:hAnsi="Times New Roman"/>
          <w:sz w:val="20"/>
          <w:szCs w:val="20"/>
          <w:color w:val="FF0000"/>
          <w:strike w:val="1"/>
        </w:rPr>
        <w:t>or Swingline Loans</w:t>
      </w:r>
      <w:r>
        <w:rPr>
          <w:rFonts w:ascii="Times New Roman" w:cs="Times New Roman" w:eastAsia="Times New Roman" w:hAnsi="Times New Roman"/>
          <w:sz w:val="20"/>
          <w:szCs w:val="20"/>
          <w:color w:val="auto"/>
        </w:rPr>
        <w:t xml:space="preserve"> that has been reallocated to such Non-Defaulting Lender pursuant to the immediately following subsection (d), (y) pay to each Issuing Bank </w:t>
      </w:r>
      <w:r>
        <w:rPr>
          <w:rFonts w:ascii="Times New Roman" w:cs="Times New Roman" w:eastAsia="Times New Roman" w:hAnsi="Times New Roman"/>
          <w:sz w:val="20"/>
          <w:szCs w:val="20"/>
          <w:color w:val="FF0000"/>
        </w:rPr>
        <w:t>and each Swingline Lender, as applicable</w:t>
      </w:r>
      <w:r>
        <w:rPr>
          <w:rFonts w:ascii="Times New Roman" w:cs="Times New Roman" w:eastAsia="Times New Roman" w:hAnsi="Times New Roman"/>
          <w:sz w:val="20"/>
          <w:szCs w:val="20"/>
          <w:color w:val="auto"/>
        </w:rPr>
        <w:t xml:space="preserve">, the amount of any such Fee otherwise payable to such Defaulting Lender to the extent allocable to such Issuing Bank’s </w:t>
      </w:r>
      <w:r>
        <w:rPr>
          <w:rFonts w:ascii="Times New Roman" w:cs="Times New Roman" w:eastAsia="Times New Roman" w:hAnsi="Times New Roman"/>
          <w:sz w:val="20"/>
          <w:szCs w:val="20"/>
          <w:color w:val="FF0000"/>
          <w:strike w:val="1"/>
        </w:rPr>
        <w:t>or 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Lender’s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Fronting Exposure in respect of such Defaulting Lender, and the Borrowers shall not be required to pay the remaining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amount of any such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-531495</wp:posOffset>
            </wp:positionV>
            <wp:extent cx="21209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120900" cy="8890"/>
                    </a:xfrm>
                    <a:prstGeom prst="rect">
                      <a:avLst/>
                    </a:prstGeom>
                    <a:noFill/>
                  </pic:spPr>
                </pic:pic>
              </a:graphicData>
            </a:graphic>
          </wp:anchor>
        </w:drawing>
      </w:r>
    </w:p>
    <w:p>
      <w:pPr>
        <w:spacing w:after="0" w:line="172" w:lineRule="exact"/>
        <w:rPr>
          <w:sz w:val="20"/>
          <w:szCs w:val="20"/>
          <w:color w:val="auto"/>
        </w:rPr>
      </w:pPr>
    </w:p>
    <w:p>
      <w:pPr>
        <w:jc w:val="both"/>
        <w:ind w:left="-206" w:firstLine="656"/>
        <w:spacing w:after="0" w:line="266" w:lineRule="auto"/>
        <w:tabs>
          <w:tab w:leader="none" w:pos="871" w:val="left"/>
        </w:tabs>
        <w:numPr>
          <w:ilvl w:val="1"/>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Participations to Reduce Fronting Exposure</w:t>
      </w:r>
      <w:r>
        <w:rPr>
          <w:rFonts w:ascii="Times New Roman" w:cs="Times New Roman" w:eastAsia="Times New Roman" w:hAnsi="Times New Roman"/>
          <w:sz w:val="19"/>
          <w:szCs w:val="19"/>
          <w:color w:val="auto"/>
        </w:rPr>
        <w:t xml:space="preserve">. If such Defaulting Lender is a Revolving Lender, all or any part of such Defaulting Lender’s participation in Letter of Credit Liabilities </w:t>
      </w:r>
      <w:r>
        <w:rPr>
          <w:rFonts w:ascii="Times New Roman" w:cs="Times New Roman" w:eastAsia="Times New Roman" w:hAnsi="Times New Roman"/>
          <w:sz w:val="19"/>
          <w:szCs w:val="19"/>
          <w:color w:val="FF0000"/>
          <w:strike w:val="1"/>
        </w:rPr>
        <w:t>and Swingline Loans</w:t>
      </w:r>
      <w:r>
        <w:rPr>
          <w:rFonts w:ascii="Times New Roman" w:cs="Times New Roman" w:eastAsia="Times New Roman" w:hAnsi="Times New Roman"/>
          <w:sz w:val="19"/>
          <w:szCs w:val="19"/>
          <w:color w:val="auto"/>
        </w:rPr>
        <w:t xml:space="preserve"> that has not been funded by such Defaulting Lender shall be reallocated among the Non-Defaulting Lenders that are Revolving Lenders in accordance with their respective Revolving Commitment Percentages (determined without regard to such Defaulting Lender’s Revolving Commitment) but only to the extent that such reallocation does not cause the aggregate Credit Exposure of any Non-Defaulting Lender that is a Revolving Lender to exceed such Non-Defaulting Lender’s Revolving Commitment. Subject to Section 12.22., no reallocation hereunder shall constitute a waiver or release of any claim of any party hereunder against a Defaulting Lender arising from that Revolving Lender having become a Defaulting Lender, including any claim of a Non-Defaulting Lender as a result of such Non-Defaulting Lender’s increased exposure following such reallocation.</w:t>
      </w:r>
    </w:p>
    <w:p>
      <w:pPr>
        <w:spacing w:after="0" w:line="182" w:lineRule="exact"/>
        <w:rPr>
          <w:rFonts w:ascii="Times New Roman" w:cs="Times New Roman" w:eastAsia="Times New Roman" w:hAnsi="Times New Roman"/>
          <w:sz w:val="19"/>
          <w:szCs w:val="19"/>
          <w:color w:val="auto"/>
        </w:rPr>
      </w:pPr>
    </w:p>
    <w:p>
      <w:pPr>
        <w:ind w:left="874" w:hanging="424"/>
        <w:spacing w:after="0"/>
        <w:tabs>
          <w:tab w:leader="none" w:pos="874"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u w:val="single" w:color="auto"/>
          <w:color w:val="FF0000"/>
          <w:strike w:val="1"/>
        </w:rPr>
        <w:t>, Repayment of Swingline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54" w:firstLine="644"/>
        <w:spacing w:after="0" w:line="276" w:lineRule="auto"/>
        <w:tabs>
          <w:tab w:leader="none" w:pos="1487" w:val="left"/>
        </w:tabs>
        <w:numPr>
          <w:ilvl w:val="2"/>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reallocation described in the immediately preceding subsection (d) above cannot, or can only partially, be effected, the Borrowers jointly and severally agree, without prejudice to any right or remedy available to it hereunder or under law, </w:t>
      </w:r>
      <w:r>
        <w:rPr>
          <w:rFonts w:ascii="Times New Roman" w:cs="Times New Roman" w:eastAsia="Times New Roman" w:hAnsi="Times New Roman"/>
          <w:sz w:val="19"/>
          <w:szCs w:val="19"/>
          <w:color w:val="FF0000"/>
          <w:strike w:val="1"/>
        </w:rPr>
        <w:t>(x) first,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 xml:space="preserve">prepay Swingline Loans made to the Borrowers in an amount equal to the applicable Swingline Lender’s Fronting Exposure and (y) second, </w:t>
      </w:r>
      <w:r>
        <w:rPr>
          <w:rFonts w:ascii="Times New Roman" w:cs="Times New Roman" w:eastAsia="Times New Roman" w:hAnsi="Times New Roman"/>
          <w:sz w:val="19"/>
          <w:szCs w:val="19"/>
          <w:color w:val="000000"/>
          <w:strike w:val="1"/>
        </w:rPr>
        <w:t>to Cash Collateralize the Issuing Banks’ Fronting Exposure in accordance with the procedures set forth in this subsection.</w:t>
      </w:r>
    </w:p>
    <w:p>
      <w:pPr>
        <w:spacing w:after="0" w:line="169" w:lineRule="exact"/>
        <w:rPr>
          <w:rFonts w:ascii="Times New Roman" w:cs="Times New Roman" w:eastAsia="Times New Roman" w:hAnsi="Times New Roman"/>
          <w:sz w:val="19"/>
          <w:szCs w:val="19"/>
          <w:color w:val="auto"/>
        </w:rPr>
      </w:pPr>
    </w:p>
    <w:p>
      <w:pPr>
        <w:jc w:val="both"/>
        <w:ind w:left="454" w:firstLine="644"/>
        <w:spacing w:after="0" w:line="253" w:lineRule="auto"/>
        <w:tabs>
          <w:tab w:leader="none" w:pos="1542" w:val="left"/>
        </w:tabs>
        <w:numPr>
          <w:ilvl w:val="2"/>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that there shall exist a Defaulting Lender that is a Revolving Lender, within 2 Business Days following the written request of the Administrative Agent or the Issuing Banks (with a copy to the Administrative Agent), the Borrowers jointly and severally agree to Cash Collateralize the Issuing Banks’ Fronting Exposure with respect to such Defaulting Lender (determined after giving effect to the immediately preceding subsection (d) and any Cash Collateral provided by such Defaulting Lender) in an amount not less than the aggregate Fronting Exposure of the Issuing Banks with respect to Letters of Credit issued and outstanding at such time.</w:t>
      </w:r>
    </w:p>
    <w:p>
      <w:pPr>
        <w:spacing w:after="0" w:line="178" w:lineRule="exact"/>
        <w:rPr>
          <w:rFonts w:ascii="Times New Roman" w:cs="Times New Roman" w:eastAsia="Times New Roman" w:hAnsi="Times New Roman"/>
          <w:sz w:val="20"/>
          <w:szCs w:val="20"/>
          <w:color w:val="auto"/>
        </w:rPr>
      </w:pPr>
    </w:p>
    <w:p>
      <w:pPr>
        <w:jc w:val="both"/>
        <w:ind w:left="454" w:firstLine="644"/>
        <w:spacing w:after="0" w:line="266" w:lineRule="auto"/>
        <w:tabs>
          <w:tab w:leader="none" w:pos="1689" w:val="left"/>
        </w:tabs>
        <w:numPr>
          <w:ilvl w:val="2"/>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and to the extent provided by any Defaulting Lender that is a Revolving Lender, such Defaulting Lender, hereby grant to the Administrative Agent, for the benefit of the Issuing Banks, and agree to maintain, a first priority security interest in all such Cash Collateral as security for such Defaulting Lender’s obligation to fund participations in respect of Letter of Credit Liabilities, to be applied pursuant to the immediately following clause (iv). If at any time the Administrative Agent determines that Cash Collateral is subject to any right or claim of any Person other than the Administrative Agent and the Issuing Banks as herein provided, or that the total amount of such Cash Collateral is less than the aggregate Fronting Exposure of the Issuing Banks with respect to Letters of Credit issued and outstanding at such time, the Borrowers jointly and severally agree to promptly upon demand by the Administrative Agent, pay or provide to the Administrative Agent additional Cash Collateral in an amount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35" w:lineRule="exact"/>
        <w:rPr>
          <w:rFonts w:ascii="Times New Roman" w:cs="Times New Roman" w:eastAsia="Times New Roman" w:hAnsi="Times New Roman"/>
          <w:sz w:val="19"/>
          <w:szCs w:val="19"/>
          <w:color w:val="auto"/>
        </w:rPr>
      </w:pPr>
    </w:p>
    <w:p>
      <w:pPr>
        <w:ind w:left="114" w:hanging="114"/>
        <w:spacing w:after="0"/>
        <w:tabs>
          <w:tab w:leader="none" w:pos="11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78 -</w:t>
      </w:r>
    </w:p>
    <w:p>
      <w:pPr>
        <w:sectPr>
          <w:pgSz w:w="11900" w:h="16838" w:orient="portrait"/>
          <w:cols w:equalWidth="0" w:num="1">
            <w:col w:w="11034"/>
          </w:cols>
          <w:pgMar w:left="526" w:top="1440" w:right="339" w:bottom="1440" w:gutter="0" w:footer="0" w:header="0"/>
        </w:sectPr>
      </w:pPr>
    </w:p>
    <w:bookmarkStart w:id="415" w:name="page416"/>
    <w:bookmarkEnd w:id="415"/>
    <w:p>
      <w:pPr>
        <w:spacing w:after="0" w:line="189"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20"/>
          <w:szCs w:val="20"/>
          <w:color w:val="auto"/>
        </w:rPr>
        <w:t>sufficient to eliminate such deficiency (after giving effect to any Cash Collateral provided by the Defaulting Lender).</w:t>
      </w:r>
    </w:p>
    <w:p>
      <w:pPr>
        <w:spacing w:after="0" w:line="229" w:lineRule="exact"/>
        <w:rPr>
          <w:sz w:val="20"/>
          <w:szCs w:val="20"/>
          <w:color w:val="auto"/>
        </w:rPr>
      </w:pPr>
    </w:p>
    <w:p>
      <w:pPr>
        <w:jc w:val="both"/>
        <w:ind w:left="454" w:firstLine="644"/>
        <w:spacing w:after="0" w:line="253" w:lineRule="auto"/>
        <w:tabs>
          <w:tab w:leader="none" w:pos="1614"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Cash Collateral provided under this Section in respect of Letters of Credit shall be applied to the satisfaction of the Defaulting Lender’s obligation to fund participations in respect of Letter of Credit Liabilities (including, as to Cash Collateral provided by a Defaulting Lender, any interest accrued on such obligation) for which the Cash Collateral was so provided, prior to any other application of such property as may otherwise be provided for herein.</w:t>
      </w:r>
    </w:p>
    <w:p>
      <w:pPr>
        <w:spacing w:after="0" w:line="191" w:lineRule="exact"/>
        <w:rPr>
          <w:rFonts w:ascii="Times New Roman" w:cs="Times New Roman" w:eastAsia="Times New Roman" w:hAnsi="Times New Roman"/>
          <w:sz w:val="20"/>
          <w:szCs w:val="20"/>
          <w:color w:val="auto"/>
        </w:rPr>
      </w:pPr>
    </w:p>
    <w:p>
      <w:pPr>
        <w:jc w:val="both"/>
        <w:ind w:left="454" w:firstLine="644"/>
        <w:spacing w:after="0" w:line="251" w:lineRule="auto"/>
        <w:tabs>
          <w:tab w:leader="none" w:pos="1571"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Collateral (or the appropriate portion thereof) provided to reduce the Issuing Banks’ Fronting Exposure shall no longer be required to be held as Cash Collateral pursuant to this subsection following (x) the elimination of the applicable Fronting Exposure (including by the termination of Defaulting Lender status of the applicable Lender), or (y) the determination by the Administrative Agent and the Issuing Banks that there exists excess Cash Collateral; provided that, subject to the immediately preceding subsection (b), the Person providing Cash Collateral and the Issuing Banks may (but shall not be obligated to) agree that Cash Collateral shall be held to support future anticipated Fronting Exposure or other obligations and provided further that to the extent that such Cash Collateral was provided by the Borrowers, such Cash Collateral shall remain subject to the security interest granted pursuant to the Loan Documents.</w:t>
      </w:r>
    </w:p>
    <w:p>
      <w:pPr>
        <w:spacing w:after="0" w:line="181" w:lineRule="exact"/>
        <w:rPr>
          <w:rFonts w:ascii="Times New Roman" w:cs="Times New Roman" w:eastAsia="Times New Roman" w:hAnsi="Times New Roman"/>
          <w:sz w:val="20"/>
          <w:szCs w:val="20"/>
          <w:color w:val="auto"/>
        </w:rPr>
      </w:pPr>
    </w:p>
    <w:p>
      <w:pPr>
        <w:jc w:val="both"/>
        <w:ind w:left="-206" w:firstLine="656"/>
        <w:spacing w:after="0" w:line="251" w:lineRule="auto"/>
        <w:tabs>
          <w:tab w:leader="none" w:pos="878"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If the Borrower Representative and the Administrative Agent and in the case of a Defaulting Lender that is a Revolving Lender</w:t>
      </w:r>
      <w:r>
        <w:rPr>
          <w:rFonts w:ascii="Times New Roman" w:cs="Times New Roman" w:eastAsia="Times New Roman" w:hAnsi="Times New Roman"/>
          <w:sz w:val="20"/>
          <w:szCs w:val="20"/>
          <w:color w:val="FF0000"/>
          <w:strike w:val="1"/>
        </w:rPr>
        <w:t>, the Swingline Lenders</w:t>
      </w:r>
      <w:r>
        <w:rPr>
          <w:rFonts w:ascii="Times New Roman" w:cs="Times New Roman" w:eastAsia="Times New Roman" w:hAnsi="Times New Roman"/>
          <w:sz w:val="20"/>
          <w:szCs w:val="20"/>
          <w:color w:val="auto"/>
        </w:rPr>
        <w:t xml:space="preserve"> and the Issuing Banks,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applicable Class of the other applicable Lenders or take such other actions as the Administrative Agent may determine to be necessary to cause the Loans and funded and unfunded participations in Letters of Credit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Swingline Loans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to be held pro rata by the Lenders in accordance with their respective Revolving Commitment Percentages (determined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without giving effect to the immediately preceding subsection (d)), or pro rata share thereof, as applicable,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and subject to Section 12.22., no change hereunder from Defaulting Lender to Lender will constitute a waiver or release of any claim of any party hereunder arising from that Lender’s having been a Defaulting Lender.</w:t>
      </w:r>
    </w:p>
    <w:p>
      <w:pPr>
        <w:spacing w:after="0" w:line="178" w:lineRule="exact"/>
        <w:rPr>
          <w:rFonts w:ascii="Times New Roman" w:cs="Times New Roman" w:eastAsia="Times New Roman" w:hAnsi="Times New Roman"/>
          <w:sz w:val="20"/>
          <w:szCs w:val="20"/>
          <w:color w:val="auto"/>
        </w:rPr>
      </w:pPr>
    </w:p>
    <w:p>
      <w:pPr>
        <w:jc w:val="both"/>
        <w:ind w:left="-206" w:firstLine="656"/>
        <w:spacing w:after="0" w:line="258" w:lineRule="auto"/>
        <w:tabs>
          <w:tab w:leader="none" w:pos="925"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Swingline Loans/</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So long as any Revolving Lender is a Defaulting Lender, </w:t>
      </w:r>
      <w:r>
        <w:rPr>
          <w:rFonts w:ascii="Times New Roman" w:cs="Times New Roman" w:eastAsia="Times New Roman" w:hAnsi="Times New Roman"/>
          <w:sz w:val="20"/>
          <w:szCs w:val="20"/>
          <w:color w:val="FF0000"/>
          <w:strike w:val="1"/>
        </w:rPr>
        <w:t>(i) the Swingline Lenders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shall not be required to fund any Swingline Loans unless it is satisfied that it will have no Fronting Exposure after giving effect to such Swingline Loan and (ii) </w:t>
      </w:r>
      <w:r>
        <w:rPr>
          <w:rFonts w:ascii="Times New Roman" w:cs="Times New Roman" w:eastAsia="Times New Roman" w:hAnsi="Times New Roman"/>
          <w:sz w:val="20"/>
          <w:szCs w:val="20"/>
          <w:color w:val="000000"/>
          <w:strike w:val="1"/>
        </w:rPr>
        <w:t>the Issuing Banks shall not be required to issue, extend, renew or increase any Letter of Credit unless it is satisfied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that it will have no Fronting Exposure after giving effect thereto.</w:t>
      </w:r>
    </w:p>
    <w:p>
      <w:pPr>
        <w:spacing w:after="0" w:line="185" w:lineRule="exact"/>
        <w:rPr>
          <w:rFonts w:ascii="Times New Roman" w:cs="Times New Roman" w:eastAsia="Times New Roman" w:hAnsi="Times New Roman"/>
          <w:sz w:val="20"/>
          <w:szCs w:val="20"/>
          <w:color w:val="auto"/>
        </w:rPr>
      </w:pPr>
    </w:p>
    <w:p>
      <w:pPr>
        <w:jc w:val="both"/>
        <w:ind w:left="-206" w:firstLine="656"/>
        <w:spacing w:after="0" w:line="261" w:lineRule="auto"/>
        <w:tabs>
          <w:tab w:leader="none" w:pos="88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of Defaulting Lender’s Commitment</w:t>
      </w:r>
      <w:r>
        <w:rPr>
          <w:rFonts w:ascii="Times New Roman" w:cs="Times New Roman" w:eastAsia="Times New Roman" w:hAnsi="Times New Roman"/>
          <w:sz w:val="20"/>
          <w:szCs w:val="20"/>
          <w:color w:val="auto"/>
        </w:rPr>
        <w:t>. During any period that a Lender is a Defaulting Lender, the Borrowers may, by the Borrower Representative giving notice (which may be by telephone (promptly followed by a written notice), telecopy or electronic mail) thereof to the Administrative Agent, such Defaulting Lender and the other Lenders, demand that such Defaulting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79 -</w:t>
      </w:r>
    </w:p>
    <w:p>
      <w:pPr>
        <w:sectPr>
          <w:pgSz w:w="11900" w:h="16838" w:orient="portrait"/>
          <w:cols w:equalWidth="0" w:num="1">
            <w:col w:w="11034"/>
          </w:cols>
          <w:pgMar w:left="526" w:top="1440" w:right="339" w:bottom="1440" w:gutter="0" w:footer="0" w:header="0"/>
        </w:sectPr>
      </w:pPr>
    </w:p>
    <w:bookmarkStart w:id="416" w:name="page417"/>
    <w:bookmarkEnd w:id="416"/>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Lender assign its Revolving Commitment to an Eligible Assignee subject to and in accordance with the provisions of Section 12.5.(b). No party hereto shall have any obligation whatsoever to initiate any such replacement or to assist in finding an Eligible Assignee. In addition, any Lender who is not a Defaulting Lender may, but shall not be obligated, in its sole discretion, to acquire the face amount of all or a portion of such Defaulting Lender’s Revolving Commitment via an assignment subject to and in accordance with the provisions of Section 12.5.(b). In connection with any such assignment, such Defaulting Lender shall promptly execute all documents reasonably requested to effect such assignment, including an appropriate Assignment and Assumption and, notwithstanding Section 12.5.(b), shall pay to the Administrative Agent an assignment fee in the amount of $7,500; provided that the failure or unwillingness of such Defaulting Lender to execute the Assignment and Assumption and other necessary documents shall not prevent or delay such assignment and the Assignment and Assumption and other necessary documents shall be automatically deemed to be fully authorized and executed by the Defaulting Lender if such Defaulting Lender does not promptly execute all documents reasonably requested to effect such assignment (and, if such Lender fails to deliver any Notes held by it, such Notes shall automatically be deemed canceled and such Lender shall be required to indemnify the Borrowers for any liabilities incurred by the Borrowers by reason of the failure of such Lender to deliver such Notes). The exercise by the Borrowers of their rights under this Section shall be at the Borrowers’ sole cost and expense and at no cost or expense to the Administrative Agent or any of the other Lenders.</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3.10.</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firstLine="656"/>
        <w:spacing w:after="0" w:line="283" w:lineRule="auto"/>
        <w:tabs>
          <w:tab w:leader="none" w:pos="1133"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the term “Lender” includes the Issuing Banks and the term “Applicable Law” includes FATCA.</w:t>
      </w:r>
    </w:p>
    <w:p>
      <w:pPr>
        <w:spacing w:after="0" w:line="146" w:lineRule="exact"/>
        <w:rPr>
          <w:rFonts w:ascii="Times New Roman" w:cs="Times New Roman" w:eastAsia="Times New Roman" w:hAnsi="Times New Roman"/>
          <w:sz w:val="20"/>
          <w:szCs w:val="20"/>
          <w:color w:val="auto"/>
        </w:rPr>
      </w:pPr>
    </w:p>
    <w:p>
      <w:pPr>
        <w:jc w:val="both"/>
        <w:ind w:firstLine="656"/>
        <w:spacing w:after="0" w:line="252" w:lineRule="auto"/>
        <w:tabs>
          <w:tab w:leader="none" w:pos="1130"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27"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w:t>
      </w:r>
      <w:r>
        <w:rPr>
          <w:rFonts w:ascii="Times New Roman" w:cs="Times New Roman" w:eastAsia="Times New Roman" w:hAnsi="Times New Roman"/>
          <w:sz w:val="20"/>
          <w:szCs w:val="20"/>
          <w:color w:val="auto"/>
        </w:rPr>
        <w:t>. The Borrowers and the other Loan Parties shall timely pay to the relevant Governmental Authority in accordance with Applicable Law, or at the option of the Administrative Agent timely reimburse it for the payment of, any Other Taxes.</w:t>
      </w:r>
    </w:p>
    <w:p>
      <w:pPr>
        <w:spacing w:after="0" w:line="16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25"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Borrowers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80 -</w:t>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Borrower Representative by a Lender (with a copy to the Administrative Agent), or by the Administrative Agent on its own behalf or on behalf of a Lender, shall be conclusive absent manifest error.</w:t>
      </w:r>
    </w:p>
    <w:p>
      <w:pPr>
        <w:spacing w:after="0" w:line="146" w:lineRule="exact"/>
        <w:rPr>
          <w:sz w:val="20"/>
          <w:szCs w:val="20"/>
          <w:color w:val="auto"/>
        </w:rPr>
      </w:pPr>
    </w:p>
    <w:p>
      <w:pPr>
        <w:jc w:val="both"/>
        <w:ind w:firstLine="656"/>
        <w:spacing w:after="0" w:line="250" w:lineRule="auto"/>
        <w:tabs>
          <w:tab w:leader="none" w:pos="1079"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10 days after demand therefor, for (i) any Indemnified Taxes attributable to such Lender (but only to the extent that a Borrower or another Loan Party has not already indemnified the Administrative Agent for such Indemnified Taxes and without limiting the obligation of the Borrowers and the other Loan Parties to do so), (ii) any Taxes attributable to such Lender’s failure to comply with the provisions of Section 12.5.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subsection.</w:t>
      </w:r>
    </w:p>
    <w:p>
      <w:pPr>
        <w:spacing w:after="0" w:line="19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79"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Taxes by a Borrower or any other Loan Party to a Governmental Authority pursuant to this Section, the Borrower Representative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00" w:val="left"/>
        </w:tabs>
        <w:numPr>
          <w:ilvl w:val="2"/>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20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2"/>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ind w:left="1300" w:firstLine="652"/>
        <w:spacing w:after="0" w:line="310" w:lineRule="auto"/>
        <w:tabs>
          <w:tab w:leader="none" w:pos="2433" w:val="left"/>
        </w:tabs>
        <w:numPr>
          <w:ilvl w:val="3"/>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shall deliver to the Borrower Representative and the Administrative Agent on or prior to the date on which such Lender becomes a Lender under this Agreement (and from time to time thereafter upon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90" w:lineRule="exact"/>
        <w:rPr>
          <w:rFonts w:ascii="Times New Roman" w:cs="Times New Roman" w:eastAsia="Times New Roman" w:hAnsi="Times New Roman"/>
          <w:sz w:val="19"/>
          <w:szCs w:val="19"/>
          <w:color w:val="auto"/>
        </w:rPr>
      </w:pPr>
    </w:p>
    <w:p>
      <w:pPr>
        <w:ind w:left="320" w:hanging="114"/>
        <w:spacing w:after="0"/>
        <w:tabs>
          <w:tab w:leader="none" w:pos="32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81 -</w:t>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189" w:lineRule="exact"/>
        <w:rPr>
          <w:sz w:val="20"/>
          <w:szCs w:val="20"/>
          <w:color w:val="auto"/>
        </w:rPr>
      </w:pPr>
    </w:p>
    <w:p>
      <w:pPr>
        <w:jc w:val="both"/>
        <w:ind w:left="1100"/>
        <w:spacing w:after="0" w:line="261" w:lineRule="auto"/>
        <w:rPr>
          <w:sz w:val="20"/>
          <w:szCs w:val="20"/>
          <w:color w:val="auto"/>
        </w:rPr>
      </w:pPr>
      <w:r>
        <w:rPr>
          <w:rFonts w:ascii="Times New Roman" w:cs="Times New Roman" w:eastAsia="Times New Roman" w:hAnsi="Times New Roman"/>
          <w:sz w:val="20"/>
          <w:szCs w:val="20"/>
          <w:color w:val="auto"/>
        </w:rPr>
        <w:t>the reasonable request of the Borrower Representative or the Administrative Agent), an electronic copy (or an original if requested by the Borrower Representative or the Administrative Agent) of an executed IRS Form W-9 (or any successor form) certifying that such Lender is exempt from U.S. federal backup withholding tax;</w:t>
      </w:r>
    </w:p>
    <w:p>
      <w:pPr>
        <w:spacing w:after="0" w:line="181" w:lineRule="exact"/>
        <w:rPr>
          <w:sz w:val="20"/>
          <w:szCs w:val="20"/>
          <w:color w:val="auto"/>
        </w:rPr>
      </w:pPr>
    </w:p>
    <w:p>
      <w:pPr>
        <w:jc w:val="both"/>
        <w:ind w:left="1100" w:firstLine="652"/>
        <w:spacing w:after="0" w:line="258" w:lineRule="auto"/>
        <w:tabs>
          <w:tab w:leader="none" w:pos="221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72" w:lineRule="exact"/>
        <w:rPr>
          <w:rFonts w:ascii="Times New Roman" w:cs="Times New Roman" w:eastAsia="Times New Roman" w:hAnsi="Times New Roman"/>
          <w:sz w:val="20"/>
          <w:szCs w:val="20"/>
          <w:color w:val="auto"/>
        </w:rPr>
      </w:pPr>
    </w:p>
    <w:p>
      <w:pPr>
        <w:jc w:val="both"/>
        <w:ind w:left="1760" w:firstLine="640"/>
        <w:spacing w:after="0" w:line="253" w:lineRule="auto"/>
        <w:tabs>
          <w:tab w:leader="none" w:pos="2813"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an electronic copy (or an original if requested by the Borrower Representative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79" w:lineRule="exact"/>
        <w:rPr>
          <w:sz w:val="20"/>
          <w:szCs w:val="20"/>
          <w:color w:val="auto"/>
        </w:rPr>
      </w:pPr>
    </w:p>
    <w:p>
      <w:pPr>
        <w:ind w:left="1760" w:right="20" w:firstLine="640"/>
        <w:spacing w:after="0" w:line="283" w:lineRule="auto"/>
        <w:tabs>
          <w:tab w:leader="none" w:pos="2923"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electronic copy (or an original if requested by the Borrower Representative or the Administrative Agent) of an executed IRS Form W-8ECI;</w:t>
      </w:r>
    </w:p>
    <w:p>
      <w:pPr>
        <w:spacing w:after="0" w:line="160" w:lineRule="exact"/>
        <w:rPr>
          <w:sz w:val="20"/>
          <w:szCs w:val="20"/>
          <w:color w:val="auto"/>
        </w:rPr>
      </w:pPr>
    </w:p>
    <w:p>
      <w:pPr>
        <w:jc w:val="both"/>
        <w:ind w:left="1760" w:firstLine="640"/>
        <w:spacing w:after="0" w:line="251" w:lineRule="auto"/>
        <w:tabs>
          <w:tab w:leader="none" w:pos="301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Internal Revenue Code, (x) a certificate substantially in the form of Exhibit T-1 to the effect that such Foreign Lender is not a “bank” within the meaning of Section 881(c)(3)(A) of the Internal Revenue Code, a “10 percent shareholder” of any Borrower within the meaning of Section 881(c)(3)(B) of the Internal Revenue Code, or a “controlled foreign corporation” described in Section 881(c)(3)(C) of the Internal Revenue Code (a “U.S. Tax Compliance Certificate”) and (y) an electronic copy (or an original if requested by the Borrower Representative or the Administrative Agent) of IRS Form W-8BEN or W-8BEN-E, as applicable; or</w:t>
      </w:r>
    </w:p>
    <w:p>
      <w:pPr>
        <w:spacing w:after="0" w:line="193" w:lineRule="exact"/>
        <w:rPr>
          <w:sz w:val="20"/>
          <w:szCs w:val="20"/>
          <w:color w:val="auto"/>
        </w:rPr>
      </w:pPr>
    </w:p>
    <w:p>
      <w:pPr>
        <w:jc w:val="both"/>
        <w:ind w:left="1760" w:firstLine="648"/>
        <w:spacing w:after="0" w:line="251" w:lineRule="auto"/>
        <w:rPr>
          <w:sz w:val="20"/>
          <w:szCs w:val="20"/>
          <w:color w:val="auto"/>
        </w:rPr>
      </w:pPr>
      <w:r>
        <w:rPr>
          <w:rFonts w:ascii="Times New Roman" w:cs="Times New Roman" w:eastAsia="Times New Roman" w:hAnsi="Times New Roman"/>
          <w:sz w:val="20"/>
          <w:szCs w:val="20"/>
          <w:color w:val="auto"/>
        </w:rPr>
        <w:t>(IV) to the extent a Foreign Lender is not the beneficial owner, an electronic copy (or an original if requested by the Borrower Representative or the Administrative Agent) of an executed IRS Form W-8IMY, accompanied by IRS Form W-8ECI, IRS Form W-8BEN or W-8BEN-E, as applicable, a U.S. Tax Compliance Certificate substantially in the form of Exhibit T-2 or Exhibit T-3,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T-4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- 82 -</w:t>
      </w:r>
    </w:p>
    <w:p>
      <w:pPr>
        <w:sectPr>
          <w:pgSz w:w="11900" w:h="16838" w:orient="portrait"/>
          <w:cols w:equalWidth="0" w:num="1">
            <w:col w:w="11040"/>
          </w:cols>
          <w:pgMar w:left="520" w:top="1440" w:right="339" w:bottom="1440" w:gutter="0" w:footer="0" w:header="0"/>
        </w:sectPr>
      </w:pPr>
    </w:p>
    <w:bookmarkStart w:id="419" w:name="page420"/>
    <w:bookmarkEnd w:id="419"/>
    <w:p>
      <w:pPr>
        <w:spacing w:after="0" w:line="189" w:lineRule="exact"/>
        <w:rPr>
          <w:sz w:val="20"/>
          <w:szCs w:val="20"/>
          <w:color w:val="auto"/>
        </w:rPr>
      </w:pPr>
    </w:p>
    <w:p>
      <w:pPr>
        <w:jc w:val="both"/>
        <w:ind w:left="1300" w:firstLine="652"/>
        <w:spacing w:after="0" w:line="251" w:lineRule="auto"/>
        <w:tabs>
          <w:tab w:leader="none" w:pos="241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an electronic copy (or an original if requested by the Borrower Representative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95"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472"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Representative and the Administrative Agent at the time or times prescribed by Applicable Law and at such time or times reasonably requested by the Borrower Representative or the Administrative Agent such documentation prescribed by Applicable Law (including as prescribed by Section 1471(b)(3)(C)(i) of the Internal Revenue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81" w:lineRule="exact"/>
        <w:rPr>
          <w:sz w:val="20"/>
          <w:szCs w:val="20"/>
          <w:color w:val="auto"/>
        </w:rPr>
      </w:pPr>
    </w:p>
    <w:p>
      <w:pPr>
        <w:jc w:val="both"/>
        <w:ind w:firstLine="656"/>
        <w:spacing w:after="0" w:line="250" w:lineRule="auto"/>
        <w:tabs>
          <w:tab w:leader="none" w:pos="1076"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any indemnified party be required to pay any amount to an indemnifying party pursuant to this subsection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83 -</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deems confidential) to the indemnifying party or any other Person or to apply for, seek or pursue any refund on behalf of the indemnifying party.</w:t>
      </w:r>
    </w:p>
    <w:p>
      <w:pPr>
        <w:spacing w:after="0" w:line="146" w:lineRule="exact"/>
        <w:rPr>
          <w:sz w:val="20"/>
          <w:szCs w:val="20"/>
          <w:color w:val="auto"/>
        </w:rPr>
      </w:pPr>
    </w:p>
    <w:p>
      <w:pPr>
        <w:jc w:val="both"/>
        <w:ind w:left="660" w:firstLine="644"/>
        <w:spacing w:after="0" w:line="261" w:lineRule="auto"/>
        <w:tabs>
          <w:tab w:leader="none" w:pos="172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FF0000"/>
          <w:strike w:val="1"/>
        </w:rPr>
        <w:t>Section 3.11.</w:t>
      </w:r>
      <w:r>
        <w:rPr>
          <w:sz w:val="20"/>
          <w:szCs w:val="20"/>
          <w:color w:val="auto"/>
        </w:rPr>
        <w:tab/>
      </w:r>
      <w:r>
        <w:rPr>
          <w:rFonts w:ascii="Times New Roman" w:cs="Times New Roman" w:eastAsia="Times New Roman" w:hAnsi="Times New Roman"/>
          <w:sz w:val="19"/>
          <w:szCs w:val="19"/>
          <w:b w:val="1"/>
          <w:bCs w:val="1"/>
          <w:color w:val="FF0000"/>
          <w:strike w:val="1"/>
        </w:rPr>
        <w:t>Sustainability Pricing</w:t>
      </w:r>
      <w:r>
        <w:rPr>
          <w:rFonts w:ascii="Times New Roman" w:cs="Times New Roman" w:eastAsia="Times New Roman" w:hAnsi="Times New Roman"/>
          <w:sz w:val="19"/>
          <w:szCs w:val="19"/>
          <w:color w:val="FF0000"/>
          <w:strike w:val="1"/>
        </w:rPr>
        <w:t>.</w:t>
      </w:r>
    </w:p>
    <w:p>
      <w:pPr>
        <w:spacing w:after="0" w:line="233" w:lineRule="exact"/>
        <w:rPr>
          <w:sz w:val="20"/>
          <w:szCs w:val="20"/>
          <w:color w:val="auto"/>
        </w:rPr>
      </w:pPr>
    </w:p>
    <w:p>
      <w:pPr>
        <w:jc w:val="both"/>
        <w:ind w:firstLine="656"/>
        <w:spacing w:after="0" w:line="254" w:lineRule="auto"/>
        <w:tabs>
          <w:tab w:leader="none" w:pos="1113" w:val="left"/>
        </w:tabs>
        <w:numPr>
          <w:ilvl w:val="0"/>
          <w:numId w:val="27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It is understood and agreed that the Applicable Margin will never be reduced by more than 0.02% pursuant to the Applicable Sustainability Adjustment during any Reference Year. </w:t>
      </w:r>
      <w:r>
        <w:rPr>
          <w:rFonts w:ascii="Times New Roman" w:cs="Times New Roman" w:eastAsia="Times New Roman" w:hAnsi="Times New Roman"/>
          <w:sz w:val="20"/>
          <w:szCs w:val="20"/>
          <w:color w:val="00B050"/>
          <w:strike w:val="1"/>
        </w:rPr>
        <w:t>For the avoidance of doubt</w:t>
      </w:r>
      <w:r>
        <w:rPr>
          <w:rFonts w:ascii="Times New Roman" w:cs="Times New Roman" w:eastAsia="Times New Roman" w:hAnsi="Times New Roman"/>
          <w:sz w:val="20"/>
          <w:szCs w:val="20"/>
          <w:color w:val="FF0000"/>
          <w:strike w:val="1"/>
        </w:rPr>
        <w:t xml:space="preserve">, any adjustment to the Applicable Margin by reason of meeting one or several Sustainability Ratings or Sustainability Rating Change in any year </w:t>
      </w:r>
      <w:r>
        <w:rPr>
          <w:rFonts w:ascii="Times New Roman" w:cs="Times New Roman" w:eastAsia="Times New Roman" w:hAnsi="Times New Roman"/>
          <w:sz w:val="20"/>
          <w:szCs w:val="20"/>
          <w:color w:val="00B050"/>
          <w:strike w:val="1"/>
        </w:rPr>
        <w:t>shall not be cumulative year over year.</w:t>
      </w:r>
      <w:r>
        <w:rPr>
          <w:rFonts w:ascii="Times New Roman" w:cs="Times New Roman" w:eastAsia="Times New Roman" w:hAnsi="Times New Roman"/>
          <w:sz w:val="20"/>
          <w:szCs w:val="20"/>
          <w:color w:val="FF0000"/>
          <w:strike w:val="1"/>
        </w:rPr>
        <w:t xml:space="preserve"> Each applicable adjustment </w:t>
      </w:r>
      <w:r>
        <w:rPr>
          <w:rFonts w:ascii="Times New Roman" w:cs="Times New Roman" w:eastAsia="Times New Roman" w:hAnsi="Times New Roman"/>
          <w:sz w:val="20"/>
          <w:szCs w:val="20"/>
          <w:color w:val="00B050"/>
          <w:strike w:val="1"/>
        </w:rPr>
        <w:t>shall only apply until the date on which the next adjustment is due to take place.</w:t>
      </w:r>
    </w:p>
    <w:p>
      <w:pPr>
        <w:spacing w:after="0" w:line="187" w:lineRule="exact"/>
        <w:rPr>
          <w:rFonts w:ascii="Times New Roman" w:cs="Times New Roman" w:eastAsia="Times New Roman" w:hAnsi="Times New Roman"/>
          <w:sz w:val="20"/>
          <w:szCs w:val="20"/>
          <w:color w:val="FF0000"/>
          <w:strike w:val="1"/>
        </w:rPr>
      </w:pPr>
    </w:p>
    <w:p>
      <w:pPr>
        <w:jc w:val="both"/>
        <w:ind w:firstLine="656"/>
        <w:spacing w:after="0" w:line="264" w:lineRule="auto"/>
        <w:tabs>
          <w:tab w:leader="none" w:pos="1116" w:val="left"/>
        </w:tabs>
        <w:numPr>
          <w:ilvl w:val="0"/>
          <w:numId w:val="278"/>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If (i)(A) any Borrower or any Lender becomes aware of any material inaccuracy in the Applicable Sustainability Adjustment, the Sustainability Ratings or the Sustainability Rating Change as reported in a Compliance Certificate (any such material inaccuracy, a “Sustainability Certification Inaccuracy”) and, in the case of any Lender, such Lender delivers, not later than 10 Business Days after obtaining knowledge thereof, a written notice to the Sustainability Agent describing such Sustainability Certification Inaccuracy in reasonable detail (which description shall be shared with each Lender and the Parent), or (B) the Borrowers and the Lenders agree that there was a Sustainability Certification Inaccuracy at the time of delivery of a Compliance Certificate, and (ii) a proper calculation of the Applicable Sustainability Adjustment, the Sustainability Ratings or the Sustainability Rating Change would have resulted in no adjustment in the Applicable Margin for any period, the Borrowers shall be obligated to pay to the Administrative Agent for the account of the applicable Lenders promptly on demand by the Administrative Agent (or, after the occurrence of an actual or deemed entry of an order for relief with respect to any Borrower under the Bankruptcy Code (or any comparable event under non U.S. Debtor Relief Laws), automatically and without further action by the </w:t>
      </w:r>
      <w:r>
        <w:rPr>
          <w:rFonts w:ascii="Times New Roman" w:cs="Times New Roman" w:eastAsia="Times New Roman" w:hAnsi="Times New Roman"/>
          <w:sz w:val="19"/>
          <w:szCs w:val="19"/>
          <w:color w:val="00B050"/>
          <w:strike w:val="1"/>
        </w:rPr>
        <w:t>Administrative Agent or any Lender</w:t>
      </w:r>
      <w:r>
        <w:rPr>
          <w:rFonts w:ascii="Times New Roman" w:cs="Times New Roman" w:eastAsia="Times New Roman" w:hAnsi="Times New Roman"/>
          <w:sz w:val="19"/>
          <w:szCs w:val="19"/>
          <w:color w:val="FF0000"/>
          <w:strike w:val="1"/>
        </w:rPr>
        <w:t>), but in any event within 10 Business Days after the Parent has received written notice of, or has agreed in writing that there was, a Sustainability Certification Inaccuracy, an amount equal to the excess of (1) the amount of interest and fees that should have been paid for such period over (2) the amount of interest and fees actually paid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6830695</wp:posOffset>
            </wp:positionH>
            <wp:positionV relativeFrom="paragraph">
              <wp:posOffset>-2337435</wp:posOffset>
            </wp:positionV>
            <wp:extent cx="2997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FF0000"/>
          <w:strike w:val="1"/>
        </w:rPr>
        <w:t>It is understood and agreed that any Sustainability Certification Inaccuracy shall not constitute a Default or Event of Default or otherwise result in the failure of any condition precedent to any Borrowing or the issuance of any Letter of Credit; provided, that, the Borrowers comply with the terms of this Section with respect to such Sustainability Certification Inaccuracy.</w:t>
      </w:r>
    </w:p>
    <w:p>
      <w:pPr>
        <w:spacing w:after="0" w:line="168" w:lineRule="exact"/>
        <w:rPr>
          <w:sz w:val="20"/>
          <w:szCs w:val="20"/>
          <w:color w:val="auto"/>
        </w:rPr>
      </w:pPr>
    </w:p>
    <w:p>
      <w:pPr>
        <w:jc w:val="both"/>
        <w:ind w:firstLine="656"/>
        <w:spacing w:after="0" w:line="276" w:lineRule="auto"/>
        <w:tabs>
          <w:tab w:leader="none" w:pos="1072" w:val="left"/>
        </w:tabs>
        <w:numPr>
          <w:ilvl w:val="1"/>
          <w:numId w:val="279"/>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Each party hereto hereby agrees that neither the Sustainability Agent nor the Administrative Agent shall have any responsibility for (or liability in respect of) reviewing, auditing or otherwise evaluating any calculation by any Borrower of any Applicable Sustainability Adjustment (or any of the data or computations that are part of or related to any such calculation) set forth in any Compliance Certificate (and the Sustainability </w:t>
      </w:r>
      <w:r>
        <w:rPr>
          <w:rFonts w:ascii="Times New Roman" w:cs="Times New Roman" w:eastAsia="Times New Roman" w:hAnsi="Times New Roman"/>
          <w:sz w:val="19"/>
          <w:szCs w:val="19"/>
          <w:color w:val="00B050"/>
          <w:strike w:val="1"/>
        </w:rPr>
        <w:t>Agent, the Administrative Agent and the Lenders</w:t>
      </w:r>
      <w:r>
        <w:rPr>
          <w:rFonts w:ascii="Times New Roman" w:cs="Times New Roman" w:eastAsia="Times New Roman" w:hAnsi="Times New Roman"/>
          <w:sz w:val="19"/>
          <w:szCs w:val="19"/>
          <w:color w:val="FF0000"/>
          <w:strike w:val="1"/>
        </w:rPr>
        <w:t xml:space="preserve"> may rely conclusively on any such certificate, without further inquiry).</w:t>
      </w:r>
    </w:p>
    <w:p>
      <w:pPr>
        <w:spacing w:after="0" w:line="200" w:lineRule="exact"/>
        <w:rPr>
          <w:rFonts w:ascii="Times New Roman" w:cs="Times New Roman" w:eastAsia="Times New Roman" w:hAnsi="Times New Roman"/>
          <w:sz w:val="19"/>
          <w:szCs w:val="19"/>
          <w:color w:val="FF0000"/>
          <w:strike w:val="1"/>
        </w:rPr>
      </w:pPr>
    </w:p>
    <w:p>
      <w:pPr>
        <w:spacing w:after="0" w:line="200" w:lineRule="exact"/>
        <w:rPr>
          <w:rFonts w:ascii="Times New Roman" w:cs="Times New Roman" w:eastAsia="Times New Roman" w:hAnsi="Times New Roman"/>
          <w:sz w:val="19"/>
          <w:szCs w:val="19"/>
          <w:color w:val="FF0000"/>
          <w:strike w:val="1"/>
        </w:rPr>
      </w:pPr>
    </w:p>
    <w:p>
      <w:pPr>
        <w:spacing w:after="0" w:line="200" w:lineRule="exact"/>
        <w:rPr>
          <w:rFonts w:ascii="Times New Roman" w:cs="Times New Roman" w:eastAsia="Times New Roman" w:hAnsi="Times New Roman"/>
          <w:sz w:val="19"/>
          <w:szCs w:val="19"/>
          <w:color w:val="FF0000"/>
          <w:strike w:val="1"/>
        </w:rPr>
      </w:pPr>
    </w:p>
    <w:p>
      <w:pPr>
        <w:spacing w:after="0" w:line="200" w:lineRule="exact"/>
        <w:rPr>
          <w:rFonts w:ascii="Times New Roman" w:cs="Times New Roman" w:eastAsia="Times New Roman" w:hAnsi="Times New Roman"/>
          <w:sz w:val="19"/>
          <w:szCs w:val="19"/>
          <w:color w:val="FF0000"/>
          <w:strike w:val="1"/>
        </w:rPr>
      </w:pPr>
    </w:p>
    <w:p>
      <w:pPr>
        <w:spacing w:after="0" w:line="200" w:lineRule="exact"/>
        <w:rPr>
          <w:rFonts w:ascii="Times New Roman" w:cs="Times New Roman" w:eastAsia="Times New Roman" w:hAnsi="Times New Roman"/>
          <w:sz w:val="19"/>
          <w:szCs w:val="19"/>
          <w:color w:val="FF0000"/>
          <w:strike w:val="1"/>
        </w:rPr>
      </w:pPr>
    </w:p>
    <w:p>
      <w:pPr>
        <w:spacing w:after="0" w:line="222" w:lineRule="exact"/>
        <w:rPr>
          <w:rFonts w:ascii="Times New Roman" w:cs="Times New Roman" w:eastAsia="Times New Roman" w:hAnsi="Times New Roman"/>
          <w:sz w:val="19"/>
          <w:szCs w:val="19"/>
          <w:color w:val="FF0000"/>
          <w:strike w:val="1"/>
        </w:rPr>
      </w:pPr>
    </w:p>
    <w:p>
      <w:pPr>
        <w:ind w:left="320" w:hanging="114"/>
        <w:spacing w:after="0"/>
        <w:tabs>
          <w:tab w:leader="none" w:pos="32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84 -</w:t>
      </w:r>
    </w:p>
    <w:p>
      <w:pPr>
        <w:sectPr>
          <w:pgSz w:w="11900" w:h="16838" w:orient="portrait"/>
          <w:cols w:equalWidth="0" w:num="1">
            <w:col w:w="11240"/>
          </w:cols>
          <w:pgMar w:left="320" w:top="1440" w:right="339" w:bottom="1440" w:gutter="0" w:footer="0" w:header="0"/>
        </w:sectPr>
      </w:pPr>
    </w:p>
    <w:bookmarkStart w:id="421" w:name="page422"/>
    <w:bookmarkEnd w:id="421"/>
    <w:p>
      <w:pPr>
        <w:spacing w:after="0" w:line="18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ARTICLE IV. YIELD PROTECTION, ETC.</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4.1.</w:t>
      </w:r>
      <w:r>
        <w:rPr>
          <w:sz w:val="20"/>
          <w:szCs w:val="20"/>
          <w:color w:val="auto"/>
        </w:rPr>
        <w:tab/>
      </w:r>
      <w:r>
        <w:rPr>
          <w:rFonts w:ascii="Times New Roman" w:cs="Times New Roman" w:eastAsia="Times New Roman" w:hAnsi="Times New Roman"/>
          <w:sz w:val="19"/>
          <w:szCs w:val="19"/>
          <w:b w:val="1"/>
          <w:bCs w:val="1"/>
          <w:color w:val="auto"/>
        </w:rPr>
        <w:t>Additional Costs; Capital Adequacy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2" w:lineRule="auto"/>
        <w:tabs>
          <w:tab w:leader="none" w:pos="1079"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Adequacy</w:t>
      </w:r>
      <w:r>
        <w:rPr>
          <w:rFonts w:ascii="Times New Roman" w:cs="Times New Roman" w:eastAsia="Times New Roman" w:hAnsi="Times New Roman"/>
          <w:sz w:val="20"/>
          <w:szCs w:val="20"/>
          <w:color w:val="auto"/>
        </w:rPr>
        <w:t>. If any Lender or any Participant determines that, as the result of a Regulatory Change, compliance with any law or regulation or with any guideline or request from any central bank or other Governmental Authority (whether or not having the force of law) affects or would affect the amount of capital or liquidity required or expected to be maintained by such Lender or such Participant, or any corporation controlling such Lender or such Participant, as a consequence of, or with reference to, such Lender’s Commitments or its making or maintaining Loans or participating in Letters of Credit below the rate which such Lender or such Participant or such corporation controlling such Lender or such Participant could have achieved but for such compliance (taking into account the policies of such Lender or such Participant or such corporation with regard to capital), then from time to time, within thirty (30) days after written demand by such Lender or such Participant, the Borrowers jointly and severally agree to pay to such Lender or such Participant additional amounts sufficient to compensate such Lender or such Participant or such corporation controlling such Lender or such Participant to the extent that such Lender or such Participant determines such increase in capital is allocable to such Lender’s or such Participant’s obligations hereunder.</w:t>
      </w:r>
    </w:p>
    <w:p>
      <w:pPr>
        <w:spacing w:after="0" w:line="177" w:lineRule="exact"/>
        <w:rPr>
          <w:rFonts w:ascii="Times New Roman" w:cs="Times New Roman" w:eastAsia="Times New Roman" w:hAnsi="Times New Roman"/>
          <w:sz w:val="20"/>
          <w:szCs w:val="20"/>
          <w:color w:val="auto"/>
        </w:rPr>
      </w:pPr>
    </w:p>
    <w:p>
      <w:pPr>
        <w:jc w:val="both"/>
        <w:ind w:firstLine="656"/>
        <w:spacing w:after="0" w:line="249" w:lineRule="auto"/>
        <w:tabs>
          <w:tab w:leader="none" w:pos="1184"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Costs</w:t>
      </w:r>
      <w:r>
        <w:rPr>
          <w:rFonts w:ascii="Times New Roman" w:cs="Times New Roman" w:eastAsia="Times New Roman" w:hAnsi="Times New Roman"/>
          <w:sz w:val="20"/>
          <w:szCs w:val="20"/>
          <w:color w:val="auto"/>
        </w:rPr>
        <w:t>. In addition to and not in limitation of the immediately preceding subsection, the Borrowers jointly and severally agree to pay promptly to the Administrative Agent for the account of a Lender from time to time such amounts as such Lender may determine to be necessary to compensate such Lender for any costs incurred by such Lender that it determines are attributable to its making or maintaining of any Loans or its obligation to make any Loans hereunder, any reduction in any amount receivable by such Lender under this Agreement or any of the other Loan Documents in respect of any of such Loans or such obligation or the maintenance by such Lender of capital in respect of its Loans or its Commitments (such increases in costs and reductions in amounts receivable being herein called “Additional Costs”), resulting from any Regulatory Change that: (i) changes the basis of taxation of any amounts payable to such Lender under this Agreement or any of the other Loan Documents in respect of any of such Loans or its Commitments (other than Indemnified Taxes, Taxes described in clauses (b) through (d) of the definition of Excluded Taxes, and Connection Income Taxes), or (ii) imposes or modifies any reserve, special deposit, liquidity or similar requirements (including pursuant to regulations issued from time to time by the FRB for determining the maximum reserve requirement) relating to any extensions of credit or other assets of, or any deposits with or other liabilities of, or other credit extended by, or any other acquisition of funds by, such Lender (or its parent corporation), or any commitment of such Lender (including, without limitation, the Commitments of such Lender hereunder), or (iii) has or would have the effect of reducing the rate of return on capital of such Lender (other than on account of Taxes) as a consequence of such Lender’s obligations hereunder to a level below that which such Lender could have achieved but for such Regulatory Change (taking into consideration such Lender’s policies with respect to capital adequacy).</w:t>
      </w:r>
    </w:p>
    <w:p>
      <w:pPr>
        <w:spacing w:after="0" w:line="20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65"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Lender’s Suspension of SOFR Loans and SOFR Margin Loans</w:t>
      </w:r>
      <w:r>
        <w:rPr>
          <w:rFonts w:ascii="Times New Roman" w:cs="Times New Roman" w:eastAsia="Times New Roman" w:hAnsi="Times New Roman"/>
          <w:sz w:val="20"/>
          <w:szCs w:val="20"/>
          <w:color w:val="auto"/>
        </w:rPr>
        <w:t>. Without limiting the effect of the provisions of the immediately preceding subsections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Loans or SOFR Margin Loans is determined as provided in this Agreement or a category of extensions of credit or other assets of such Lender that includes SOFR Loans or SOFR Margin Loans or (ii) becomes subject to restrictions on the amount of such a category of liabilities or assets that it may hold, then, if such Lender so elects by notice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 the Borrower Representative (with a copy to the Administrative Agent), the obligation of such Lender to make or Continue, or to Convert Base Rate Loans into, SOFR Loans and/or the obligation of a Revolving Lender that has outstanding a Bid Rate Quote to make SOFR Margin Loans hereunder shall be suspended until such Regulatory Change ceases to be in effect (in which case the provisions of Section 4.5. shall apply).</w:t>
      </w:r>
    </w:p>
    <w:p>
      <w:pPr>
        <w:spacing w:after="0" w:line="172" w:lineRule="exact"/>
        <w:rPr>
          <w:sz w:val="20"/>
          <w:szCs w:val="20"/>
          <w:color w:val="auto"/>
        </w:rPr>
      </w:pPr>
    </w:p>
    <w:p>
      <w:pPr>
        <w:jc w:val="both"/>
        <w:ind w:firstLine="656"/>
        <w:spacing w:after="0" w:line="250" w:lineRule="auto"/>
        <w:tabs>
          <w:tab w:leader="none" w:pos="1211"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Costs in Respect of Letters of Credit</w:t>
      </w:r>
      <w:r>
        <w:rPr>
          <w:rFonts w:ascii="Times New Roman" w:cs="Times New Roman" w:eastAsia="Times New Roman" w:hAnsi="Times New Roman"/>
          <w:sz w:val="20"/>
          <w:szCs w:val="20"/>
          <w:color w:val="auto"/>
        </w:rPr>
        <w:t>. Without limiting the obligations of the Borrowers under the preceding subsections of this Section (but without duplication), if as a result of any Regulatory Change or any risk-based capital guideline or other requirement heretofore or hereafter issued by any Governmental Authority there shall be imposed, modified or deemed applicable any tax, reserve, special deposit, capital adequacy or similar requirement against or with respect to or measured by reference to Letters of Credit (other than Indemnified Taxes, Taxes described in clauses (b) through (d) of the definition of Excluded Taxes, and Connection Income Taxes) and the result shall be to increase the cost to the Issuing Banks of issuing (or any Revolving Lender of purchasing participations in) or maintaining its obligation hereunder to issue (or purchase participations in) any Letter of Credit or reduce any amount receivable by any Issuing Bank or any Revolving Lender hereunder in respect of any Letter of Credit, then, upon demand by such Issuing Bank or such Lender, the Borrowers jointly and severally agree to pay immediately to such Issuing Bank or, in the case of such Lender, to the Administrative Agent for the account of such Lender, from time to time as specified by such Issuing Bank or such Lender, such additional amounts as shall be sufficient to compensate such Issuing Bank or such Lender for such increased costs or reductions in amount.</w:t>
      </w:r>
    </w:p>
    <w:p>
      <w:pPr>
        <w:spacing w:after="0" w:line="199" w:lineRule="exact"/>
        <w:rPr>
          <w:rFonts w:ascii="Times New Roman" w:cs="Times New Roman" w:eastAsia="Times New Roman" w:hAnsi="Times New Roman"/>
          <w:sz w:val="20"/>
          <w:szCs w:val="20"/>
          <w:color w:val="auto"/>
        </w:rPr>
      </w:pPr>
    </w:p>
    <w:p>
      <w:pPr>
        <w:jc w:val="both"/>
        <w:ind w:firstLine="656"/>
        <w:spacing w:after="0" w:line="249" w:lineRule="auto"/>
        <w:tabs>
          <w:tab w:leader="none" w:pos="1119"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and Determination of Additional Costs</w:t>
      </w:r>
      <w:r>
        <w:rPr>
          <w:rFonts w:ascii="Times New Roman" w:cs="Times New Roman" w:eastAsia="Times New Roman" w:hAnsi="Times New Roman"/>
          <w:sz w:val="20"/>
          <w:szCs w:val="20"/>
          <w:color w:val="auto"/>
        </w:rPr>
        <w:t xml:space="preserve">. Each of the Administrative Agent, each Issuing Bank, each Lender, and each Participant, as the case may be, agrees to notify the Borrower Representative (and in the case of an Issuing Bank, a Lender or a Participant, the Administrative Agent as well) of any event occurring after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entitling the Administrative Agent, such Issuing Bank, such Lender or such Participant to compensation under any of the preceding subsections of this Section as promptly as practicable; provided, however, that the failure of the Administrative Agent, any Issuing Bank, any Lender or any Participant to give such notice shall not release any Borrower from any of its obligations hereunder. Notwithstanding the foregoing sentence, the Borrowers shall not be required to compensate a Lender, a Participant or an Issuing Bank pursuant to this Section for any increased costs incurred or reductions suffered more than nine months prior to the date that such Lender, such Participant or such Issuing Bank, as the case may be, notifies the Borrower Representative of the Regulatory Change giving rise to such increased costs or reductions, and of such Lender’s, such Participant’s or such Issuing Bank’s intention to claim compensation therefor (except that, if the Regulatory Change giving rise to such increased costs or reductions is retroactive, then the nine-month period referred to above shall be extended to include the period of retroactive effect thereof). The Administrative Agent, each Issuing Bank, each Lender and each Participant, as the case may be, agrees to furnish to the Borrower Representative (and in the case of an Issuing Bank, a Lender or a Participant to the Administrative Agent as well) a certificate setting forth the basis and amount of each request for compensation under this Section. Determinations by the Administrative Agent, such Issuing Bank, such Lender, or such Participant, as the case may be, of the effect of any Regulatory Change shall be conclusive and binding for all purposes, absent manifest error.</w:t>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4.2.</w:t>
      </w:r>
      <w:r>
        <w:rPr>
          <w:sz w:val="20"/>
          <w:szCs w:val="20"/>
          <w:color w:val="auto"/>
        </w:rPr>
        <w:tab/>
      </w:r>
      <w:r>
        <w:rPr>
          <w:rFonts w:ascii="Times New Roman" w:cs="Times New Roman" w:eastAsia="Times New Roman" w:hAnsi="Times New Roman"/>
          <w:sz w:val="19"/>
          <w:szCs w:val="19"/>
          <w:b w:val="1"/>
          <w:bCs w:val="1"/>
          <w:color w:val="auto"/>
        </w:rPr>
        <w:t>Suspension of SOFR Loans and SOFR Margin Loans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56"/>
        <w:spacing w:after="0" w:line="283" w:lineRule="auto"/>
        <w:tabs>
          <w:tab w:leader="none" w:pos="1200"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 Affecting Benchmark Availability</w:t>
      </w:r>
      <w:r>
        <w:rPr>
          <w:rFonts w:ascii="Times New Roman" w:cs="Times New Roman" w:eastAsia="Times New Roman" w:hAnsi="Times New Roman"/>
          <w:sz w:val="20"/>
          <w:szCs w:val="20"/>
          <w:color w:val="auto"/>
        </w:rPr>
        <w:t xml:space="preserve">. Anything herein to the contrary notwithstanding, if, on or prior to the determination of </w:t>
      </w:r>
      <w:r>
        <w:rPr>
          <w:rFonts w:ascii="Times New Roman" w:cs="Times New Roman" w:eastAsia="Times New Roman" w:hAnsi="Times New Roman"/>
          <w:sz w:val="20"/>
          <w:szCs w:val="20"/>
          <w:u w:val="single" w:color="auto"/>
          <w:color w:val="007BB8"/>
        </w:rPr>
        <w:t>Daily Simple SOFR, Term SOFR or</w:t>
      </w:r>
      <w:r>
        <w:rPr>
          <w:rFonts w:ascii="Times New Roman" w:cs="Times New Roman" w:eastAsia="Times New Roman" w:hAnsi="Times New Roman"/>
          <w:sz w:val="20"/>
          <w:szCs w:val="20"/>
          <w:color w:val="auto"/>
        </w:rPr>
        <w:t xml:space="preserve"> Adjusted Term SOFR for any Interest Period: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-970915</wp:posOffset>
            </wp:positionV>
            <wp:extent cx="311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89" w:lineRule="exact"/>
        <w:rPr>
          <w:sz w:val="20"/>
          <w:szCs w:val="20"/>
          <w:color w:val="auto"/>
        </w:rPr>
      </w:pPr>
    </w:p>
    <w:p>
      <w:pPr>
        <w:jc w:val="both"/>
        <w:ind w:left="660" w:firstLine="644"/>
        <w:spacing w:after="0" w:line="261" w:lineRule="auto"/>
        <w:tabs>
          <w:tab w:leader="none" w:pos="1696"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reasonably determines (which determination shall be conclusive) that adequate and reasonable means do not exist for ascertaining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u w:val="single" w:color="auto"/>
          <w:color w:val="007BB8"/>
        </w:rPr>
        <w:t>Daily Simple SOFR and/or</w:t>
      </w:r>
      <w:r>
        <w:rPr>
          <w:rFonts w:ascii="Times New Roman" w:cs="Times New Roman" w:eastAsia="Times New Roman" w:hAnsi="Times New Roman"/>
          <w:sz w:val="20"/>
          <w:szCs w:val="20"/>
          <w:color w:val="auto"/>
        </w:rPr>
        <w:t xml:space="preserve"> Term SOFR (including, without limitation, because SOFR is not available or published on a current basis), for such Interest Period;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52"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the Administrative Agent reasonably determines (which determination shall be conclusive) that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u w:val="single" w:color="auto"/>
          <w:color w:val="007BB8"/>
        </w:rPr>
        <w:t>Daily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Simple SOFR and/or</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Term SOFR does not adequately and fairly represent the cost to any Lender of making or maintaining</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0000"/>
        </w:rPr>
        <w:t>Daily</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0000"/>
        </w:rPr>
        <w:t>Simple SOFR Loans or Term</w:t>
      </w:r>
      <w:r>
        <w:rPr>
          <w:rFonts w:ascii="Times New Roman" w:cs="Times New Roman" w:eastAsia="Times New Roman" w:hAnsi="Times New Roman"/>
          <w:sz w:val="20"/>
          <w:szCs w:val="20"/>
          <w:color w:val="000000"/>
        </w:rPr>
        <w:t xml:space="preserve"> SOFR Loans for such Interest Period or (B) the Administrative Agent is advised by the Requisite Lenders (or, in the case of a SOFR Margin Loan, the Lender that is required to make such Loan) that </w:t>
      </w:r>
      <w:r>
        <w:rPr>
          <w:rFonts w:ascii="Times New Roman" w:cs="Times New Roman" w:eastAsia="Times New Roman" w:hAnsi="Times New Roman"/>
          <w:sz w:val="20"/>
          <w:szCs w:val="20"/>
          <w:color w:val="007BB8"/>
        </w:rPr>
        <w:t>Daily Simple SOFR, Term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BB8"/>
        </w:rPr>
        <w:t>SOFR or</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Adjusted Term SOFR</w:t>
      </w:r>
      <w:r>
        <w:rPr>
          <w:rFonts w:ascii="Times New Roman" w:cs="Times New Roman" w:eastAsia="Times New Roman" w:hAnsi="Times New Roman"/>
          <w:sz w:val="20"/>
          <w:szCs w:val="20"/>
          <w:u w:val="single" w:color="auto"/>
          <w:color w:val="007BB8"/>
        </w:rPr>
        <w:t>, as the case may be,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does not adequately and fairly represent the cost to the Lenders of making or</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 xml:space="preserve">maintaining </w:t>
      </w:r>
      <w:r>
        <w:rPr>
          <w:rFonts w:ascii="Times New Roman" w:cs="Times New Roman" w:eastAsia="Times New Roman" w:hAnsi="Times New Roman"/>
          <w:sz w:val="20"/>
          <w:szCs w:val="20"/>
          <w:u w:val="single" w:color="auto"/>
          <w:color w:val="007BB8"/>
        </w:rPr>
        <w:t>Daily Simple SOFR or Term</w:t>
      </w:r>
      <w:r>
        <w:rPr>
          <w:rFonts w:ascii="Times New Roman" w:cs="Times New Roman" w:eastAsia="Times New Roman" w:hAnsi="Times New Roman"/>
          <w:sz w:val="20"/>
          <w:szCs w:val="20"/>
          <w:color w:val="000000"/>
        </w:rPr>
        <w:t xml:space="preserve"> SOFR Loans for such Interest Period; or</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41"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Revolving Lender that has outstanding a Bid Rate Quote with respect to a SOFR Margin Loan reasonably determines (which determination shall be conclusive) that SOFR will not adequately and fairly reflect the cost to such Revolving Lender of making or maintaining such SOFR Margin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-937260</wp:posOffset>
            </wp:positionV>
            <wp:extent cx="14211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then the Administrative Agent shall give the Borrower Representative and each Lender prompt notice thereof and, (w) any obligation of the Lenders to make additional SOFR Loans </w:t>
      </w:r>
      <w:r>
        <w:rPr>
          <w:rFonts w:ascii="Times New Roman" w:cs="Times New Roman" w:eastAsia="Times New Roman" w:hAnsi="Times New Roman"/>
          <w:sz w:val="19"/>
          <w:szCs w:val="19"/>
          <w:color w:val="007BB8"/>
        </w:rPr>
        <w:t>of the applicable Type</w:t>
      </w:r>
      <w:r>
        <w:rPr>
          <w:rFonts w:ascii="Times New Roman" w:cs="Times New Roman" w:eastAsia="Times New Roman" w:hAnsi="Times New Roman"/>
          <w:sz w:val="19"/>
          <w:szCs w:val="19"/>
          <w:color w:val="auto"/>
        </w:rPr>
        <w:t xml:space="preserve"> and the right of the Borrowers to Continue </w:t>
      </w:r>
      <w:r>
        <w:rPr>
          <w:rFonts w:ascii="Times New Roman" w:cs="Times New Roman" w:eastAsia="Times New Roman" w:hAnsi="Times New Roman"/>
          <w:sz w:val="19"/>
          <w:szCs w:val="19"/>
          <w:color w:val="007BB8"/>
        </w:rPr>
        <w:t>Term</w:t>
      </w:r>
      <w:r>
        <w:rPr>
          <w:rFonts w:ascii="Times New Roman" w:cs="Times New Roman" w:eastAsia="Times New Roman" w:hAnsi="Times New Roman"/>
          <w:sz w:val="19"/>
          <w:szCs w:val="19"/>
          <w:color w:val="auto"/>
        </w:rPr>
        <w:t xml:space="preserve"> SOFR Loans or Convert Loans into SOFR Loans shall be suspended (to the extent of the affected SOFR Loans or the affected Interest Periods), (x) the Borrowers may revoke any pending request for a borrowing of, Continuation of, or Conversion of </w:t>
      </w:r>
      <w:r>
        <w:rPr>
          <w:rFonts w:ascii="Times New Roman" w:cs="Times New Roman" w:eastAsia="Times New Roman" w:hAnsi="Times New Roman"/>
          <w:sz w:val="19"/>
          <w:szCs w:val="19"/>
          <w:u w:val="single" w:color="auto"/>
          <w:color w:val="007BB8"/>
        </w:rPr>
        <w:t>such</w:t>
      </w:r>
      <w:r>
        <w:rPr>
          <w:rFonts w:ascii="Times New Roman" w:cs="Times New Roman" w:eastAsia="Times New Roman" w:hAnsi="Times New Roman"/>
          <w:sz w:val="19"/>
          <w:szCs w:val="19"/>
          <w:color w:val="auto"/>
        </w:rPr>
        <w:t xml:space="preserve"> SOFR Loans (to the extent of the affected SOFR Loans or the affected Interest Periods) or, failing that, the Borrowers will be deemed to have Converted any such request into a request for a borrowing of or Conversion to, </w:t>
      </w:r>
      <w:r>
        <w:rPr>
          <w:rFonts w:ascii="Times New Roman" w:cs="Times New Roman" w:eastAsia="Times New Roman" w:hAnsi="Times New Roman"/>
          <w:sz w:val="19"/>
          <w:szCs w:val="19"/>
          <w:color w:val="00B050"/>
        </w:rPr>
        <w:t>in the case of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BB8"/>
        </w:rPr>
        <w:t>SOFR Loans, Daily Simple SOFR Loans, if available (or otherwise</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Base Rate Loans) in the amount specified there </w:t>
      </w:r>
      <w:r>
        <w:rPr>
          <w:rFonts w:ascii="Times New Roman" w:cs="Times New Roman" w:eastAsia="Times New Roman" w:hAnsi="Times New Roman"/>
          <w:sz w:val="19"/>
          <w:szCs w:val="19"/>
          <w:color w:val="007BB8"/>
        </w:rPr>
        <w:t>and in the case of Daily Simple SOFR Loans, Base Rate Loans</w:t>
      </w:r>
      <w:r>
        <w:rPr>
          <w:rFonts w:ascii="Times New Roman" w:cs="Times New Roman" w:eastAsia="Times New Roman" w:hAnsi="Times New Roman"/>
          <w:sz w:val="19"/>
          <w:szCs w:val="19"/>
          <w:color w:val="auto"/>
        </w:rPr>
        <w:t xml:space="preserve">, (y) any outstanding affected </w:t>
      </w:r>
      <w:r>
        <w:rPr>
          <w:rFonts w:ascii="Times New Roman" w:cs="Times New Roman" w:eastAsia="Times New Roman" w:hAnsi="Times New Roman"/>
          <w:sz w:val="19"/>
          <w:szCs w:val="19"/>
          <w:color w:val="007BB8"/>
        </w:rPr>
        <w:t>Term</w:t>
      </w:r>
      <w:r>
        <w:rPr>
          <w:rFonts w:ascii="Times New Roman" w:cs="Times New Roman" w:eastAsia="Times New Roman" w:hAnsi="Times New Roman"/>
          <w:sz w:val="19"/>
          <w:szCs w:val="19"/>
          <w:color w:val="auto"/>
        </w:rPr>
        <w:t xml:space="preserve"> SOFR Loans will be deemed to have been converted into </w:t>
      </w:r>
      <w:r>
        <w:rPr>
          <w:rFonts w:ascii="Times New Roman" w:cs="Times New Roman" w:eastAsia="Times New Roman" w:hAnsi="Times New Roman"/>
          <w:sz w:val="19"/>
          <w:szCs w:val="19"/>
          <w:color w:val="007BB8"/>
        </w:rPr>
        <w:t>Daily Simple SOFR Loans, if available (or, otherwise,</w:t>
      </w:r>
      <w:r>
        <w:rPr>
          <w:rFonts w:ascii="Times New Roman" w:cs="Times New Roman" w:eastAsia="Times New Roman" w:hAnsi="Times New Roman"/>
          <w:sz w:val="19"/>
          <w:szCs w:val="19"/>
          <w:color w:val="auto"/>
        </w:rPr>
        <w:t xml:space="preserve"> Base Rate Loans</w:t>
      </w:r>
      <w:r>
        <w:rPr>
          <w:rFonts w:ascii="Times New Roman" w:cs="Times New Roman" w:eastAsia="Times New Roman" w:hAnsi="Times New Roman"/>
          <w:sz w:val="19"/>
          <w:szCs w:val="19"/>
          <w:u w:val="single" w:color="auto"/>
          <w:color w:val="007BB8"/>
        </w:rPr>
        <w:t>)</w:t>
      </w:r>
      <w:r>
        <w:rPr>
          <w:rFonts w:ascii="Times New Roman" w:cs="Times New Roman" w:eastAsia="Times New Roman" w:hAnsi="Times New Roman"/>
          <w:sz w:val="19"/>
          <w:szCs w:val="19"/>
          <w:color w:val="auto"/>
        </w:rPr>
        <w:t xml:space="preserve"> at the end of the applicable Interest Period and (z) in the case of clause (iii) above, no Lender that has outstanding a Bid Rate Quote with respect to a SOFR Margin Loan shall be under any obligation to make such Loan, in each case, until the Administrative Agent (or, as applicable, the Administrative Agent at the instruction of the Requisite Lenders or, with respect to clause (z) such Lender) revokes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-1395730</wp:posOffset>
            </wp:positionV>
            <wp:extent cx="11836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-1395730</wp:posOffset>
            </wp:positionV>
            <wp:extent cx="3035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03530" cy="8890"/>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-795655</wp:posOffset>
            </wp:positionV>
            <wp:extent cx="10407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04076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-641350</wp:posOffset>
            </wp:positionV>
            <wp:extent cx="32766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27660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-641350</wp:posOffset>
            </wp:positionV>
            <wp:extent cx="3035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-495300</wp:posOffset>
            </wp:positionV>
            <wp:extent cx="29076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907665" cy="8890"/>
                    </a:xfrm>
                    <a:prstGeom prst="rect">
                      <a:avLst/>
                    </a:prstGeom>
                    <a:noFill/>
                  </pic:spPr>
                </pic:pic>
              </a:graphicData>
            </a:graphic>
          </wp:anchor>
        </w:drawing>
      </w:r>
    </w:p>
    <w:p>
      <w:pPr>
        <w:spacing w:after="0" w:line="161" w:lineRule="exact"/>
        <w:rPr>
          <w:sz w:val="20"/>
          <w:szCs w:val="20"/>
          <w:color w:val="auto"/>
        </w:rPr>
      </w:pPr>
    </w:p>
    <w:p>
      <w:pPr>
        <w:ind w:left="1080" w:hanging="424"/>
        <w:spacing w:after="0"/>
        <w:tabs>
          <w:tab w:leader="none" w:pos="108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502" w:val="left"/>
        </w:tabs>
        <w:numPr>
          <w:ilvl w:val="2"/>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Borrower Representative so long as the Administrative Agent has not received, by such time, written notice of objection to such amendment from Lenders comprising the Requisite Lenders. No replacement of a Benchmark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- 87 -</w:t>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89" w:lineRule="exact"/>
        <w:rPr>
          <w:sz w:val="20"/>
          <w:szCs w:val="20"/>
          <w:color w:val="auto"/>
        </w:rPr>
      </w:pPr>
    </w:p>
    <w:p>
      <w:pPr>
        <w:ind w:left="1100"/>
        <w:spacing w:after="0" w:line="283" w:lineRule="auto"/>
        <w:rPr>
          <w:sz w:val="20"/>
          <w:szCs w:val="20"/>
          <w:color w:val="auto"/>
        </w:rPr>
      </w:pPr>
      <w:r>
        <w:rPr>
          <w:rFonts w:ascii="Times New Roman" w:cs="Times New Roman" w:eastAsia="Times New Roman" w:hAnsi="Times New Roman"/>
          <w:sz w:val="20"/>
          <w:szCs w:val="20"/>
          <w:color w:val="auto"/>
        </w:rPr>
        <w:t>Benchmark Replacement pursuant to this Section 4.2(b)(i)(A) will occur prior to the applicable Benchmark Transition Start Date.</w:t>
      </w:r>
    </w:p>
    <w:p>
      <w:pPr>
        <w:spacing w:after="0" w:line="146" w:lineRule="exact"/>
        <w:rPr>
          <w:sz w:val="20"/>
          <w:szCs w:val="20"/>
          <w:color w:val="auto"/>
        </w:rPr>
      </w:pPr>
    </w:p>
    <w:p>
      <w:pPr>
        <w:ind w:left="2220" w:hanging="468"/>
        <w:spacing w:after="0"/>
        <w:tabs>
          <w:tab w:leader="none" w:pos="2220"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Derivatives Contract shall be deemed to be a “Loan Document” for purposes of this Section 4.2(b).</w:t>
      </w:r>
    </w:p>
    <w:p>
      <w:pPr>
        <w:spacing w:after="0" w:line="229"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1547"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91" w:lineRule="exact"/>
        <w:rPr>
          <w:rFonts w:ascii="Times New Roman" w:cs="Times New Roman" w:eastAsia="Times New Roman" w:hAnsi="Times New Roman"/>
          <w:sz w:val="20"/>
          <w:szCs w:val="20"/>
          <w:color w:val="auto"/>
        </w:rPr>
      </w:pPr>
    </w:p>
    <w:p>
      <w:pPr>
        <w:jc w:val="both"/>
        <w:ind w:left="460" w:firstLine="644"/>
        <w:spacing w:after="0" w:line="250" w:lineRule="auto"/>
        <w:tabs>
          <w:tab w:leader="none" w:pos="167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The Administrative Agent will promptly notify the Borrower Representative and the Lenders of (A) the implementation of any Benchmark Replacement and (B) the effectiveness of any Conforming Changes in connection with the use, administration, adoption or implementation of a Benchmark Replacement. The Administrative Agent will promptly notify the Borrower Representative of the removal or reinstatement of any tenor of a Benchmark pursuant to Section 4.2(b)(iv). Any determination, decision or election that may be made by the Administrative Agent or, if applicable, any Lender (or group of Lenders) pursuant to this Section 4.2(b),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4.2(b).</w:t>
      </w:r>
    </w:p>
    <w:p>
      <w:pPr>
        <w:spacing w:after="0" w:line="196" w:lineRule="exact"/>
        <w:rPr>
          <w:rFonts w:ascii="Times New Roman" w:cs="Times New Roman" w:eastAsia="Times New Roman" w:hAnsi="Times New Roman"/>
          <w:sz w:val="20"/>
          <w:szCs w:val="20"/>
          <w:color w:val="auto"/>
        </w:rPr>
      </w:pPr>
    </w:p>
    <w:p>
      <w:pPr>
        <w:jc w:val="both"/>
        <w:ind w:left="460" w:firstLine="644"/>
        <w:spacing w:after="0" w:line="249" w:lineRule="auto"/>
        <w:tabs>
          <w:tab w:leader="none" w:pos="1767"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- 88 -</w:t>
      </w:r>
    </w:p>
    <w:p>
      <w:pPr>
        <w:sectPr>
          <w:pgSz w:w="11900" w:h="16838" w:orient="portrait"/>
          <w:cols w:equalWidth="0" w:num="1">
            <w:col w:w="11040"/>
          </w:cols>
          <w:pgMar w:left="520" w:top="1440" w:right="339" w:bottom="1440" w:gutter="0" w:footer="0" w:header="0"/>
        </w:sectPr>
      </w:pPr>
    </w:p>
    <w:bookmarkStart w:id="425" w:name="page426"/>
    <w:bookmarkEnd w:id="425"/>
    <w:p>
      <w:pPr>
        <w:spacing w:after="0" w:line="189" w:lineRule="exact"/>
        <w:rPr>
          <w:sz w:val="20"/>
          <w:szCs w:val="20"/>
          <w:color w:val="auto"/>
        </w:rPr>
      </w:pPr>
    </w:p>
    <w:p>
      <w:pPr>
        <w:jc w:val="both"/>
        <w:ind w:left="660" w:firstLine="644"/>
        <w:spacing w:after="0" w:line="266" w:lineRule="auto"/>
        <w:tabs>
          <w:tab w:leader="none" w:pos="1804"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Upon the Borrower Representative’s receipt of notice of the commencement of a Benchmark Unavailability Period, (A) the Borrowers may revoke any pending request for a borrowing of, conversion to or continuation of SOFR Loans to be made, converted or continued during any Benchmark Unavailability Period and, failing that, the Borrowers will be deemed to have converted any such request into a request for a borrowing of or conversion to Base Rate Loans and (B) any outstanding affected </w:t>
      </w:r>
      <w:r>
        <w:rPr>
          <w:rFonts w:ascii="Times New Roman" w:cs="Times New Roman" w:eastAsia="Times New Roman" w:hAnsi="Times New Roman"/>
          <w:sz w:val="19"/>
          <w:szCs w:val="19"/>
          <w:color w:val="007BB8"/>
        </w:rPr>
        <w:t>Term</w:t>
      </w:r>
      <w:r>
        <w:rPr>
          <w:rFonts w:ascii="Times New Roman" w:cs="Times New Roman" w:eastAsia="Times New Roman" w:hAnsi="Times New Roman"/>
          <w:sz w:val="19"/>
          <w:szCs w:val="19"/>
          <w:color w:val="auto"/>
        </w:rPr>
        <w:t xml:space="preserve"> SOFR Loans will be deemed to have been converted to </w:t>
      </w:r>
      <w:r>
        <w:rPr>
          <w:rFonts w:ascii="Times New Roman" w:cs="Times New Roman" w:eastAsia="Times New Roman" w:hAnsi="Times New Roman"/>
          <w:sz w:val="19"/>
          <w:szCs w:val="19"/>
          <w:color w:val="007BB8"/>
        </w:rPr>
        <w:t>Daily Simple SOFR Loans (if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BB8"/>
        </w:rPr>
        <w:t>available) and otherwise,</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000000"/>
        </w:rPr>
        <w:t>Base Rate Loans at the end of the applicable Interest Period. During any Benchmark Unavailability Period</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000000"/>
        </w:rPr>
        <w:t>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-494665</wp:posOffset>
            </wp:positionV>
            <wp:extent cx="3117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-494665</wp:posOffset>
            </wp:positionV>
            <wp:extent cx="16433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4.3.</w:t>
      </w:r>
      <w:r>
        <w:rPr>
          <w:sz w:val="20"/>
          <w:szCs w:val="20"/>
          <w:color w:val="auto"/>
        </w:rPr>
        <w:tab/>
      </w:r>
      <w:r>
        <w:rPr>
          <w:rFonts w:ascii="Times New Roman" w:cs="Times New Roman" w:eastAsia="Times New Roman" w:hAnsi="Times New Roman"/>
          <w:sz w:val="19"/>
          <w:szCs w:val="19"/>
          <w:b w:val="1"/>
          <w:bCs w:val="1"/>
          <w:color w:val="auto"/>
        </w:rPr>
        <w:t>Illegality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Daily Simple SOFR, the Term SOFR Reference Rate, Adjusted Term SOFR or Term SOFR, such Lender shall promptly give notice thereof to the Administrative Agent and the Administrative Agent shall promptly give notice to the Borrower Representative and the other Lenders. Thereafter, until the Administrative Agent notifies the Borrower Representative that such circumstances no longer exist, (i) any obligation of the Lenders to make </w:t>
      </w:r>
      <w:r>
        <w:rPr>
          <w:rFonts w:ascii="Times New Roman" w:cs="Times New Roman" w:eastAsia="Times New Roman" w:hAnsi="Times New Roman"/>
          <w:sz w:val="20"/>
          <w:szCs w:val="20"/>
          <w:u w:val="single" w:color="auto"/>
          <w:color w:val="007BB8"/>
        </w:rPr>
        <w:t>Daily Simple SOFR Loans or Term</w:t>
      </w:r>
      <w:r>
        <w:rPr>
          <w:rFonts w:ascii="Times New Roman" w:cs="Times New Roman" w:eastAsia="Times New Roman" w:hAnsi="Times New Roman"/>
          <w:sz w:val="20"/>
          <w:szCs w:val="20"/>
          <w:color w:val="auto"/>
        </w:rPr>
        <w:t xml:space="preserve"> SOFR Loans, </w:t>
      </w:r>
      <w:r>
        <w:rPr>
          <w:rFonts w:ascii="Times New Roman" w:cs="Times New Roman" w:eastAsia="Times New Roman" w:hAnsi="Times New Roman"/>
          <w:sz w:val="20"/>
          <w:szCs w:val="20"/>
          <w:color w:val="007BB8"/>
        </w:rPr>
        <w:t>as the case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be,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and any right of the Borrower to convert any Loan to a</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7BB8"/>
        </w:rPr>
        <w:t>Daily Simple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SOFR Loan or</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7BB8"/>
        </w:rPr>
        <w:t>Term SOFR Loan,</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B050"/>
        </w:rPr>
        <w:t>as the case may be,</w:t>
      </w:r>
      <w:r>
        <w:rPr>
          <w:rFonts w:ascii="Times New Roman" w:cs="Times New Roman" w:eastAsia="Times New Roman" w:hAnsi="Times New Roman"/>
          <w:sz w:val="20"/>
          <w:szCs w:val="20"/>
          <w:color w:val="007BB8"/>
        </w:rPr>
        <w:t xml:space="preserve"> or </w:t>
      </w:r>
      <w:r>
        <w:rPr>
          <w:rFonts w:ascii="Times New Roman" w:cs="Times New Roman" w:eastAsia="Times New Roman" w:hAnsi="Times New Roman"/>
          <w:sz w:val="20"/>
          <w:szCs w:val="20"/>
          <w:color w:val="000000"/>
        </w:rPr>
        <w:t>continue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 xml:space="preserve">any Loan as a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000000"/>
        </w:rPr>
        <w:t xml:space="preserve"> SOFR Loan, shall be suspended and (ii) if necessary to avoid such illegality, the Administrative Agent shall compute the Base Rate without reference to clause (c) of the definition of “Base Rate”, in each case until each such affected Lender notifies the Administrative Agent and the Borrower Representative that the circumstances giving rise to such determination no longer exist. Upon receipt of such notice, the Borrowers shall, if necessary to avoid such illegality, upon demand from any Lender (with a copy to the Administrative Agent), prepay or, if applicable, convert all </w:t>
      </w:r>
      <w:r>
        <w:rPr>
          <w:rFonts w:ascii="Times New Roman" w:cs="Times New Roman" w:eastAsia="Times New Roman" w:hAnsi="Times New Roman"/>
          <w:sz w:val="20"/>
          <w:szCs w:val="20"/>
          <w:u w:val="single" w:color="auto"/>
          <w:color w:val="007BB8"/>
        </w:rPr>
        <w:t>Daily Simple</w:t>
      </w:r>
      <w:r>
        <w:rPr>
          <w:rFonts w:ascii="Times New Roman" w:cs="Times New Roman" w:eastAsia="Times New Roman" w:hAnsi="Times New Roman"/>
          <w:sz w:val="20"/>
          <w:szCs w:val="20"/>
          <w:color w:val="000000"/>
        </w:rPr>
        <w:t xml:space="preserve"> SOFR Loans</w:t>
      </w:r>
      <w:r>
        <w:rPr>
          <w:rFonts w:ascii="Times New Roman" w:cs="Times New Roman" w:eastAsia="Times New Roman" w:hAnsi="Times New Roman"/>
          <w:sz w:val="20"/>
          <w:szCs w:val="20"/>
          <w:u w:val="single" w:color="auto"/>
          <w:color w:val="007BB8"/>
        </w:rPr>
        <w:t>, if applicable</w:t>
      </w:r>
      <w:r>
        <w:rPr>
          <w:rFonts w:ascii="Times New Roman" w:cs="Times New Roman" w:eastAsia="Times New Roman" w:hAnsi="Times New Roman"/>
          <w:sz w:val="20"/>
          <w:szCs w:val="20"/>
          <w:u w:val="single" w:color="auto"/>
          <w:color w:val="000000"/>
        </w:rPr>
        <w:t>,</w:t>
      </w:r>
      <w:r>
        <w:rPr>
          <w:rFonts w:ascii="Times New Roman" w:cs="Times New Roman" w:eastAsia="Times New Roman" w:hAnsi="Times New Roman"/>
          <w:sz w:val="20"/>
          <w:szCs w:val="20"/>
          <w:color w:val="000000"/>
        </w:rPr>
        <w:t xml:space="preserve"> to Base Rate Loans (in each case, if necessary to avoid such illegality, the Administrative Agent shall compute the Base Rate without reference to clause (c) of the definition of “Base Rate”) </w:t>
      </w:r>
      <w:r>
        <w:rPr>
          <w:rFonts w:ascii="Times New Roman" w:cs="Times New Roman" w:eastAsia="Times New Roman" w:hAnsi="Times New Roman"/>
          <w:sz w:val="20"/>
          <w:szCs w:val="20"/>
          <w:color w:val="007BB8"/>
        </w:rPr>
        <w:t>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BB8"/>
        </w:rPr>
        <w:t>convert all Term SOFR Loans, if applicable, to Daily Simple SOFR Loans, if available (or, otherwise, to Base Rate Loans)</w:t>
      </w:r>
      <w:r>
        <w:rPr>
          <w:rFonts w:ascii="Times New Roman" w:cs="Times New Roman" w:eastAsia="Times New Roman" w:hAnsi="Times New Roman"/>
          <w:sz w:val="20"/>
          <w:szCs w:val="20"/>
          <w:color w:val="000000"/>
        </w:rPr>
        <w:t>, on the last day of</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 xml:space="preserve">the Interest Period therefor, if all affected Lenders may lawfully continue to maintain such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000000"/>
        </w:rPr>
        <w:t xml:space="preserve"> SOFR Loans, to such day, or immediately, if any Lender may not lawfully continue to maintain such </w:t>
      </w:r>
      <w:r>
        <w:rPr>
          <w:rFonts w:ascii="Times New Roman" w:cs="Times New Roman" w:eastAsia="Times New Roman" w:hAnsi="Times New Roman"/>
          <w:sz w:val="20"/>
          <w:szCs w:val="20"/>
          <w:color w:val="007BB8"/>
        </w:rPr>
        <w:t>Term</w:t>
      </w:r>
      <w:r>
        <w:rPr>
          <w:rFonts w:ascii="Times New Roman" w:cs="Times New Roman" w:eastAsia="Times New Roman" w:hAnsi="Times New Roman"/>
          <w:sz w:val="20"/>
          <w:szCs w:val="20"/>
          <w:color w:val="000000"/>
        </w:rPr>
        <w:t xml:space="preserve"> SOFR Loans to such day. Upon any such prepayment or conversion, the Borrowers shall also pay accrued interest on the amount so prepaid or converted, together with any additional amounts required pursuant to Section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6285230</wp:posOffset>
            </wp:positionH>
            <wp:positionV relativeFrom="paragraph">
              <wp:posOffset>-1837690</wp:posOffset>
            </wp:positionV>
            <wp:extent cx="8502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5026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-1683385</wp:posOffset>
            </wp:positionV>
            <wp:extent cx="311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-1683385</wp:posOffset>
            </wp:positionV>
            <wp:extent cx="1447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-783590</wp:posOffset>
            </wp:positionV>
            <wp:extent cx="1530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53035" cy="8890"/>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-328930</wp:posOffset>
            </wp:positionV>
            <wp:extent cx="3117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11785" cy="8890"/>
                    </a:xfrm>
                    <a:prstGeom prst="rect">
                      <a:avLst/>
                    </a:prstGeom>
                    <a:noFill/>
                  </pic:spPr>
                </pic:pic>
              </a:graphicData>
            </a:graphic>
          </wp:anchor>
        </w:drawing>
      </w:r>
    </w:p>
    <w:p>
      <w:pPr>
        <w:spacing w:after="0" w:line="17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4.4.</w:t>
      </w:r>
      <w:r>
        <w:rPr>
          <w:sz w:val="20"/>
          <w:szCs w:val="20"/>
          <w:color w:val="auto"/>
        </w:rPr>
        <w:tab/>
      </w:r>
      <w:r>
        <w:rPr>
          <w:rFonts w:ascii="Times New Roman" w:cs="Times New Roman" w:eastAsia="Times New Roman" w:hAnsi="Times New Roman"/>
          <w:sz w:val="19"/>
          <w:szCs w:val="19"/>
          <w:b w:val="1"/>
          <w:bCs w:val="1"/>
          <w:color w:val="auto"/>
        </w:rPr>
        <w:t>Compensation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Borrowers jointly and severally agree to pay to the Administrative Agent for the account of each Lender, upon the request of the Administrative Agent, such amount or amounts as the Administrative Agent shall determine in its sole discretion shall be sufficient to compensate such Lender for any loss, cost or expense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- 89 -</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89" w:lineRule="exact"/>
        <w:rPr>
          <w:sz w:val="20"/>
          <w:szCs w:val="20"/>
          <w:color w:val="auto"/>
        </w:rPr>
      </w:pPr>
    </w:p>
    <w:p>
      <w:pPr>
        <w:jc w:val="both"/>
        <w:ind w:firstLine="656"/>
        <w:spacing w:after="0" w:line="261" w:lineRule="auto"/>
        <w:tabs>
          <w:tab w:leader="none" w:pos="1065"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or prepayment (whether mandatory or optional) of a SOFR Loan or a Bid Rate Loan by a Borrower, or Conversion of a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made by such Lender for any reason (including, without limitation, acceleration) on a date other than the last day of the Interest Period for such Loan;</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1"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Borrower for any reason (including, without limitation, the failure of any of the applicable conditions precedent specified in Section 5.2. to be satisfied) to borrow a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or a Bid Rate Loan from such Lender on the date for such borrowing, or to Convert a Base Rate Loan into a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or Continue a </w:t>
      </w:r>
      <w:r>
        <w:rPr>
          <w:rFonts w:ascii="Times New Roman" w:cs="Times New Roman" w:eastAsia="Times New Roman" w:hAnsi="Times New Roman"/>
          <w:sz w:val="20"/>
          <w:szCs w:val="20"/>
          <w:color w:val="FF0000"/>
          <w:strike w:val="1"/>
        </w:rPr>
        <w:t>SOFR</w:t>
      </w:r>
      <w:r>
        <w:rPr>
          <w:rFonts w:ascii="Times New Roman" w:cs="Times New Roman" w:eastAsia="Times New Roman" w:hAnsi="Times New Roman"/>
          <w:sz w:val="20"/>
          <w:szCs w:val="20"/>
          <w:u w:val="single" w:color="auto"/>
          <w:color w:val="007BB8"/>
        </w:rPr>
        <w:t>Term OFR</w:t>
      </w:r>
      <w:r>
        <w:rPr>
          <w:rFonts w:ascii="Times New Roman" w:cs="Times New Roman" w:eastAsia="Times New Roman" w:hAnsi="Times New Roman"/>
          <w:sz w:val="20"/>
          <w:szCs w:val="20"/>
          <w:color w:val="auto"/>
        </w:rPr>
        <w:t xml:space="preserve"> Loan on the requested date of such Conversion or Continuation,</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of a Borrower to prepay any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on a date specified therefor in a notice of prepayment; or</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15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assignment of any </w:t>
      </w:r>
      <w:r>
        <w:rPr>
          <w:rFonts w:ascii="Times New Roman" w:cs="Times New Roman" w:eastAsia="Times New Roman" w:hAnsi="Times New Roman"/>
          <w:sz w:val="20"/>
          <w:szCs w:val="20"/>
          <w:color w:val="007BB8"/>
        </w:rPr>
        <w:t>Term</w:t>
      </w:r>
      <w:r>
        <w:rPr>
          <w:rFonts w:ascii="Times New Roman" w:cs="Times New Roman" w:eastAsia="Times New Roman" w:hAnsi="Times New Roman"/>
          <w:sz w:val="20"/>
          <w:szCs w:val="20"/>
          <w:color w:val="auto"/>
        </w:rPr>
        <w:t xml:space="preserve"> SOFR Loan other than on the last day of the Interest Period applicable thereto as a result of a request by a Borrower pursuant to Section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-192405</wp:posOffset>
            </wp:positionV>
            <wp:extent cx="3035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03530" cy="8255"/>
                    </a:xfrm>
                    <a:prstGeom prst="rect">
                      <a:avLst/>
                    </a:prstGeom>
                    <a:noFill/>
                  </pic:spPr>
                </pic:pic>
              </a:graphicData>
            </a:graphic>
          </wp:anchor>
        </w:drawing>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Not in limitation of the foregoing, such compensation shall include, without limitation, (i) in the case of a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an amount equal to the then present value of (A) the amount of interest that would have accrued on such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for the remainder of the Interest Period at the rate applicable to such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less (B) the amount of interest that would accrue on the same </w:t>
      </w:r>
      <w:r>
        <w:rPr>
          <w:rFonts w:ascii="Times New Roman" w:cs="Times New Roman" w:eastAsia="Times New Roman" w:hAnsi="Times New Roman"/>
          <w:sz w:val="20"/>
          <w:szCs w:val="20"/>
          <w:color w:val="007BB8"/>
        </w:rPr>
        <w:t>Term</w:t>
      </w:r>
      <w:r>
        <w:rPr>
          <w:rFonts w:ascii="Times New Roman" w:cs="Times New Roman" w:eastAsia="Times New Roman" w:hAnsi="Times New Roman"/>
          <w:sz w:val="20"/>
          <w:szCs w:val="20"/>
          <w:color w:val="auto"/>
        </w:rPr>
        <w:t xml:space="preserve"> SOFR Loan for the same period if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were set on the date on which such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was repaid, prepaid, Converted or assigned or the date on which a Borrower failed to borrow, Convert into, Continue or prepay such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Loan, as applicable, calculating present value by using as a discount rate </w:t>
      </w:r>
      <w:r>
        <w:rPr>
          <w:rFonts w:ascii="Times New Roman" w:cs="Times New Roman" w:eastAsia="Times New Roman" w:hAnsi="Times New Roman"/>
          <w:sz w:val="20"/>
          <w:szCs w:val="20"/>
          <w:u w:val="single" w:color="auto"/>
          <w:color w:val="007BB8"/>
        </w:rPr>
        <w:t>Term</w:t>
      </w:r>
      <w:r>
        <w:rPr>
          <w:rFonts w:ascii="Times New Roman" w:cs="Times New Roman" w:eastAsia="Times New Roman" w:hAnsi="Times New Roman"/>
          <w:sz w:val="20"/>
          <w:szCs w:val="20"/>
          <w:color w:val="auto"/>
        </w:rPr>
        <w:t xml:space="preserve"> SOFR quoted on such date and (ii) in the case of a Bid Rate Loan, the sum of such losses and expenses as the Lender or Designated Lender who made such Bid Rate Loan may reasonably incur by reason of such prepayment, including without limitation any losses or expenses incurred in obtaining, liquidating or employing deposits from third parties. Upon the Borrower Representative’s request, the Administrative Agent shall provide the Borrower Representative with a statement setting forth the basis for requesting such compensation and the method for determining the amount thereof. Any such statement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-1238250</wp:posOffset>
            </wp:positionV>
            <wp:extent cx="311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-1238250</wp:posOffset>
            </wp:positionV>
            <wp:extent cx="3035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03530" cy="8255"/>
                    </a:xfrm>
                    <a:prstGeom prst="rect">
                      <a:avLst/>
                    </a:prstGeom>
                    <a:noFill/>
                  </pic:spPr>
                </pic:pic>
              </a:graphicData>
            </a:graphic>
          </wp:anchor>
        </w:drawing>
      </w:r>
    </w:p>
    <w:p>
      <w:pPr>
        <w:spacing w:after="0" w:line="16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4.5.</w:t>
      </w:r>
      <w:r>
        <w:rPr>
          <w:sz w:val="20"/>
          <w:szCs w:val="20"/>
          <w:color w:val="auto"/>
        </w:rPr>
        <w:tab/>
      </w:r>
      <w:r>
        <w:rPr>
          <w:rFonts w:ascii="Times New Roman" w:cs="Times New Roman" w:eastAsia="Times New Roman" w:hAnsi="Times New Roman"/>
          <w:sz w:val="19"/>
          <w:szCs w:val="19"/>
          <w:b w:val="1"/>
          <w:bCs w:val="1"/>
          <w:color w:val="auto"/>
        </w:rPr>
        <w:t>Treatment of Affected Loans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1" w:lineRule="auto"/>
        <w:tabs>
          <w:tab w:leader="none" w:pos="1079"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obligation of any Lender to make SOFR Loans or to Continue, or to Convert Base Rate Loans into, SOFR Loans shall be suspended pursuant to Section 4.1.(c), Section 4.2. or Section 4.3. then such Lender’s </w:t>
      </w:r>
      <w:r>
        <w:rPr>
          <w:rFonts w:ascii="Times New Roman" w:cs="Times New Roman" w:eastAsia="Times New Roman" w:hAnsi="Times New Roman"/>
          <w:sz w:val="20"/>
          <w:szCs w:val="20"/>
          <w:u w:val="single" w:color="auto"/>
          <w:color w:val="007BB8"/>
        </w:rPr>
        <w:t>Daily Simple</w:t>
      </w:r>
      <w:r>
        <w:rPr>
          <w:rFonts w:ascii="Times New Roman" w:cs="Times New Roman" w:eastAsia="Times New Roman" w:hAnsi="Times New Roman"/>
          <w:sz w:val="20"/>
          <w:szCs w:val="20"/>
          <w:color w:val="auto"/>
        </w:rPr>
        <w:t xml:space="preserve"> SOFR Loans</w:t>
      </w:r>
      <w:r>
        <w:rPr>
          <w:rFonts w:ascii="Times New Roman" w:cs="Times New Roman" w:eastAsia="Times New Roman" w:hAnsi="Times New Roman"/>
          <w:sz w:val="20"/>
          <w:szCs w:val="20"/>
          <w:u w:val="single" w:color="auto"/>
          <w:color w:val="007BB8"/>
        </w:rPr>
        <w:t>, if applicable, and/or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SOFR Loans, if applicable,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shall be automatically Converted into</w:t>
      </w:r>
      <w:r>
        <w:rPr>
          <w:rFonts w:ascii="Times New Roman" w:cs="Times New Roman" w:eastAsia="Times New Roman" w:hAnsi="Times New Roman"/>
          <w:sz w:val="20"/>
          <w:szCs w:val="20"/>
          <w:u w:val="single" w:color="auto"/>
          <w:color w:val="007BB8"/>
        </w:rPr>
        <w:t>, in the case of Daily Simple SOFR Loans,</w:t>
      </w:r>
      <w:r>
        <w:rPr>
          <w:rFonts w:ascii="Times New Roman" w:cs="Times New Roman" w:eastAsia="Times New Roman" w:hAnsi="Times New Roman"/>
          <w:sz w:val="20"/>
          <w:szCs w:val="20"/>
          <w:color w:val="007BB8"/>
        </w:rPr>
        <w:t xml:space="preserve"> Base Rate Loans </w:t>
      </w:r>
      <w:r>
        <w:rPr>
          <w:rFonts w:ascii="Times New Roman" w:cs="Times New Roman" w:eastAsia="Times New Roman" w:hAnsi="Times New Roman"/>
          <w:sz w:val="20"/>
          <w:szCs w:val="20"/>
          <w:u w:val="single" w:color="auto"/>
          <w:color w:val="007BB8"/>
        </w:rPr>
        <w:t>immediately,</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7BB8"/>
        </w:rPr>
        <w:t>or,</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B050"/>
        </w:rPr>
        <w:t>in the case of Term</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7BB8"/>
        </w:rPr>
        <w:t>SOFR Loans, Daily Simple SOFR Loans, if available or, otherwise, Base Rate Loans</w:t>
      </w:r>
      <w:r>
        <w:rPr>
          <w:rFonts w:ascii="Times New Roman" w:cs="Times New Roman" w:eastAsia="Times New Roman" w:hAnsi="Times New Roman"/>
          <w:sz w:val="20"/>
          <w:szCs w:val="20"/>
          <w:u w:val="single" w:color="auto"/>
          <w:color w:val="000000"/>
        </w:rPr>
        <w:t>,</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on the last day(s) of the then</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 xml:space="preserve">current Interest Period(s) for </w:t>
      </w:r>
      <w:r>
        <w:rPr>
          <w:rFonts w:ascii="Times New Roman" w:cs="Times New Roman" w:eastAsia="Times New Roman" w:hAnsi="Times New Roman"/>
          <w:sz w:val="20"/>
          <w:szCs w:val="20"/>
          <w:u w:val="single" w:color="auto"/>
          <w:color w:val="007BB8"/>
        </w:rPr>
        <w:t>such Term</w:t>
      </w:r>
      <w:r>
        <w:rPr>
          <w:rFonts w:ascii="Times New Roman" w:cs="Times New Roman" w:eastAsia="Times New Roman" w:hAnsi="Times New Roman"/>
          <w:sz w:val="20"/>
          <w:szCs w:val="20"/>
          <w:color w:val="000000"/>
        </w:rPr>
        <w:t xml:space="preserve"> SOFR Loans (or, in the case of a Conversion required by Section 4.1.(c), Section 4.2., or Section 4.3. on such earlier date as such Lender or the Administrative Agent, as applicable, may specify to the Borrower Representative with a copy to the Administrative Agent, if applicable) and, unless and until such Lender gives notice as provided below that the circumstances specified in Section 4.1., Section 4.2. or Section 4.3. that gave rise to such Conversion no longer exist:</w:t>
      </w:r>
    </w:p>
    <w:p>
      <w:pPr>
        <w:spacing w:after="0" w:line="195" w:lineRule="exact"/>
        <w:rPr>
          <w:rFonts w:ascii="Times New Roman" w:cs="Times New Roman" w:eastAsia="Times New Roman" w:hAnsi="Times New Roman"/>
          <w:sz w:val="20"/>
          <w:szCs w:val="20"/>
          <w:color w:val="auto"/>
        </w:rPr>
      </w:pPr>
    </w:p>
    <w:p>
      <w:pPr>
        <w:ind w:left="660" w:firstLine="644"/>
        <w:spacing w:after="0" w:line="269" w:lineRule="auto"/>
        <w:tabs>
          <w:tab w:leader="none" w:pos="1734" w:val="left"/>
        </w:tabs>
        <w:numPr>
          <w:ilvl w:val="2"/>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Lender’s SOFR Loans have been so Converted, all payments and prepayments of principal that would otherwise be applied to such Lender’s SOFR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90 -</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Loans shall be applied instead to its </w:t>
      </w:r>
      <w:r>
        <w:rPr>
          <w:rFonts w:ascii="Times New Roman" w:cs="Times New Roman" w:eastAsia="Times New Roman" w:hAnsi="Times New Roman"/>
          <w:sz w:val="20"/>
          <w:szCs w:val="20"/>
          <w:u w:val="single" w:color="auto"/>
          <w:color w:val="007BB8"/>
        </w:rPr>
        <w:t>Daily Simple SOFR Loans or</w:t>
      </w:r>
      <w:r>
        <w:rPr>
          <w:rFonts w:ascii="Times New Roman" w:cs="Times New Roman" w:eastAsia="Times New Roman" w:hAnsi="Times New Roman"/>
          <w:sz w:val="20"/>
          <w:szCs w:val="20"/>
          <w:color w:val="auto"/>
        </w:rPr>
        <w:t xml:space="preserve"> Base Rate Loans</w:t>
      </w:r>
      <w:r>
        <w:rPr>
          <w:rFonts w:ascii="Times New Roman" w:cs="Times New Roman" w:eastAsia="Times New Roman" w:hAnsi="Times New Roman"/>
          <w:sz w:val="20"/>
          <w:szCs w:val="20"/>
          <w:u w:val="single" w:color="auto"/>
          <w:color w:val="007BB8"/>
        </w:rPr>
        <w:t>, as the case may be</w:t>
      </w:r>
      <w:r>
        <w:rPr>
          <w:rFonts w:ascii="Times New Roman" w:cs="Times New Roman" w:eastAsia="Times New Roman" w:hAnsi="Times New Roman"/>
          <w:sz w:val="20"/>
          <w:szCs w:val="20"/>
          <w:color w:val="auto"/>
        </w:rPr>
        <w:t>; and</w:t>
      </w:r>
    </w:p>
    <w:p>
      <w:pPr>
        <w:spacing w:after="0" w:line="229" w:lineRule="exact"/>
        <w:rPr>
          <w:sz w:val="20"/>
          <w:szCs w:val="20"/>
          <w:color w:val="auto"/>
        </w:rPr>
      </w:pPr>
    </w:p>
    <w:p>
      <w:pPr>
        <w:jc w:val="both"/>
        <w:ind w:left="660" w:firstLine="644"/>
        <w:spacing w:after="0" w:line="261" w:lineRule="auto"/>
        <w:tabs>
          <w:tab w:leader="none" w:pos="1827"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Loans that would otherwise be made or Continued by such Lender as SOFR Loans shall be made or Continued instead as </w:t>
      </w:r>
      <w:r>
        <w:rPr>
          <w:rFonts w:ascii="Times New Roman" w:cs="Times New Roman" w:eastAsia="Times New Roman" w:hAnsi="Times New Roman"/>
          <w:sz w:val="20"/>
          <w:szCs w:val="20"/>
          <w:u w:val="single" w:color="auto"/>
          <w:color w:val="007BB8"/>
        </w:rPr>
        <w:t>Daily Simple SOFR Loans, if available in the case of Term SOFR Loans, or, otherwise to</w:t>
      </w:r>
      <w:r>
        <w:rPr>
          <w:rFonts w:ascii="Times New Roman" w:cs="Times New Roman" w:eastAsia="Times New Roman" w:hAnsi="Times New Roman"/>
          <w:sz w:val="20"/>
          <w:szCs w:val="20"/>
          <w:color w:val="auto"/>
        </w:rPr>
        <w:t xml:space="preserve"> Base Rate Loans, and all Base Rate Loans of such Lender that would otherwise be Converted into SOFR Loans shall remain as Base Rate Loans.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If such Lender or the Administrative Agent, as applicable, gives notice to the Borrower Representative (with a copy to the Administrative Agent, if applicable) that the circumstances specified in Section 4.1.(c) or 4.3. that gave rise to the Conversion of such Lender’s SOFR Loans pursuant to this Section no longer exist (which such Lender or the Administrative Agent, as applicable, agrees to do promptly upon such circumstances ceasing to exist) at a time when SOFR Loans made by other Lenders are outstanding, then such Lender’s </w:t>
      </w:r>
      <w:r>
        <w:rPr>
          <w:rFonts w:ascii="Times New Roman" w:cs="Times New Roman" w:eastAsia="Times New Roman" w:hAnsi="Times New Roman"/>
          <w:sz w:val="20"/>
          <w:szCs w:val="20"/>
          <w:u w:val="single" w:color="auto"/>
          <w:color w:val="007BB8"/>
        </w:rPr>
        <w:t>Daily Simple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Loans or</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Base Rate Loans</w:t>
      </w:r>
      <w:r>
        <w:rPr>
          <w:rFonts w:ascii="Times New Roman" w:cs="Times New Roman" w:eastAsia="Times New Roman" w:hAnsi="Times New Roman"/>
          <w:sz w:val="20"/>
          <w:szCs w:val="20"/>
          <w:u w:val="single" w:color="auto"/>
          <w:color w:val="007BB8"/>
        </w:rPr>
        <w:t>, as the case may be,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shall be automatically Converted,</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7BB8"/>
        </w:rPr>
        <w:t>immediately, in the case of Daily Simple SOFR Loans or, in</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7BB8"/>
        </w:rPr>
        <w:t>the case of Term SOFR Loans,</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on the first day(s) of the next succeeding Interest Period(s) for such outstanding</w:t>
      </w:r>
      <w:r>
        <w:rPr>
          <w:rFonts w:ascii="Times New Roman" w:cs="Times New Roman" w:eastAsia="Times New Roman" w:hAnsi="Times New Roman"/>
          <w:sz w:val="20"/>
          <w:szCs w:val="20"/>
          <w:color w:val="007BB8"/>
        </w:rPr>
        <w:t xml:space="preserve"> Term </w:t>
      </w:r>
      <w:r>
        <w:rPr>
          <w:rFonts w:ascii="Times New Roman" w:cs="Times New Roman" w:eastAsia="Times New Roman" w:hAnsi="Times New Roman"/>
          <w:sz w:val="20"/>
          <w:szCs w:val="20"/>
          <w:color w:val="000000"/>
        </w:rPr>
        <w:t>SOFR Loans, to the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 xml:space="preserve">extent necessary so that, after giving effect thereto, all Loans held by the Lenders holding </w:t>
      </w:r>
      <w:r>
        <w:rPr>
          <w:rFonts w:ascii="Times New Roman" w:cs="Times New Roman" w:eastAsia="Times New Roman" w:hAnsi="Times New Roman"/>
          <w:sz w:val="20"/>
          <w:szCs w:val="20"/>
          <w:color w:val="007BB8"/>
        </w:rPr>
        <w:t>the respective</w:t>
      </w:r>
      <w:r>
        <w:rPr>
          <w:rFonts w:ascii="Times New Roman" w:cs="Times New Roman" w:eastAsia="Times New Roman" w:hAnsi="Times New Roman"/>
          <w:sz w:val="20"/>
          <w:szCs w:val="20"/>
          <w:color w:val="000000"/>
        </w:rPr>
        <w:t xml:space="preserve"> SOFR Loans and by such Lender are held pro rata (as to principal amounts, Class, Types and Interest Periods) in accordance with their respective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5760720</wp:posOffset>
            </wp:positionH>
            <wp:positionV relativeFrom="paragraph">
              <wp:posOffset>-342265</wp:posOffset>
            </wp:positionV>
            <wp:extent cx="3035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-187960</wp:posOffset>
            </wp:positionV>
            <wp:extent cx="7569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60" w:lineRule="exact"/>
        <w:rPr>
          <w:sz w:val="20"/>
          <w:szCs w:val="20"/>
          <w:color w:val="auto"/>
        </w:rPr>
      </w:pPr>
    </w:p>
    <w:p>
      <w:pPr>
        <w:ind w:left="1080" w:hanging="424"/>
        <w:spacing w:after="0"/>
        <w:tabs>
          <w:tab w:leader="none" w:pos="1080" w:val="left"/>
        </w:tabs>
        <w:numPr>
          <w:ilvl w:val="1"/>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color w:val="FF0000"/>
          <w:strike w:val="1"/>
        </w:rPr>
        <w:t>obligation</w:t>
      </w:r>
      <w:r>
        <w:rPr>
          <w:rFonts w:ascii="Times New Roman" w:cs="Times New Roman" w:eastAsia="Times New Roman" w:hAnsi="Times New Roman"/>
          <w:sz w:val="19"/>
          <w:szCs w:val="19"/>
          <w:u w:val="single" w:color="auto"/>
          <w:color w:val="007BB8"/>
        </w:rPr>
        <w:t>obligations</w:t>
      </w:r>
      <w:r>
        <w:rPr>
          <w:rFonts w:ascii="Times New Roman" w:cs="Times New Roman" w:eastAsia="Times New Roman" w:hAnsi="Times New Roman"/>
          <w:sz w:val="19"/>
          <w:szCs w:val="19"/>
          <w:color w:val="auto"/>
        </w:rPr>
        <w:t xml:space="preserve"> of a Revolving Lender to make SOFR Margin Loans shall be suspended pursuant to Section </w:t>
      </w:r>
      <w:r>
        <w:rPr>
          <w:rFonts w:ascii="Times New Roman" w:cs="Times New Roman" w:eastAsia="Times New Roman" w:hAnsi="Times New Roman"/>
          <w:sz w:val="19"/>
          <w:szCs w:val="19"/>
          <w:color w:val="FF0000"/>
          <w:strike w:val="1"/>
        </w:rPr>
        <w:t>4.1.</w:t>
      </w:r>
      <w:r>
        <w:rPr>
          <w:rFonts w:ascii="Times New Roman" w:cs="Times New Roman" w:eastAsia="Times New Roman" w:hAnsi="Times New Roman"/>
          <w:sz w:val="19"/>
          <w:szCs w:val="19"/>
          <w:u w:val="single" w:color="auto"/>
          <w:color w:val="007BB8"/>
        </w:rPr>
        <w:t>4.1.</w:t>
      </w:r>
    </w:p>
    <w:p>
      <w:pPr>
        <w:spacing w:after="0" w:line="39" w:lineRule="exact"/>
        <w:rPr>
          <w:rFonts w:ascii="Times New Roman" w:cs="Times New Roman" w:eastAsia="Times New Roman" w:hAnsi="Times New Roman"/>
          <w:sz w:val="19"/>
          <w:szCs w:val="19"/>
          <w:color w:val="auto"/>
        </w:rPr>
      </w:pPr>
    </w:p>
    <w:p>
      <w:pPr>
        <w:ind w:firstLine="8"/>
        <w:spacing w:after="0" w:line="253" w:lineRule="auto"/>
        <w:tabs>
          <w:tab w:leader="none" w:pos="269"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color w:val="FF0000"/>
          <w:strike w:val="1"/>
        </w:rPr>
        <w:t>4.2.</w:t>
      </w:r>
      <w:r>
        <w:rPr>
          <w:rFonts w:ascii="Times New Roman" w:cs="Times New Roman" w:eastAsia="Times New Roman" w:hAnsi="Times New Roman"/>
          <w:sz w:val="20"/>
          <w:szCs w:val="20"/>
          <w:u w:val="single" w:color="auto"/>
          <w:color w:val="007BB8"/>
        </w:rPr>
        <w:t>4.2.</w:t>
      </w:r>
      <w:r>
        <w:rPr>
          <w:rFonts w:ascii="Times New Roman" w:cs="Times New Roman" w:eastAsia="Times New Roman" w:hAnsi="Times New Roman"/>
          <w:sz w:val="20"/>
          <w:szCs w:val="20"/>
          <w:color w:val="auto"/>
        </w:rPr>
        <w:t>, then the SOFR Margin Loans of such Lender shall be automatically due and payable on such date as such Lender may specify to the Borrower Representative by written notice with a copy to the Administrative Agent.</w:t>
      </w:r>
    </w:p>
    <w:p>
      <w:pPr>
        <w:spacing w:after="0" w:line="18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4.6.</w:t>
      </w:r>
      <w:r>
        <w:rPr>
          <w:sz w:val="20"/>
          <w:szCs w:val="20"/>
          <w:color w:val="auto"/>
        </w:rPr>
        <w:tab/>
      </w:r>
      <w:r>
        <w:rPr>
          <w:rFonts w:ascii="Times New Roman" w:cs="Times New Roman" w:eastAsia="Times New Roman" w:hAnsi="Times New Roman"/>
          <w:sz w:val="19"/>
          <w:szCs w:val="19"/>
          <w:b w:val="1"/>
          <w:bCs w:val="1"/>
          <w:color w:val="auto"/>
        </w:rPr>
        <w:t>Affected Lenders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(a) a Lender requests compensation pursuant to Section 3.10. or 4.1., and the Requisite Lenders are not also doing the same, (b) the obligation of any Lender to make SOFR Loans or to Continue, or to Convert Base Rate Loans into, SOFR Loans shall be suspended pursuant to Section 4.1.(c) or 4.3. but the obligation of the Requisite Lenders shall not have been suspended under such Sections or (c) a Lender is a Non-Consenting Lender, then, so long as there does not then exist any Default or Event of Default, the Borrower Representative may demand that such Lender (the “Affected Lender”), and upon such demand the Affected Lender shall promptly, assign its Revolving Commitment or Revolving Commitments to an Eligible Assignee subject to and in accordance with the provisions of Section 12.5.(b) for a purchase price equal to (x) the aggregate principal balance of all Loans then owing to the Affected Lender, plus (y) the aggregate amount of payments previously made by the Affected Lender under Section 2.4.(j) that have not been repaid, plus (z)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any other Lender, or any Titled Agent be obligated in any way whatsoever to initiate any such replacement or to assist in finding an Eligible Assignee; provided that the failure or unwillingness of such Affected Lender to execute the Assignment and Assumption and other necessary documents shall not prevent or delay such assignment and the Assignment and Assumption and other necessary documents shall be automatically deemed to be fully authorized and executed by the Affected Lender if such Affected Lender does not promptly execute all documents reasonably requested to effect such assignment (and, if such Lender fails to deliver any Notes held by it, such Notes shall automatically be deemed canceled and such Lender shall be required to indemnify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- 91 -</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Borrowers for any liabilities incurred by the Borrowers by reason of the failure of such Lender to deliver such Notes). The exercise by the Borrowers of their rights under this Section shall be at the Borrowers’ sole cost and expense and at no cost or expense to the Administrative Agent, the Affected Lender or any of the other Lenders. The terms of this Section shall not in any way limit any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4.7.</w:t>
      </w:r>
      <w:r>
        <w:rPr>
          <w:sz w:val="20"/>
          <w:szCs w:val="20"/>
          <w:color w:val="auto"/>
        </w:rPr>
        <w:tab/>
      </w:r>
      <w:r>
        <w:rPr>
          <w:rFonts w:ascii="Times New Roman" w:cs="Times New Roman" w:eastAsia="Times New Roman" w:hAnsi="Times New Roman"/>
          <w:sz w:val="19"/>
          <w:szCs w:val="19"/>
          <w:b w:val="1"/>
          <w:bCs w:val="1"/>
          <w:color w:val="auto"/>
        </w:rPr>
        <w:t>Change of Lending Office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Borrowers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 CONDITIONS PRECEDENT</w:t>
      </w:r>
    </w:p>
    <w:p>
      <w:pPr>
        <w:spacing w:after="0" w:line="21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5.1.</w:t>
      </w:r>
      <w:r>
        <w:rPr>
          <w:sz w:val="20"/>
          <w:szCs w:val="20"/>
          <w:color w:val="auto"/>
        </w:rPr>
        <w:tab/>
      </w:r>
      <w:r>
        <w:rPr>
          <w:rFonts w:ascii="Times New Roman" w:cs="Times New Roman" w:eastAsia="Times New Roman" w:hAnsi="Times New Roman"/>
          <w:sz w:val="19"/>
          <w:szCs w:val="19"/>
          <w:b w:val="1"/>
          <w:bCs w:val="1"/>
          <w:color w:val="auto"/>
        </w:rPr>
        <w:t>Initial Conditions Precedent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obligation of the Lenders to effect or permit the occurrence of the first Credit Event hereunder, whether as the making of a Loan or the issuance of a Letter of Credit, is subject to the satisfaction or waiver of the following conditions precedent:</w:t>
      </w:r>
    </w:p>
    <w:p>
      <w:pPr>
        <w:spacing w:after="0" w:line="173" w:lineRule="exact"/>
        <w:rPr>
          <w:sz w:val="20"/>
          <w:szCs w:val="20"/>
          <w:color w:val="auto"/>
        </w:rPr>
      </w:pPr>
    </w:p>
    <w:p>
      <w:pPr>
        <w:ind w:left="1120" w:hanging="464"/>
        <w:spacing w:after="0"/>
        <w:tabs>
          <w:tab w:leader="none" w:pos="112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each of the following, in form and substance satisfactory to the Administrative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200" w:lineRule="exact"/>
        <w:rPr>
          <w:sz w:val="20"/>
          <w:szCs w:val="20"/>
          <w:color w:val="auto"/>
        </w:rPr>
      </w:pPr>
    </w:p>
    <w:p>
      <w:pPr>
        <w:ind w:left="1680" w:hanging="376"/>
        <w:spacing w:after="0"/>
        <w:tabs>
          <w:tab w:leader="none" w:pos="168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Agreement executed by each of the parties hereto;</w:t>
      </w:r>
    </w:p>
    <w:p>
      <w:pPr>
        <w:spacing w:after="0" w:line="229"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858"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Revolving Notes, Term Notes and Bid Rate Notes executed by the Borrowers, payable to each applicable Lender (including any Designated Lender, if applicable), other than any Lender that has requested that it not receive Notes and complying with the terms of Section 2.12.(a) </w:t>
      </w:r>
      <w:r>
        <w:rPr>
          <w:rFonts w:ascii="Times New Roman" w:cs="Times New Roman" w:eastAsia="Times New Roman" w:hAnsi="Times New Roman"/>
          <w:sz w:val="20"/>
          <w:szCs w:val="20"/>
          <w:color w:val="FF0000"/>
        </w:rPr>
        <w:t>and the Swingline Notes executed by the Borrowers</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660" w:firstLine="644"/>
        <w:spacing w:after="0" w:line="283" w:lineRule="auto"/>
        <w:tabs>
          <w:tab w:leader="none" w:pos="181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or opinions of counsel to the Borrowers and the other Loan Parties, addressed to the Administrative Agent and the Lenders and covering the matters set forth in Exhibit N;</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28"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2101850</wp:posOffset>
            </wp:positionH>
            <wp:positionV relativeFrom="paragraph">
              <wp:posOffset>-1995805</wp:posOffset>
            </wp:positionV>
            <wp:extent cx="2644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644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- 92 -</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89" w:lineRule="exact"/>
        <w:rPr>
          <w:sz w:val="20"/>
          <w:szCs w:val="20"/>
          <w:color w:val="auto"/>
        </w:rPr>
      </w:pPr>
    </w:p>
    <w:p>
      <w:pPr>
        <w:ind w:left="460" w:right="20"/>
        <w:spacing w:after="0" w:line="283" w:lineRule="auto"/>
        <w:rPr>
          <w:sz w:val="20"/>
          <w:szCs w:val="20"/>
          <w:color w:val="auto"/>
        </w:rPr>
      </w:pPr>
      <w:r>
        <w:rPr>
          <w:rFonts w:ascii="Times New Roman" w:cs="Times New Roman" w:eastAsia="Times New Roman" w:hAnsi="Times New Roman"/>
          <w:sz w:val="20"/>
          <w:szCs w:val="20"/>
          <w:color w:val="auto"/>
        </w:rPr>
        <w:t>taxation, as applicable) of each state in which such Loan Party is required to be so qualified and where failure to be so qualified could reasonably be expected to have a Material Adverse Effect;</w:t>
      </w:r>
    </w:p>
    <w:p>
      <w:pPr>
        <w:spacing w:after="0" w:line="146" w:lineRule="exact"/>
        <w:rPr>
          <w:sz w:val="20"/>
          <w:szCs w:val="20"/>
          <w:color w:val="auto"/>
        </w:rPr>
      </w:pPr>
    </w:p>
    <w:p>
      <w:pPr>
        <w:jc w:val="both"/>
        <w:ind w:left="460" w:firstLine="644"/>
        <w:spacing w:after="0" w:line="257" w:lineRule="auto"/>
        <w:tabs>
          <w:tab w:leader="none" w:pos="1735"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Representative, authorized to execute and deliver on behalf of each Borrower Notices of Borrowing, </w:t>
      </w:r>
      <w:r>
        <w:rPr>
          <w:rFonts w:ascii="Times New Roman" w:cs="Times New Roman" w:eastAsia="Times New Roman" w:hAnsi="Times New Roman"/>
          <w:sz w:val="20"/>
          <w:szCs w:val="20"/>
          <w:color w:val="FF0000"/>
          <w:strike w:val="1"/>
        </w:rPr>
        <w:t>Notices of Swingline Borrowing,</w:t>
      </w:r>
      <w:r>
        <w:rPr>
          <w:rFonts w:ascii="Times New Roman" w:cs="Times New Roman" w:eastAsia="Times New Roman" w:hAnsi="Times New Roman"/>
          <w:sz w:val="20"/>
          <w:szCs w:val="20"/>
          <w:color w:val="auto"/>
        </w:rPr>
        <w:t xml:space="preserve"> requests for Letters of Credit, Notices of Conversion, Notices of Continuation, Bid Rate Quote Requests and Bid Rate Quote Acceptances;</w:t>
      </w:r>
    </w:p>
    <w:p>
      <w:pPr>
        <w:spacing w:after="0" w:line="172" w:lineRule="exact"/>
        <w:rPr>
          <w:rFonts w:ascii="Times New Roman" w:cs="Times New Roman" w:eastAsia="Times New Roman" w:hAnsi="Times New Roman"/>
          <w:sz w:val="20"/>
          <w:szCs w:val="20"/>
          <w:color w:val="auto"/>
        </w:rPr>
      </w:pPr>
    </w:p>
    <w:p>
      <w:pPr>
        <w:jc w:val="both"/>
        <w:ind w:left="460" w:firstLine="644"/>
        <w:spacing w:after="0" w:line="257" w:lineRule="auto"/>
        <w:tabs>
          <w:tab w:leader="none" w:pos="1784"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certified by the Secretary or Assistant Secretary (or other individual performing similar functions) of each Loan Party of (A) such Loan Party’s by-laws, if a corporation, operating agreement, if a limited liability company,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172" w:lineRule="exact"/>
        <w:rPr>
          <w:rFonts w:ascii="Times New Roman" w:cs="Times New Roman" w:eastAsia="Times New Roman" w:hAnsi="Times New Roman"/>
          <w:sz w:val="20"/>
          <w:szCs w:val="20"/>
          <w:color w:val="auto"/>
        </w:rPr>
      </w:pPr>
    </w:p>
    <w:p>
      <w:pPr>
        <w:ind w:left="1600" w:hanging="496"/>
        <w:spacing w:after="0"/>
        <w:tabs>
          <w:tab w:leader="none" w:pos="1600" w:val="left"/>
        </w:tabs>
        <w:numPr>
          <w:ilvl w:val="1"/>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Compliance Certificate for the Parent calculated on a pro forma basis for the Parent’s fiscal quarter ended September</w:t>
      </w:r>
    </w:p>
    <w:p>
      <w:pPr>
        <w:spacing w:after="0" w:line="39"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30, 2021;</w:t>
      </w:r>
    </w:p>
    <w:p>
      <w:pPr>
        <w:spacing w:after="0" w:line="200" w:lineRule="exact"/>
        <w:rPr>
          <w:rFonts w:ascii="Times New Roman" w:cs="Times New Roman" w:eastAsia="Times New Roman" w:hAnsi="Times New Roman"/>
          <w:sz w:val="19"/>
          <w:szCs w:val="19"/>
          <w:color w:val="auto"/>
        </w:rPr>
      </w:pPr>
    </w:p>
    <w:p>
      <w:pPr>
        <w:ind w:left="1540" w:hanging="436"/>
        <w:spacing w:after="0"/>
        <w:tabs>
          <w:tab w:leader="none" w:pos="1540"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Disbursement Instruction Agreement effective as of the Agreement Date;</w:t>
      </w:r>
    </w:p>
    <w:p>
      <w:pPr>
        <w:spacing w:after="0" w:line="229" w:lineRule="exact"/>
        <w:rPr>
          <w:rFonts w:ascii="Times New Roman" w:cs="Times New Roman" w:eastAsia="Times New Roman" w:hAnsi="Times New Roman"/>
          <w:sz w:val="20"/>
          <w:szCs w:val="20"/>
          <w:color w:val="auto"/>
        </w:rPr>
      </w:pPr>
    </w:p>
    <w:p>
      <w:pPr>
        <w:jc w:val="both"/>
        <w:ind w:left="460" w:right="20" w:firstLine="644"/>
        <w:spacing w:after="0" w:line="261" w:lineRule="auto"/>
        <w:tabs>
          <w:tab w:leader="none" w:pos="1681"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Fees, if any, then due and payable under Section 3.5., together with all other fees, expenses and reimbursement amounts due and payable to the Administrative Agent and any of the Lenders, including without limitation, the fees and expenses of counsel to the Administrative Agent, have been paid;</w:t>
      </w:r>
    </w:p>
    <w:p>
      <w:pPr>
        <w:spacing w:after="0" w:line="181" w:lineRule="exact"/>
        <w:rPr>
          <w:rFonts w:ascii="Times New Roman" w:cs="Times New Roman" w:eastAsia="Times New Roman" w:hAnsi="Times New Roman"/>
          <w:sz w:val="20"/>
          <w:szCs w:val="20"/>
          <w:color w:val="auto"/>
        </w:rPr>
      </w:pPr>
    </w:p>
    <w:p>
      <w:pPr>
        <w:ind w:left="460" w:right="20" w:firstLine="644"/>
        <w:spacing w:after="0" w:line="269" w:lineRule="auto"/>
        <w:tabs>
          <w:tab w:leader="none" w:pos="1696"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each Property subject to a Mortgage listed on Schedule 1.1 and such other information as reasonably requested by the Administrative Agent or any Lender to complete its flood due diligence with respect to such Properties; and</w:t>
      </w:r>
    </w:p>
    <w:p>
      <w:pPr>
        <w:spacing w:after="0" w:line="172" w:lineRule="exact"/>
        <w:rPr>
          <w:rFonts w:ascii="Times New Roman" w:cs="Times New Roman" w:eastAsia="Times New Roman" w:hAnsi="Times New Roman"/>
          <w:sz w:val="20"/>
          <w:szCs w:val="20"/>
          <w:color w:val="auto"/>
        </w:rPr>
      </w:pPr>
    </w:p>
    <w:p>
      <w:pPr>
        <w:ind w:left="460" w:firstLine="644"/>
        <w:spacing w:after="0" w:line="269" w:lineRule="auto"/>
        <w:tabs>
          <w:tab w:leader="none" w:pos="1878"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agreements and instruments as the Administrative Agent, or any Lender (through the Administrative Agent), may reasonably request; and</w:t>
      </w:r>
    </w:p>
    <w:p>
      <w:pPr>
        <w:spacing w:after="0" w:line="172" w:lineRule="exact"/>
        <w:rPr>
          <w:rFonts w:ascii="Times New Roman" w:cs="Times New Roman" w:eastAsia="Times New Roman" w:hAnsi="Times New Roman"/>
          <w:sz w:val="20"/>
          <w:szCs w:val="20"/>
          <w:color w:val="auto"/>
        </w:rPr>
      </w:pPr>
    </w:p>
    <w:p>
      <w:pPr>
        <w:ind w:left="880" w:hanging="424"/>
        <w:spacing w:after="0"/>
        <w:tabs>
          <w:tab w:leader="none" w:pos="88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good faith judgment of the Administrative Agent:</w:t>
      </w:r>
    </w:p>
    <w:p>
      <w:pPr>
        <w:spacing w:after="0" w:line="229" w:lineRule="exact"/>
        <w:rPr>
          <w:rFonts w:ascii="Times New Roman" w:cs="Times New Roman" w:eastAsia="Times New Roman" w:hAnsi="Times New Roman"/>
          <w:sz w:val="20"/>
          <w:szCs w:val="20"/>
          <w:color w:val="auto"/>
        </w:rPr>
      </w:pPr>
    </w:p>
    <w:p>
      <w:pPr>
        <w:jc w:val="both"/>
        <w:ind w:left="460" w:firstLine="644"/>
        <w:spacing w:after="0" w:line="254" w:lineRule="auto"/>
        <w:tabs>
          <w:tab w:leader="none" w:pos="1507"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Parent and its Subsidiaries delivered to the Administrative Agent and the Lenders prior to the Agreement Date that has had or could reasonably be expected to result in a Material Adverse Effect;</w:t>
      </w:r>
    </w:p>
    <w:p>
      <w:pPr>
        <w:spacing w:after="0" w:line="187" w:lineRule="exact"/>
        <w:rPr>
          <w:rFonts w:ascii="Times New Roman" w:cs="Times New Roman" w:eastAsia="Times New Roman" w:hAnsi="Times New Roman"/>
          <w:sz w:val="20"/>
          <w:szCs w:val="20"/>
          <w:color w:val="auto"/>
        </w:rPr>
      </w:pPr>
    </w:p>
    <w:p>
      <w:pPr>
        <w:jc w:val="both"/>
        <w:ind w:left="460" w:firstLine="644"/>
        <w:spacing w:after="0" w:line="258" w:lineRule="auto"/>
        <w:tabs>
          <w:tab w:leader="none" w:pos="1667"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any Loan Party to fulfill its obligations under the Loan Documents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- 93 -</w:t>
      </w:r>
    </w:p>
    <w:p>
      <w:pPr>
        <w:sectPr>
          <w:pgSz w:w="11900" w:h="16838" w:orient="portrait"/>
          <w:cols w:equalWidth="0" w:num="1">
            <w:col w:w="11040"/>
          </w:cols>
          <w:pgMar w:left="520" w:top="1440" w:right="339" w:bottom="1440" w:gutter="0" w:footer="0" w:header="0"/>
        </w:sectPr>
      </w:pPr>
    </w:p>
    <w:bookmarkStart w:id="430" w:name="page431"/>
    <w:bookmarkEnd w:id="430"/>
    <w:p>
      <w:pPr>
        <w:spacing w:after="0" w:line="189" w:lineRule="exact"/>
        <w:rPr>
          <w:sz w:val="20"/>
          <w:szCs w:val="20"/>
          <w:color w:val="auto"/>
        </w:rPr>
      </w:pPr>
    </w:p>
    <w:p>
      <w:pPr>
        <w:jc w:val="both"/>
        <w:ind w:left="660" w:firstLine="644"/>
        <w:spacing w:after="0" w:line="251" w:lineRule="auto"/>
        <w:tabs>
          <w:tab w:leader="none" w:pos="1844"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w:t>
      </w:r>
    </w:p>
    <w:p>
      <w:pPr>
        <w:ind w:left="660" w:hanging="4"/>
        <w:spacing w:after="0" w:line="267" w:lineRule="auto"/>
        <w:tabs>
          <w:tab w:leader="none" w:pos="992"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restrain or enjoin impose materially burdensome conditions on, or otherwise materially and adversely affect the ability of any Loan Party to fulfill its obligations under the Loan Documents to which it is a party;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91"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Loan Party (i) shall have provided all information requested by the Administrative Agent and each Lender in order to comply with applicable “know your customer” and Anti-Money Laundering Laws, including without limitation, the Patriot Act and (ii) shall have delivered to the Administrative Agent, and directly to any Lender requesting the same, a Beneficial Ownership Certification in relation to it (unless such Borrower qualifies for an express exclusion from the “legal entity customer” definition under the Beneficial Ownership Regulations), in each case at least five (5) Business Days prior to the Agreement Date.</w:t>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5.2.</w:t>
      </w:r>
      <w:r>
        <w:rPr>
          <w:sz w:val="20"/>
          <w:szCs w:val="20"/>
          <w:color w:val="auto"/>
        </w:rPr>
        <w:tab/>
      </w:r>
      <w:r>
        <w:rPr>
          <w:rFonts w:ascii="Times New Roman" w:cs="Times New Roman" w:eastAsia="Times New Roman" w:hAnsi="Times New Roman"/>
          <w:sz w:val="19"/>
          <w:szCs w:val="19"/>
          <w:b w:val="1"/>
          <w:bCs w:val="1"/>
          <w:color w:val="auto"/>
        </w:rPr>
        <w:t>Conditions Precedent to All Loans and Letters of Credit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obligations of (i) Lenders to make any Loans and (ii) the Issuing Banks to issue Letters of Credit are each subject to the further conditions precedent that: (a) no Default or Event of Default shall exist as of the date of the making of such Loan or date of issuance of such Letter of Credit or would exist immediately after giving effect thereto, and no violation of the limits described in Section 2.18. would occur after giving effect thereto; (b) the representations and warranties made or deemed made by each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 (c) in the case of the borrowing of Revolving Loans or Term Loans, the Administrative Agent shall have received a timely Notice of Borrowing</w:t>
      </w:r>
      <w:r>
        <w:rPr>
          <w:rFonts w:ascii="Times New Roman" w:cs="Times New Roman" w:eastAsia="Times New Roman" w:hAnsi="Times New Roman"/>
          <w:sz w:val="20"/>
          <w:szCs w:val="20"/>
          <w:color w:val="FF0000"/>
          <w:strike w:val="1"/>
        </w:rPr>
        <w:t>, or in the case of a Swingline Loan, the 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Swingline Lender shall have received a timely Notice of Swingline Borrowing</w:t>
      </w:r>
      <w:r>
        <w:rPr>
          <w:rFonts w:ascii="Times New Roman" w:cs="Times New Roman" w:eastAsia="Times New Roman" w:hAnsi="Times New Roman"/>
          <w:sz w:val="20"/>
          <w:szCs w:val="20"/>
          <w:color w:val="000000"/>
        </w:rPr>
        <w:t>. Each Credit Event shall constitute a certification by each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Borrower to the effect set forth in the preceding sentence (both as of the date of the giving of notice relating to such Credit Event and, unless any Borrower otherwise notifies the Administrative Agent prior to the date of such Credit Event, as of the date of the occurrence of such Credit Event). In addition, each Borrower shall be deemed to have represented to the Administrative Agent and the Lenders at the time any Loan is made or any Letter of Credit is issued that all conditions to the making of such Loan or issuing of such Letter of Credit contained in this Section 5.2. have been satisfied. Unless set forth in writing to the contrary, the making of its initial Loan by a Lender shall constitute a certification by such Lender to the Administrative Agent and the other Lenders that the conditions precedent for initial Loans set forth in Sections 5.1. and 5.2. that have not previously been waived by the Lenders in accordance with the terms of this Agreement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- 94 -</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8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ARTICLE VI. REPRESENTATIONS AND WARRANTIES</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6.1.</w:t>
      </w:r>
      <w:r>
        <w:rPr>
          <w:sz w:val="20"/>
          <w:szCs w:val="20"/>
          <w:color w:val="auto"/>
        </w:rPr>
        <w:tab/>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order to induce the Administrative Agent and each Lender to enter into this Agreement and to make Loans and, in the case of the Issuing Banks, to issue Letters of Credit, each Borrower represents and warrants to the Administrative Agent, each Issuing Bank and each Lender as follows:</w:t>
      </w:r>
    </w:p>
    <w:p>
      <w:pPr>
        <w:spacing w:after="0" w:line="181" w:lineRule="exact"/>
        <w:rPr>
          <w:sz w:val="20"/>
          <w:szCs w:val="20"/>
          <w:color w:val="auto"/>
        </w:rPr>
      </w:pPr>
    </w:p>
    <w:p>
      <w:pPr>
        <w:jc w:val="both"/>
        <w:ind w:firstLine="656"/>
        <w:spacing w:after="0" w:line="253" w:lineRule="auto"/>
        <w:tabs>
          <w:tab w:leader="none" w:pos="1173"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Power; Qualification</w:t>
      </w:r>
      <w:r>
        <w:rPr>
          <w:rFonts w:ascii="Times New Roman" w:cs="Times New Roman" w:eastAsia="Times New Roman" w:hAnsi="Times New Roman"/>
          <w:sz w:val="20"/>
          <w:szCs w:val="20"/>
          <w:color w:val="auto"/>
        </w:rPr>
        <w:t>. Each of the Borrowers, the other Loan Parties and their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None of the Borrowers, any other Loan Party or any other Subsidiary is an EEA Financial Institution.</w:t>
      </w:r>
    </w:p>
    <w:p>
      <w:pPr>
        <w:spacing w:after="0" w:line="179" w:lineRule="exact"/>
        <w:rPr>
          <w:rFonts w:ascii="Times New Roman" w:cs="Times New Roman" w:eastAsia="Times New Roman" w:hAnsi="Times New Roman"/>
          <w:sz w:val="20"/>
          <w:szCs w:val="20"/>
          <w:color w:val="auto"/>
        </w:rPr>
      </w:pPr>
    </w:p>
    <w:p>
      <w:pPr>
        <w:jc w:val="both"/>
        <w:ind w:firstLine="656"/>
        <w:spacing w:after="0" w:line="249" w:lineRule="auto"/>
        <w:tabs>
          <w:tab w:leader="none" w:pos="1076"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Structure</w:t>
      </w:r>
      <w:r>
        <w:rPr>
          <w:rFonts w:ascii="Times New Roman" w:cs="Times New Roman" w:eastAsia="Times New Roman" w:hAnsi="Times New Roman"/>
          <w:sz w:val="20"/>
          <w:szCs w:val="20"/>
          <w:color w:val="auto"/>
        </w:rPr>
        <w:t xml:space="preserve">. Part I of Schedule 6.1.(b) is,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a complete and correct list of all Subsidiaries of each of the Borrowers setting forth (i) for each such Subsidiary (A) the jurisdiction of organization of such Subsidiary and (B) whether such Subsidiary is a Material Subsidiary, and (ii) for each such Subsidiary that owns or leases a Property, and/or owns or holds a Structured Finance Investment</w:t>
      </w:r>
      <w:r>
        <w:rPr>
          <w:rFonts w:ascii="Times New Roman" w:cs="Times New Roman" w:eastAsia="Times New Roman" w:hAnsi="Times New Roman"/>
          <w:sz w:val="20"/>
          <w:szCs w:val="20"/>
          <w:u w:val="single" w:color="auto"/>
          <w:color w:val="007BB8"/>
        </w:rPr>
        <w:t>, Fund Investment</w:t>
      </w:r>
      <w:r>
        <w:rPr>
          <w:rFonts w:ascii="Times New Roman" w:cs="Times New Roman" w:eastAsia="Times New Roman" w:hAnsi="Times New Roman"/>
          <w:sz w:val="20"/>
          <w:szCs w:val="20"/>
          <w:color w:val="auto"/>
        </w:rPr>
        <w:t xml:space="preserve"> or Mortgage Receivable, that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is eligible for inclusion in a calculation of Unencumbered Asset Value (A) each Borrower or Subsidiary holding any direct or indirect Equity Interest in such Subsidiary, (B) the nature of the Equity Interests held by each such Person, and (C) the percentage of ownership represented by such Equity Interests.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except as disclosed in such Schedule, (A) except with respect to (I) any Subsidiary which is not a Wholly Owned Subsidiary, (II) any Subsidiary which is a Single Asset Entity and (III) customary provisions in partnership agreements, lease agreements, mortgages and similar agreements in each case entered into in the ordinary course of business, each of the Borrowers and their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except with respect to (I) any Subsidiary which is not a Wholly Owned Subsidiary, (II) any Subsidiary which is a Single Asset Entity and (III) customary provisions in partnership agreements, lease agreements, mortgages and similar agreements, in each case entered into in the ordinary course of business,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Part II of Schedule 6.1.(b) correctly sets forth all Unconsolidated Affiliates of each Borrower, including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correct legal name of such Person, the type of legal entity which each such Person is, and all Equity Interests in such Person held directly or indirectly by the applicable Borrower.</w:t>
      </w:r>
    </w:p>
    <w:p>
      <w:pPr>
        <w:spacing w:after="0" w:line="195" w:lineRule="exact"/>
        <w:rPr>
          <w:rFonts w:ascii="Times New Roman" w:cs="Times New Roman" w:eastAsia="Times New Roman" w:hAnsi="Times New Roman"/>
          <w:sz w:val="20"/>
          <w:szCs w:val="20"/>
          <w:color w:val="auto"/>
        </w:rPr>
      </w:pPr>
    </w:p>
    <w:p>
      <w:pPr>
        <w:ind w:firstLine="656"/>
        <w:spacing w:after="0" w:line="283" w:lineRule="auto"/>
        <w:tabs>
          <w:tab w:leader="none" w:pos="1092"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Loan Documents and Borrowings</w:t>
      </w:r>
      <w:r>
        <w:rPr>
          <w:rFonts w:ascii="Times New Roman" w:cs="Times New Roman" w:eastAsia="Times New Roman" w:hAnsi="Times New Roman"/>
          <w:sz w:val="20"/>
          <w:szCs w:val="20"/>
          <w:color w:val="auto"/>
        </w:rPr>
        <w:t>. Each Borrower has the right and power, and has taken all necessary action to authorize it, to borrow and obtain other extensions of credit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95 -</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hereunder. Each Borrower and each other Loan Party has the right and power, and has taken all necessary action to authorize it, to execute, deliver and perform each of the Loan Documents and the Fee Letters to which it is a party in accordance with their respective terms and to consummate the transactions contemplated hereby and thereby. The Loan Documents and the Fee Letters to which any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95" w:lineRule="exact"/>
        <w:rPr>
          <w:sz w:val="20"/>
          <w:szCs w:val="20"/>
          <w:color w:val="auto"/>
        </w:rPr>
      </w:pPr>
    </w:p>
    <w:p>
      <w:pPr>
        <w:jc w:val="both"/>
        <w:ind w:firstLine="656"/>
        <w:spacing w:after="0" w:line="252" w:lineRule="auto"/>
        <w:tabs>
          <w:tab w:leader="none" w:pos="1198"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of Loan Documents with Laws</w:t>
      </w:r>
      <w:r>
        <w:rPr>
          <w:rFonts w:ascii="Times New Roman" w:cs="Times New Roman" w:eastAsia="Times New Roman" w:hAnsi="Times New Roman"/>
          <w:sz w:val="20"/>
          <w:szCs w:val="20"/>
          <w:color w:val="auto"/>
        </w:rPr>
        <w:t>. The execution, delivery and performance of this Agreement, the other Loan Documents to which any Loan Party is a party and the Fee Letters in accordance with their respective terms and the borrowings and other extensions of credit hereunder do not and will not, by the passage of time, the giving of notice, or both: (i) require any Governmental Approval or violate any Applicable Law (including any Environmental Laws) relating to any Borrower or any other Loan Party or any Subsidiary; (ii) conflict with, result in a breach of or constitute a default under the organizational documents of any Loan Party, or any indenture, agreement or other instrument to which any Borrower or any other Loan Party or any Subsidiary is a party or by which it or any of its respective properties may be bound; or (iii) result in or require the creation or imposition of any Lien upon or with respect to any property now owned or hereafter acquired by any Borrower or any other Loan Party other than in favor of the Administrative Agent for its benefit and the benefit of the other Lender Parties.</w:t>
      </w:r>
    </w:p>
    <w:p>
      <w:pPr>
        <w:spacing w:after="0" w:line="175" w:lineRule="exact"/>
        <w:rPr>
          <w:rFonts w:ascii="Times New Roman" w:cs="Times New Roman" w:eastAsia="Times New Roman" w:hAnsi="Times New Roman"/>
          <w:sz w:val="20"/>
          <w:szCs w:val="20"/>
          <w:color w:val="auto"/>
        </w:rPr>
      </w:pPr>
    </w:p>
    <w:p>
      <w:pPr>
        <w:jc w:val="both"/>
        <w:ind w:firstLine="656"/>
        <w:spacing w:after="0" w:line="258" w:lineRule="auto"/>
        <w:tabs>
          <w:tab w:leader="none" w:pos="116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 Governmental Approvals</w:t>
      </w:r>
      <w:r>
        <w:rPr>
          <w:rFonts w:ascii="Times New Roman" w:cs="Times New Roman" w:eastAsia="Times New Roman" w:hAnsi="Times New Roman"/>
          <w:sz w:val="20"/>
          <w:szCs w:val="20"/>
          <w:color w:val="auto"/>
        </w:rPr>
        <w:t>. Each of the Borrowers, the other Loan Parties and the Subsidiaries is in compliance with each Governmental Approval and all other Applicable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44"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to Properties; Liens</w:t>
      </w:r>
      <w:r>
        <w:rPr>
          <w:rFonts w:ascii="Times New Roman" w:cs="Times New Roman" w:eastAsia="Times New Roman" w:hAnsi="Times New Roman"/>
          <w:sz w:val="20"/>
          <w:szCs w:val="20"/>
          <w:color w:val="auto"/>
        </w:rPr>
        <w:t xml:space="preserve">. Part I of Schedule 6.1.(f) is,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a complete and correct listing of all Properties of each Borrower, each other Loan Party and each of their respective Subsidiaries, which also identifies any Property that is a Development Property or Transition Asset as such a Property. Each of the Loan Parties and each their respective Subsidiaries has good, marketable and legal title to, or a valid leasehold interest in, its respective assets.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there are no Liens against any assets of any Borrower, any Loan Party or any Subsidiary other than Permitted Liens and Liens set forth on Part II of Schedule 6.1.(f).</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4"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Indebtedness</w:t>
      </w:r>
      <w:r>
        <w:rPr>
          <w:rFonts w:ascii="Times New Roman" w:cs="Times New Roman" w:eastAsia="Times New Roman" w:hAnsi="Times New Roman"/>
          <w:sz w:val="20"/>
          <w:szCs w:val="20"/>
          <w:color w:val="auto"/>
        </w:rPr>
        <w:t xml:space="preserve">. Schedule 6.1.(g) is,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a complete and correct listing of all Material Indebtedness (including all Guarantees) of each of the Borrowers, the other Loan Parties and their respective Subsidiaries, and if such Material Indebtedness is secured by any Lien, identifying the Properties or other assets encumbered by such Lien.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each Borrower, each other Loan Party and each of their respective Subsidiaries have performed and are 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compliance with all of the terms of such Material Indebtedness and all instruments and agreements relating thereto, and no default or event of default, or event or condition which with the giving of notice, the lapse of time, or both, would constitute a default or event of default, exists with respect to any such Material Indebtedness.</w:t>
      </w:r>
    </w:p>
    <w:p>
      <w:pPr>
        <w:spacing w:after="0" w:line="17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96 -</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89" w:lineRule="exact"/>
        <w:rPr>
          <w:sz w:val="20"/>
          <w:szCs w:val="20"/>
          <w:color w:val="auto"/>
        </w:rPr>
      </w:pPr>
    </w:p>
    <w:p>
      <w:pPr>
        <w:jc w:val="both"/>
        <w:ind w:left="-206" w:firstLine="656"/>
        <w:spacing w:after="0" w:line="253" w:lineRule="auto"/>
        <w:tabs>
          <w:tab w:leader="none" w:pos="854"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Except as set forth on Schedule 6.1.(i), there are no actions, suits or proceedings pending (nor, to the knowledge of any Loan Party, are there any actions, suits or proceedings threatened, nor is there any basis therefor) against or in any other way relating to or affecting any Borrower, any other Loan Party any Subsidiary or any of their respective property in any court or before any arbitrator of any kind or before or by any other Governmental Authority which could reasonably be expected to have a Material Adverse Effect. There are no strikes, slowdowns, work stoppages or walkouts or other labor disputes in progress or threatened relating to, any Borrower, other Loan Party or any Subsidiary which could reasonably be expected to have a Material Adverse Effect.</w:t>
      </w:r>
    </w:p>
    <w:p>
      <w:pPr>
        <w:spacing w:after="0" w:line="192" w:lineRule="exact"/>
        <w:rPr>
          <w:rFonts w:ascii="Times New Roman" w:cs="Times New Roman" w:eastAsia="Times New Roman" w:hAnsi="Times New Roman"/>
          <w:sz w:val="20"/>
          <w:szCs w:val="20"/>
          <w:color w:val="auto"/>
        </w:rPr>
      </w:pPr>
    </w:p>
    <w:p>
      <w:pPr>
        <w:jc w:val="both"/>
        <w:ind w:left="-206" w:firstLine="656"/>
        <w:spacing w:after="0" w:line="251" w:lineRule="auto"/>
        <w:tabs>
          <w:tab w:leader="none" w:pos="840"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All federal, state and other material tax returns of each Borrower, each other Loan Party and each Subsidiary required by Applicable Law to be filed have been duly filed, and all federal, state and other material taxes, assessments and other governmental charges or levies upon, each Borrower, each other Loan Party, each Subsidiary and their respective properties, income, profits and assets which are due and payable have been paid, except any such nonpayment or non-filing which is at the time permitted under Section 7.6.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none of the United States income tax returns of any Borrower, any other Loan Party or any Subsidiary is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under audit. All charges, accruals and reserves on the books of any Borrower, any other Loan Party and their Subsidiaries in respect of any taxes or other governmental charges are in accordance with GAAP.</w:t>
      </w:r>
    </w:p>
    <w:p>
      <w:pPr>
        <w:spacing w:after="0" w:line="192" w:lineRule="exact"/>
        <w:rPr>
          <w:rFonts w:ascii="Times New Roman" w:cs="Times New Roman" w:eastAsia="Times New Roman" w:hAnsi="Times New Roman"/>
          <w:sz w:val="20"/>
          <w:szCs w:val="20"/>
          <w:color w:val="auto"/>
        </w:rPr>
      </w:pPr>
    </w:p>
    <w:p>
      <w:pPr>
        <w:jc w:val="both"/>
        <w:ind w:left="-206" w:firstLine="656"/>
        <w:spacing w:after="0" w:line="264" w:lineRule="auto"/>
        <w:tabs>
          <w:tab w:leader="none" w:pos="938"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xml:space="preserve">. The Parent has furnished to each Lender copies of (i) the audited consolidated balance sheets of each Borrower and its respective consolidated Subsidiaries for the fiscal years ended December 31, </w:t>
      </w:r>
      <w:r>
        <w:rPr>
          <w:rFonts w:ascii="Times New Roman" w:cs="Times New Roman" w:eastAsia="Times New Roman" w:hAnsi="Times New Roman"/>
          <w:sz w:val="19"/>
          <w:szCs w:val="19"/>
          <w:color w:val="FF0000"/>
          <w:strike w:val="1"/>
        </w:rPr>
        <w:t>2019</w:t>
      </w:r>
      <w:r>
        <w:rPr>
          <w:rFonts w:ascii="Times New Roman" w:cs="Times New Roman" w:eastAsia="Times New Roman" w:hAnsi="Times New Roman"/>
          <w:sz w:val="19"/>
          <w:szCs w:val="19"/>
          <w:u w:val="single" w:color="auto"/>
          <w:color w:val="007BB8"/>
        </w:rPr>
        <w:t>2023, December 31, 2024</w:t>
      </w:r>
      <w:r>
        <w:rPr>
          <w:rFonts w:ascii="Times New Roman" w:cs="Times New Roman" w:eastAsia="Times New Roman" w:hAnsi="Times New Roman"/>
          <w:sz w:val="19"/>
          <w:szCs w:val="19"/>
          <w:color w:val="auto"/>
        </w:rPr>
        <w:t xml:space="preserve"> and December 31, </w:t>
      </w:r>
      <w:r>
        <w:rPr>
          <w:rFonts w:ascii="Times New Roman" w:cs="Times New Roman" w:eastAsia="Times New Roman" w:hAnsi="Times New Roman"/>
          <w:sz w:val="19"/>
          <w:szCs w:val="19"/>
          <w:color w:val="FF0000"/>
          <w:strike w:val="1"/>
        </w:rPr>
        <w:t>2020</w:t>
      </w:r>
      <w:r>
        <w:rPr>
          <w:rFonts w:ascii="Times New Roman" w:cs="Times New Roman" w:eastAsia="Times New Roman" w:hAnsi="Times New Roman"/>
          <w:sz w:val="19"/>
          <w:szCs w:val="19"/>
          <w:u w:val="single" w:color="auto"/>
          <w:color w:val="007BB8"/>
        </w:rPr>
        <w:t>2025</w:t>
      </w:r>
      <w:r>
        <w:rPr>
          <w:rFonts w:ascii="Times New Roman" w:cs="Times New Roman" w:eastAsia="Times New Roman" w:hAnsi="Times New Roman"/>
          <w:sz w:val="19"/>
          <w:szCs w:val="19"/>
          <w:color w:val="auto"/>
        </w:rPr>
        <w:t xml:space="preserve">, and the related audited consolidated statements of operations, shareholders’ equity and cash flow for the fiscal years ended on such dates, with the opinion thereon of </w:t>
      </w:r>
      <w:r>
        <w:rPr>
          <w:rFonts w:ascii="Times New Roman" w:cs="Times New Roman" w:eastAsia="Times New Roman" w:hAnsi="Times New Roman"/>
          <w:sz w:val="19"/>
          <w:szCs w:val="19"/>
          <w:color w:val="FF0000"/>
          <w:strike w:val="1"/>
        </w:rPr>
        <w:t>Ernst &amp; Young LLP, and (ii) the respective unaudited consolidated balance sheets of each Borrower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and its respective consolidated Subsidiaries for the fiscal quarter ended September 30, 2021, and the related unaudited consolidated statements of operations, shareholders’ equity and cash flow for the three fiscal quarter period ended on such date</w:t>
      </w:r>
      <w:r>
        <w:rPr>
          <w:rFonts w:ascii="Times New Roman" w:cs="Times New Roman" w:eastAsia="Times New Roman" w:hAnsi="Times New Roman"/>
          <w:sz w:val="19"/>
          <w:szCs w:val="19"/>
          <w:u w:val="single" w:color="auto"/>
          <w:color w:val="007BB8"/>
          <w:strike w:val="1"/>
        </w:rPr>
        <w:t>Deloitte LLP</w:t>
      </w:r>
      <w:r>
        <w:rPr>
          <w:rFonts w:ascii="Times New Roman" w:cs="Times New Roman" w:eastAsia="Times New Roman" w:hAnsi="Times New Roman"/>
          <w:sz w:val="19"/>
          <w:szCs w:val="19"/>
          <w:color w:val="000000"/>
          <w:strike w:val="1"/>
        </w:rPr>
        <w:t>. Such</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financial statements (including in each case related schedules and notes) are complete and correct in all material respects and present fairly, in accordance with GAAP consistently applied throughout the periods involved, the consolidated financial position of each Borrower and its respective consolidated Subsidiaries as at their respective dates and the results of operations and the cash flow for such periods </w:t>
      </w:r>
      <w:r>
        <w:rPr>
          <w:rFonts w:ascii="Times New Roman" w:cs="Times New Roman" w:eastAsia="Times New Roman" w:hAnsi="Times New Roman"/>
          <w:sz w:val="19"/>
          <w:szCs w:val="19"/>
          <w:color w:val="FF0000"/>
          <w:strike w:val="1"/>
        </w:rPr>
        <w:t>(subject, as to</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interim statements, to changes resulting from normal year end audit adjustments)</w:t>
      </w:r>
      <w:r>
        <w:rPr>
          <w:rFonts w:ascii="Times New Roman" w:cs="Times New Roman" w:eastAsia="Times New Roman" w:hAnsi="Times New Roman"/>
          <w:sz w:val="19"/>
          <w:szCs w:val="19"/>
          <w:color w:val="000000"/>
          <w:strike w:val="1"/>
        </w:rPr>
        <w:t>. No Loan Party or any of its Subsidiaries has on the</w:t>
      </w:r>
      <w:r>
        <w:rPr>
          <w:rFonts w:ascii="Times New Roman" w:cs="Times New Roman" w:eastAsia="Times New Roman" w:hAnsi="Times New Roman"/>
          <w:sz w:val="19"/>
          <w:szCs w:val="19"/>
          <w:color w:val="FF0000"/>
          <w:strike w:val="1"/>
        </w:rPr>
        <w:t xml:space="preserve"> Agreement</w:t>
      </w:r>
      <w:r>
        <w:rPr>
          <w:rFonts w:ascii="Times New Roman" w:cs="Times New Roman" w:eastAsia="Times New Roman" w:hAnsi="Times New Roman"/>
          <w:sz w:val="19"/>
          <w:szCs w:val="19"/>
          <w:u w:val="single" w:color="auto"/>
          <w:color w:val="007BB8"/>
          <w:strike w:val="1"/>
        </w:rPr>
        <w:t>First Amendment</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Date any material contingent liabilities, liabilities, unusual or long-term commitments or unrealized or forward</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anticipated losses from any unfavorable commitments that would be required to be set forth in its financial statements or notes thereto, except as referred to or reflected or provided for in the financial statements referenced in clauses (i) and (ii) above.</w:t>
      </w:r>
    </w:p>
    <w:p>
      <w:pPr>
        <w:spacing w:after="0" w:line="169" w:lineRule="exact"/>
        <w:rPr>
          <w:rFonts w:ascii="Times New Roman" w:cs="Times New Roman" w:eastAsia="Times New Roman" w:hAnsi="Times New Roman"/>
          <w:sz w:val="19"/>
          <w:szCs w:val="19"/>
          <w:color w:val="auto"/>
        </w:rPr>
      </w:pPr>
    </w:p>
    <w:p>
      <w:pPr>
        <w:jc w:val="both"/>
        <w:ind w:left="-206" w:firstLine="656"/>
        <w:spacing w:after="0" w:line="268" w:lineRule="auto"/>
        <w:tabs>
          <w:tab w:leader="none" w:pos="840"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xml:space="preserve">. Since December 31, </w:t>
      </w:r>
      <w:r>
        <w:rPr>
          <w:rFonts w:ascii="Times New Roman" w:cs="Times New Roman" w:eastAsia="Times New Roman" w:hAnsi="Times New Roman"/>
          <w:sz w:val="20"/>
          <w:szCs w:val="20"/>
          <w:color w:val="FF0000"/>
          <w:strike w:val="1"/>
        </w:rPr>
        <w:t>2020</w:t>
      </w:r>
      <w:r>
        <w:rPr>
          <w:rFonts w:ascii="Times New Roman" w:cs="Times New Roman" w:eastAsia="Times New Roman" w:hAnsi="Times New Roman"/>
          <w:sz w:val="20"/>
          <w:szCs w:val="20"/>
          <w:u w:val="single" w:color="auto"/>
          <w:color w:val="007BB8"/>
        </w:rPr>
        <w:t>2025</w:t>
      </w:r>
      <w:r>
        <w:rPr>
          <w:rFonts w:ascii="Times New Roman" w:cs="Times New Roman" w:eastAsia="Times New Roman" w:hAnsi="Times New Roman"/>
          <w:sz w:val="20"/>
          <w:szCs w:val="20"/>
          <w:color w:val="auto"/>
        </w:rPr>
        <w:t>, there has been no event, change, circumstance or occurrence that could reasonably be expected to have a Material Adverse Effect. Each of the Borrowers is, and the Parent and its Subsidiaries, on a consolidated basis, are, Solvent.</w:t>
      </w:r>
    </w:p>
    <w:p>
      <w:pPr>
        <w:spacing w:after="0" w:line="161" w:lineRule="exact"/>
        <w:rPr>
          <w:rFonts w:ascii="Times New Roman" w:cs="Times New Roman" w:eastAsia="Times New Roman" w:hAnsi="Times New Roman"/>
          <w:sz w:val="20"/>
          <w:szCs w:val="20"/>
          <w:color w:val="auto"/>
        </w:rPr>
      </w:pPr>
    </w:p>
    <w:p>
      <w:pPr>
        <w:ind w:left="934" w:hanging="484"/>
        <w:spacing w:after="0"/>
        <w:tabs>
          <w:tab w:leader="none" w:pos="934"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54" w:firstLine="644"/>
        <w:spacing w:after="0" w:line="258" w:lineRule="auto"/>
        <w:tabs>
          <w:tab w:leader="none" w:pos="1538" w:val="left"/>
        </w:tabs>
        <w:numPr>
          <w:ilvl w:val="2"/>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have a Material Adverse Effect, each Benefit Arrangement is in compliance with the applicable provisions of ERISA, the Internal Revenue Code and other Applicable Laws. Except with respect to Multiemployer Plans, (i) each Qualified Plan (A) has obtained a current favorable determination letter issued by the Internal Revenue Service, (B) is entitled to rely on a current,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8"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97 -</w:t>
      </w:r>
    </w:p>
    <w:p>
      <w:pPr>
        <w:sectPr>
          <w:pgSz w:w="11900" w:h="16838" w:orient="portrait"/>
          <w:cols w:equalWidth="0" w:num="1">
            <w:col w:w="11034"/>
          </w:cols>
          <w:pgMar w:left="526" w:top="1440" w:right="339" w:bottom="1440" w:gutter="0" w:footer="0" w:header="0"/>
        </w:sectPr>
      </w:pPr>
    </w:p>
    <w:bookmarkStart w:id="434" w:name="page435"/>
    <w:bookmarkEnd w:id="434"/>
    <w:p>
      <w:pPr>
        <w:spacing w:after="0" w:line="189" w:lineRule="exact"/>
        <w:rPr>
          <w:sz w:val="20"/>
          <w:szCs w:val="20"/>
          <w:color w:val="auto"/>
        </w:rPr>
      </w:pPr>
    </w:p>
    <w:p>
      <w:pPr>
        <w:jc w:val="both"/>
        <w:ind w:left="454"/>
        <w:spacing w:after="0" w:line="253" w:lineRule="auto"/>
        <w:rPr>
          <w:sz w:val="20"/>
          <w:szCs w:val="20"/>
          <w:color w:val="auto"/>
        </w:rPr>
      </w:pPr>
      <w:r>
        <w:rPr>
          <w:rFonts w:ascii="Times New Roman" w:cs="Times New Roman" w:eastAsia="Times New Roman" w:hAnsi="Times New Roman"/>
          <w:sz w:val="20"/>
          <w:szCs w:val="20"/>
          <w:color w:val="auto"/>
        </w:rPr>
        <w:t>favorable opinion letter issued by the Internal Revenue Service, or (C) has a remedial amendment period that has not yet expired during which the Qualified Plan may be filed for a favorable determination letter with respect to all provisions of such Qualified Plan, and (ii) to the best knowledge of each Borrower, nothing has occurred which could reasonably cause the loss of its reliance on each Qualified Plan’s favorable determination letter or opinion letter, except in the case of a compliance failure with respect to the Qualified Plan that is reasonably likely to result in a material liability to any of the Borrowers.</w:t>
      </w:r>
    </w:p>
    <w:p>
      <w:pPr>
        <w:spacing w:after="0" w:line="192" w:lineRule="exact"/>
        <w:rPr>
          <w:sz w:val="20"/>
          <w:szCs w:val="20"/>
          <w:color w:val="auto"/>
        </w:rPr>
      </w:pPr>
    </w:p>
    <w:p>
      <w:pPr>
        <w:jc w:val="both"/>
        <w:ind w:left="454" w:firstLine="644"/>
        <w:spacing w:after="0" w:line="258" w:lineRule="auto"/>
        <w:tabs>
          <w:tab w:leader="none" w:pos="1577"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Benefit Arrangement that is a retiree welfare benefit arrangement, all amounts have been accrued on the applicable ERISA Group’s financial statements in accordance with FASB ASC 715. The “benefit obligation” of all Plans does not exceed the “fair market value of plan assets” for such Plans by more than $25,000,000 all as determined by and with such terms defined in accordance with FASB ASC 715.</w:t>
      </w:r>
    </w:p>
    <w:p>
      <w:pPr>
        <w:spacing w:after="0" w:line="172" w:lineRule="exact"/>
        <w:rPr>
          <w:rFonts w:ascii="Times New Roman" w:cs="Times New Roman" w:eastAsia="Times New Roman" w:hAnsi="Times New Roman"/>
          <w:sz w:val="20"/>
          <w:szCs w:val="20"/>
          <w:color w:val="auto"/>
        </w:rPr>
      </w:pPr>
    </w:p>
    <w:p>
      <w:pPr>
        <w:jc w:val="both"/>
        <w:ind w:left="454" w:firstLine="644"/>
        <w:spacing w:after="0" w:line="253" w:lineRule="auto"/>
        <w:tabs>
          <w:tab w:leader="none" w:pos="1597"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have a Material Adverse Effect: (A) no ERISA Event has occurred or is reasonably expected to occur; (B) there are no pending, or to the best knowledge of each Borrower, threatened, claims, actions or lawsuits or other action by any Governmental Authority, plan participant or beneficiary with respect to a Benefit Arrangement; (C) there are no violations of the fiduciary responsibility rules with respect to any Benefit Arrangement; (D)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 and (E) no assessment or tax has arisen under Section 4980H of the Internal Revenue Code.</w:t>
      </w:r>
    </w:p>
    <w:p>
      <w:pPr>
        <w:spacing w:after="0" w:line="180" w:lineRule="exact"/>
        <w:rPr>
          <w:rFonts w:ascii="Times New Roman" w:cs="Times New Roman" w:eastAsia="Times New Roman" w:hAnsi="Times New Roman"/>
          <w:sz w:val="20"/>
          <w:szCs w:val="20"/>
          <w:color w:val="auto"/>
        </w:rPr>
      </w:pPr>
    </w:p>
    <w:p>
      <w:pPr>
        <w:jc w:val="both"/>
        <w:ind w:left="-206" w:firstLine="656"/>
        <w:spacing w:after="0" w:line="253" w:lineRule="auto"/>
        <w:tabs>
          <w:tab w:leader="none" w:pos="925"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Default</w:t>
      </w:r>
      <w:r>
        <w:rPr>
          <w:rFonts w:ascii="Times New Roman" w:cs="Times New Roman" w:eastAsia="Times New Roman" w:hAnsi="Times New Roman"/>
          <w:sz w:val="20"/>
          <w:szCs w:val="20"/>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179" w:lineRule="exact"/>
        <w:rPr>
          <w:rFonts w:ascii="Times New Roman" w:cs="Times New Roman" w:eastAsia="Times New Roman" w:hAnsi="Times New Roman"/>
          <w:sz w:val="20"/>
          <w:szCs w:val="20"/>
          <w:color w:val="auto"/>
        </w:rPr>
      </w:pPr>
    </w:p>
    <w:p>
      <w:pPr>
        <w:jc w:val="both"/>
        <w:ind w:left="-206" w:firstLine="656"/>
        <w:spacing w:after="0" w:line="252" w:lineRule="auto"/>
        <w:tabs>
          <w:tab w:leader="none" w:pos="1019"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Each of the Borrowers, each other Loan Party and each Subsidiary: (i) is in compliance with all Environmental Laws applicable to its business, operations and the Properties, (ii) has obtained all Governmental Approvals which are required under Environmental Laws, and each such Governmental Approval is in full force and effect, and (iii) is in compliance with all terms and conditions of such Governmental Approvals, where with respect to each of the immediately preceding clauses (i) through (iii) the failure to obtain or to comply with could reasonably be expected to have a Material Adverse Effect. Except for any of the following matters that could not reasonably be expected to have a Material Adverse Effect, no Loan Party has any knowledge of, or has received notice of, any past, present, or pending releases, events, conditions, circumstances, activities, practices, incidents, facts, occurrences, actions, or plans that, with respect to any Borrower, any other Loan Party or any Subsidiary, their respective businesses, operations or with respect to the Properties, may: (x) cause or contribute to an actual or alleged violation of or noncompliance with Environmental Laws, (y) cause or contribute to any other potential common-law claim or other liability, or (z) cause any of the Properties to become subject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3"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98 -</w:t>
      </w:r>
    </w:p>
    <w:p>
      <w:pPr>
        <w:sectPr>
          <w:pgSz w:w="11900" w:h="16838" w:orient="portrait"/>
          <w:cols w:equalWidth="0" w:num="1">
            <w:col w:w="11034"/>
          </w:cols>
          <w:pgMar w:left="526" w:top="1440" w:right="339" w:bottom="1440" w:gutter="0" w:footer="0" w:header="0"/>
        </w:sectPr>
      </w:pPr>
    </w:p>
    <w:bookmarkStart w:id="435" w:name="page436"/>
    <w:bookmarkEnd w:id="435"/>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to any restrictions on ownership, occupancy, use or transferability under any Environmental Law or require the filing or recording of any notice, approval or disclosure document under any Environmental Law and, with respect to the immediately preceding clauses (x) through (z) is based on or related to the on-site or off-site manufacture, generation, processing, distribution, use, treatment, storage, disposal, transport, removal, clean up or handling, or the emission, discharge, release or threatened release of any wastes or Hazardous Material, or any other requirement under Environmental Law. There is no civil, criminal, or administrative action, suit, demand, claim, hearing, notice, or demand letter, mandate, order, lien, request, investigation, or proceeding pending or, to each Loan Party’s knowledge after due inquiry, threatened, against such Loan Party or any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each Loan Party’s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183" w:lineRule="exact"/>
        <w:rPr>
          <w:sz w:val="20"/>
          <w:szCs w:val="20"/>
          <w:color w:val="auto"/>
        </w:rPr>
      </w:pPr>
    </w:p>
    <w:p>
      <w:pPr>
        <w:jc w:val="both"/>
        <w:ind w:firstLine="656"/>
        <w:spacing w:after="0" w:line="276" w:lineRule="auto"/>
        <w:tabs>
          <w:tab w:leader="none" w:pos="1117" w:val="left"/>
        </w:tabs>
        <w:numPr>
          <w:ilvl w:val="1"/>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 Company</w:t>
      </w:r>
      <w:r>
        <w:rPr>
          <w:rFonts w:ascii="Times New Roman" w:cs="Times New Roman" w:eastAsia="Times New Roman" w:hAnsi="Times New Roman"/>
          <w:sz w:val="19"/>
          <w:szCs w:val="19"/>
          <w:color w:val="auto"/>
        </w:rPr>
        <w:t>. None of the Borrowers, any other Loan Party or their Subsidiaries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69" w:lineRule="exact"/>
        <w:rPr>
          <w:rFonts w:ascii="Times New Roman" w:cs="Times New Roman" w:eastAsia="Times New Roman" w:hAnsi="Times New Roman"/>
          <w:sz w:val="19"/>
          <w:szCs w:val="19"/>
          <w:color w:val="auto"/>
        </w:rPr>
      </w:pPr>
    </w:p>
    <w:p>
      <w:pPr>
        <w:jc w:val="both"/>
        <w:ind w:firstLine="656"/>
        <w:spacing w:after="0" w:line="261" w:lineRule="auto"/>
        <w:tabs>
          <w:tab w:leader="none" w:pos="1171"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None of the Borrowers, the other Loan Parties or their Subsidiaries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67" w:lineRule="exact"/>
        <w:rPr>
          <w:rFonts w:ascii="Times New Roman" w:cs="Times New Roman" w:eastAsia="Times New Roman" w:hAnsi="Times New Roman"/>
          <w:sz w:val="20"/>
          <w:szCs w:val="20"/>
          <w:color w:val="auto"/>
        </w:rPr>
      </w:pPr>
    </w:p>
    <w:p>
      <w:pPr>
        <w:jc w:val="both"/>
        <w:ind w:firstLine="656"/>
        <w:spacing w:after="0" w:line="258" w:lineRule="auto"/>
        <w:tabs>
          <w:tab w:leader="none" w:pos="1057"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 Transactions</w:t>
      </w:r>
      <w:r>
        <w:rPr>
          <w:rFonts w:ascii="Times New Roman" w:cs="Times New Roman" w:eastAsia="Times New Roman" w:hAnsi="Times New Roman"/>
          <w:sz w:val="20"/>
          <w:szCs w:val="20"/>
          <w:color w:val="auto"/>
        </w:rPr>
        <w:t>. Except as permitted by Section 9.8. or as otherwise set forth on Schedule 6.1.(r), none of the Borrowers, the other Loan Parties or their Subsidiaries is a party to or bound by any agreement or arrangement with any Affiliate</w:t>
      </w:r>
      <w:r>
        <w:rPr>
          <w:rFonts w:ascii="Times New Roman" w:cs="Times New Roman" w:eastAsia="Times New Roman" w:hAnsi="Times New Roman"/>
          <w:sz w:val="20"/>
          <w:szCs w:val="20"/>
          <w:color w:val="FF0000"/>
          <w:strike w:val="1"/>
        </w:rPr>
        <w:t>, other than the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of Unrestricted Subsidiary Loans, if applicable, and any transaction related to such Unrestricted Subsidiary Loans, in each case, that is permitted by this Agreement</w:t>
      </w:r>
      <w:r>
        <w:rPr>
          <w:rFonts w:ascii="Times New Roman" w:cs="Times New Roman" w:eastAsia="Times New Roman" w:hAnsi="Times New Roman"/>
          <w:sz w:val="20"/>
          <w:szCs w:val="20"/>
          <w:color w:val="000000"/>
          <w:strike w:val="1"/>
        </w:rPr>
        <w:t>.</w:t>
      </w:r>
    </w:p>
    <w:p>
      <w:pPr>
        <w:spacing w:after="0" w:line="185" w:lineRule="exact"/>
        <w:rPr>
          <w:rFonts w:ascii="Times New Roman" w:cs="Times New Roman" w:eastAsia="Times New Roman" w:hAnsi="Times New Roman"/>
          <w:sz w:val="20"/>
          <w:szCs w:val="20"/>
          <w:color w:val="auto"/>
        </w:rPr>
      </w:pPr>
    </w:p>
    <w:p>
      <w:pPr>
        <w:jc w:val="both"/>
        <w:ind w:firstLine="656"/>
        <w:spacing w:after="0" w:line="252" w:lineRule="auto"/>
        <w:tabs>
          <w:tab w:leader="none" w:pos="1122"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Each of the Borrowers, the other Loan Parties and the other Subsidiaries owns or has the right to use, under valid license agreements or otherwise, all patents, licenses, franchises, trademarks, trademark rights, service marks, service mark rights, trade names, trade name rights, trade secrets and copyrights (collectively, “Intellectual Property”) necessary to the conduct of its businesses, without known conflict with any patent, license, franchise, trademark, trademark right, service mark, service mark right, trade secret, trade name, copyright, or other proprietary right of any other Person. All such Intellectual Property is fully protected and/or duly and properly registered, filed or issued in the appropriate office and jurisdictions for such registrations, filing or issuances. No material claim has been asserted by any Person with respect to the use of any such Intellectual Property by any Borrower, any other Loan Party or any Subsidiary, or challenging or questioning the validity or effectiveness of any such Intellectual Property. The use of such Intellectual Property by the Borrowers,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99 -</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other Loan Parties and their Subsidiaries does not infringe on the rights of any Person, subject to such claims and infringements as do not, in the aggregate, give rise to any liabilities on the part of any Borrower, any other Loan Party or any Subsidiary that could reasonably be expected to have a Material Adverse Effect.</w:t>
      </w:r>
    </w:p>
    <w:p>
      <w:pPr>
        <w:spacing w:after="0" w:line="181" w:lineRule="exact"/>
        <w:rPr>
          <w:sz w:val="20"/>
          <w:szCs w:val="20"/>
          <w:color w:val="auto"/>
        </w:rPr>
      </w:pPr>
    </w:p>
    <w:p>
      <w:pPr>
        <w:jc w:val="both"/>
        <w:ind w:firstLine="656"/>
        <w:spacing w:after="0" w:line="261" w:lineRule="auto"/>
        <w:tabs>
          <w:tab w:leader="none" w:pos="104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xml:space="preserve">.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the Borrowers, the other Loan Parties and their Subsidiaries are engaged primarily in the business of owning, managing, leasing, acquiring, repositioning and making investments in office properties in the borough of Manhattan, New York, New York, together with other business activities incidental thereto.</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7"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 Fees</w:t>
      </w:r>
      <w:r>
        <w:rPr>
          <w:rFonts w:ascii="Times New Roman" w:cs="Times New Roman" w:eastAsia="Times New Roman" w:hAnsi="Times New Roman"/>
          <w:sz w:val="20"/>
          <w:szCs w:val="20"/>
          <w:color w:val="auto"/>
        </w:rPr>
        <w:t>. Except as set forth in the Fee Letters, no broker’s or finder’s fee, commission or similar compensation will be payable with respect to the transactions contemplated hereby. No other similar fees or commissions will be payable by any Borrower or any other Loan Party for any other services rendered to any Borrower or any Subsidiary ancillary to the transactions contemplated hereby.</w:t>
      </w:r>
    </w:p>
    <w:p>
      <w:pPr>
        <w:spacing w:after="0" w:line="167" w:lineRule="exact"/>
        <w:rPr>
          <w:rFonts w:ascii="Times New Roman" w:cs="Times New Roman" w:eastAsia="Times New Roman" w:hAnsi="Times New Roman"/>
          <w:sz w:val="20"/>
          <w:szCs w:val="20"/>
          <w:color w:val="auto"/>
        </w:rPr>
      </w:pPr>
    </w:p>
    <w:p>
      <w:pPr>
        <w:jc w:val="both"/>
        <w:ind w:firstLine="656"/>
        <w:spacing w:after="0" w:line="264" w:lineRule="auto"/>
        <w:tabs>
          <w:tab w:leader="none" w:pos="1144" w:val="left"/>
        </w:tabs>
        <w:numPr>
          <w:ilvl w:val="1"/>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Accuracy and Completeness of Information</w:t>
      </w:r>
      <w:r>
        <w:rPr>
          <w:rFonts w:ascii="Times New Roman" w:cs="Times New Roman" w:eastAsia="Times New Roman" w:hAnsi="Times New Roman"/>
          <w:sz w:val="19"/>
          <w:szCs w:val="19"/>
          <w:color w:val="auto"/>
        </w:rPr>
        <w:t xml:space="preserve">. All written information, reports and other papers and data (other than financial projections, other forward looking statements and information of a general economic or industry specific nature) furnished to the Administrative Agent or any Lender by, on behalf of, or at the direction of, any Borrower, any other Loan Party or any Subsidiary were, taken as a whole, at the time the same were so furnished, complete and correct in all material respects, to the extent necessary to give the recipient a true and accurate knowledge of the subject matter, or, in the case of financial statements,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any Borrower, any other Loan Party or any Subsidiary that have been or may hereafter be made available to the Administrative Agent, any Issuing Bank or any Lender were or will be prepared in good faith based on reasonable assumptions. No fact is known to any Borrower or any other Loan Party which has had, or may in the future have (so far as any Borrower or other Loan Party can reasonably foresee), a Material Adverse Effect which has not been set forth in the financial statements referred to in Section 6.1.(k) or in such information, reports or other papers or data or otherwise disclosed in writing to the Administrative Agent, the Issuing Banks and the Lenders. No document furnished or written statement made to the Administrative Agent, any Issuing Bank or any Lender in connection with the negotiation, preparation or execution of, or pursuant to, this Agreement or any of the other Loan Documents contains or will contain any untrue statement of a material fact, or omits or will omit to state a material fact necessary in order to make the statements contained therein not misleading. As of the </w:t>
      </w:r>
      <w:r>
        <w:rPr>
          <w:rFonts w:ascii="Times New Roman" w:cs="Times New Roman" w:eastAsia="Times New Roman" w:hAnsi="Times New Roman"/>
          <w:sz w:val="19"/>
          <w:szCs w:val="19"/>
          <w:color w:val="FF0000"/>
          <w:strike w:val="1"/>
        </w:rPr>
        <w:t>Agreement</w:t>
      </w:r>
      <w:r>
        <w:rPr>
          <w:rFonts w:ascii="Times New Roman" w:cs="Times New Roman" w:eastAsia="Times New Roman" w:hAnsi="Times New Roman"/>
          <w:sz w:val="19"/>
          <w:szCs w:val="19"/>
          <w:u w:val="single" w:color="auto"/>
          <w:color w:val="007BB8"/>
        </w:rPr>
        <w:t>First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BB8"/>
        </w:rPr>
        <w:t>Amendment</w:t>
      </w:r>
      <w:r>
        <w:rPr>
          <w:rFonts w:ascii="Times New Roman" w:cs="Times New Roman" w:eastAsia="Times New Roman" w:hAnsi="Times New Roman"/>
          <w:sz w:val="19"/>
          <w:szCs w:val="19"/>
          <w:u w:val="single" w:color="auto"/>
          <w:color w:val="000000"/>
        </w:rPr>
        <w:t>t</w:t>
      </w:r>
      <w:r>
        <w:rPr>
          <w:rFonts w:ascii="Times New Roman" w:cs="Times New Roman" w:eastAsia="Times New Roman" w:hAnsi="Times New Roman"/>
          <w:sz w:val="19"/>
          <w:szCs w:val="19"/>
          <w:color w:val="007BB8"/>
        </w:rPr>
        <w:t xml:space="preserve"> </w:t>
      </w:r>
      <w:r>
        <w:rPr>
          <w:rFonts w:ascii="Times New Roman" w:cs="Times New Roman" w:eastAsia="Times New Roman" w:hAnsi="Times New Roman"/>
          <w:sz w:val="19"/>
          <w:szCs w:val="19"/>
          <w:color w:val="000000"/>
        </w:rPr>
        <w:t>Date, all of the information included in the Beneficial Ownership Certification, if required to be delivered, is true and correct.</w:t>
      </w:r>
    </w:p>
    <w:p>
      <w:pPr>
        <w:spacing w:after="0" w:line="166" w:lineRule="exact"/>
        <w:rPr>
          <w:rFonts w:ascii="Times New Roman" w:cs="Times New Roman" w:eastAsia="Times New Roman" w:hAnsi="Times New Roman"/>
          <w:sz w:val="19"/>
          <w:szCs w:val="19"/>
          <w:color w:val="auto"/>
        </w:rPr>
      </w:pPr>
    </w:p>
    <w:p>
      <w:pPr>
        <w:jc w:val="both"/>
        <w:ind w:firstLine="656"/>
        <w:spacing w:after="0" w:line="257" w:lineRule="auto"/>
        <w:tabs>
          <w:tab w:leader="none" w:pos="1201"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Plan Assets; No Prohibited Transactions</w:t>
      </w:r>
      <w:r>
        <w:rPr>
          <w:rFonts w:ascii="Times New Roman" w:cs="Times New Roman" w:eastAsia="Times New Roman" w:hAnsi="Times New Roman"/>
          <w:sz w:val="20"/>
          <w:szCs w:val="20"/>
          <w:color w:val="auto"/>
        </w:rPr>
        <w:t>. None of the assets of any Borrower, any other Loan Party or any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9"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89" w:lineRule="exact"/>
        <w:rPr>
          <w:sz w:val="20"/>
          <w:szCs w:val="20"/>
          <w:color w:val="auto"/>
        </w:rPr>
      </w:pPr>
    </w:p>
    <w:p>
      <w:pPr>
        <w:jc w:val="both"/>
        <w:ind w:firstLine="656"/>
        <w:spacing w:after="0" w:line="265" w:lineRule="auto"/>
        <w:tabs>
          <w:tab w:leader="none" w:pos="1090" w:val="left"/>
        </w:tabs>
        <w:numPr>
          <w:ilvl w:val="1"/>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 None of any Borrower, any other Loan Party, any of their respective Subsidiaries, any of their respective directors or officers, nor to the knowledge of the Loan Parties, any employees, Affiliates or any agent or representative of any Borrower, any other Loan Party or any of their respective Subsidiaries that will act in any capacity in connection with or benefit from this Agreement, (i) is a Sanctioned Person or currently the subject or target of any Sanctions, (ii) has its assets located in a Sanctioned Country,</w:t>
      </w:r>
    </w:p>
    <w:p>
      <w:pPr>
        <w:spacing w:after="0" w:line="2"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or indirectly derives revenues from investments in, or transactions with, Sanctioned Persons or (iv) has violated any Anti-Money</w:t>
      </w:r>
    </w:p>
    <w:p>
      <w:pPr>
        <w:spacing w:after="0" w:line="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Laundering Law in any material respect. Each Borrower, each other Loan Party and its respective Subsidiaries, and to the knowledge of such Borrower and such other Loan Party, each director, officer, employee, agent and Affiliate of such Borrower, such other Loan Party and each such Subsidiary, is in compliance with the Anti-Corruption Laws in all material respects. Each Borrower has implemented and maintains in effect policies and procedures designed to ensure compliance with the Anti-Corruption Laws and applicable Sanctions by such Borrower, such other Loan Party, their respective Subsidiaries, their respective directors, officers, employees, Affiliates and agents and representatives of such Borrower or any Subsidiary that will act in any capacity in connection with or benefit from this Agreement.</w:t>
      </w:r>
    </w:p>
    <w:p>
      <w:pPr>
        <w:spacing w:after="0" w:line="194" w:lineRule="exact"/>
        <w:rPr>
          <w:sz w:val="20"/>
          <w:szCs w:val="20"/>
          <w:color w:val="auto"/>
        </w:rPr>
      </w:pPr>
    </w:p>
    <w:p>
      <w:pPr>
        <w:ind w:firstLine="656"/>
        <w:spacing w:after="0" w:line="269" w:lineRule="auto"/>
        <w:tabs>
          <w:tab w:leader="none" w:pos="1117"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REIT Status</w:t>
      </w:r>
      <w:r>
        <w:rPr>
          <w:rFonts w:ascii="Times New Roman" w:cs="Times New Roman" w:eastAsia="Times New Roman" w:hAnsi="Times New Roman"/>
          <w:sz w:val="20"/>
          <w:szCs w:val="20"/>
          <w:color w:val="auto"/>
        </w:rPr>
        <w:t>. The Parent qualifies as, and has elected to be treated as, a REIT and is in compliance with all requirements and conditions imposed under the Internal Revenue Code to allow the Parent to maintain its status as a REIT.</w:t>
      </w:r>
    </w:p>
    <w:p>
      <w:pPr>
        <w:spacing w:after="0" w:line="172"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Eligible and Identified Properties; Structured Finance Investments</w:t>
      </w:r>
      <w:r>
        <w:rPr>
          <w:rFonts w:ascii="Times New Roman" w:cs="Times New Roman" w:eastAsia="Times New Roman" w:hAnsi="Times New Roman"/>
          <w:sz w:val="20"/>
          <w:szCs w:val="20"/>
          <w:color w:val="auto"/>
        </w:rPr>
        <w:t xml:space="preserve">.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 Schedule 6.1.</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correct and complete list of all Eligible Properties</w:t>
      </w:r>
      <w:r>
        <w:rPr>
          <w:rFonts w:ascii="Times New Roman" w:cs="Times New Roman" w:eastAsia="Times New Roman" w:hAnsi="Times New Roman"/>
          <w:sz w:val="19"/>
          <w:szCs w:val="19"/>
          <w:u w:val="single" w:color="auto"/>
          <w:color w:val="007BB8"/>
        </w:rPr>
        <w:t>, all Fund Investments</w:t>
      </w:r>
      <w:r>
        <w:rPr>
          <w:rFonts w:ascii="Times New Roman" w:cs="Times New Roman" w:eastAsia="Times New Roman" w:hAnsi="Times New Roman"/>
          <w:sz w:val="19"/>
          <w:szCs w:val="19"/>
          <w:color w:val="auto"/>
        </w:rPr>
        <w:t xml:space="preserve"> and all Structured Finance Investments, and the name of each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Subsidiary that owns or leases any such Property or that owns any such </w:t>
      </w:r>
      <w:r>
        <w:rPr>
          <w:rFonts w:ascii="Times New Roman" w:cs="Times New Roman" w:eastAsia="Times New Roman" w:hAnsi="Times New Roman"/>
          <w:sz w:val="20"/>
          <w:szCs w:val="20"/>
          <w:u w:val="single" w:color="auto"/>
          <w:color w:val="007BB8"/>
        </w:rPr>
        <w:t>Fund Investment or</w:t>
      </w:r>
      <w:r>
        <w:rPr>
          <w:rFonts w:ascii="Times New Roman" w:cs="Times New Roman" w:eastAsia="Times New Roman" w:hAnsi="Times New Roman"/>
          <w:sz w:val="20"/>
          <w:szCs w:val="20"/>
          <w:color w:val="auto"/>
        </w:rPr>
        <w:t xml:space="preserve"> Structured Finance Investment.</w:t>
      </w:r>
    </w:p>
    <w:p>
      <w:pPr>
        <w:spacing w:after="0" w:line="214" w:lineRule="exact"/>
        <w:rPr>
          <w:sz w:val="20"/>
          <w:szCs w:val="20"/>
          <w:color w:val="auto"/>
        </w:rPr>
      </w:pPr>
    </w:p>
    <w:p>
      <w:pPr>
        <w:jc w:val="both"/>
        <w:ind w:firstLine="656"/>
        <w:spacing w:after="0" w:line="251" w:lineRule="auto"/>
        <w:tabs>
          <w:tab w:leader="none" w:pos="1167"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Unencumbered Properties; Unencumbered Asset Value</w:t>
      </w:r>
      <w:r>
        <w:rPr>
          <w:rFonts w:ascii="Times New Roman" w:cs="Times New Roman" w:eastAsia="Times New Roman" w:hAnsi="Times New Roman"/>
          <w:sz w:val="20"/>
          <w:szCs w:val="20"/>
          <w:color w:val="auto"/>
        </w:rPr>
        <w:t>. Each Property included in any calculation of Unencumbered Adjusted NOI satisfied at the time of such calculation, all of the requirements contained in the definition of “Eligible Property”. Each Property included in the calculation of Unencumbered Asset Value satisfied, at the time of such calculation, all of the requirements contained in the definition of “Eligible Property”. At the time of calculation of Unencumbered Asset Value, no Property, Structured Finance Investment</w:t>
      </w:r>
      <w:r>
        <w:rPr>
          <w:rFonts w:ascii="Times New Roman" w:cs="Times New Roman" w:eastAsia="Times New Roman" w:hAnsi="Times New Roman"/>
          <w:sz w:val="20"/>
          <w:szCs w:val="20"/>
          <w:u w:val="single" w:color="auto"/>
          <w:color w:val="007BB8"/>
        </w:rPr>
        <w:t>, Fund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Investment</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or Mortgage Receivable owned or held by an entity other than a Borrower or other Loan Party was included in the calculation of</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Unencumbered Asset Value if such entity, or an entity (other than a Borrower or another Loan Party) that had a direct or indirect ownership interest in such entity at the time of such calculation, was an obligor in respect of any Indebtedness (other than Nonrecourse Indebtedness of the type described in clause (a) of the definition thereof).</w:t>
      </w:r>
    </w:p>
    <w:p>
      <w:pPr>
        <w:spacing w:after="0" w:line="181"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7BB8"/>
        </w:rPr>
        <w:t>Outbound Investment Rules. No Loan Party is a ‘covered foreign person’ as that term is used in the Outbound Investment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7BB8"/>
        </w:rPr>
        <w:t>Rules.</w:t>
      </w:r>
    </w:p>
    <w:p>
      <w:pPr>
        <w:spacing w:after="0" w:line="19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6.2.</w:t>
      </w:r>
      <w:r>
        <w:rPr>
          <w:sz w:val="20"/>
          <w:szCs w:val="20"/>
          <w:color w:val="auto"/>
        </w:rPr>
        <w:tab/>
      </w:r>
      <w:r>
        <w:rPr>
          <w:rFonts w:ascii="Times New Roman" w:cs="Times New Roman" w:eastAsia="Times New Roman" w:hAnsi="Times New Roman"/>
          <w:sz w:val="19"/>
          <w:szCs w:val="19"/>
          <w:b w:val="1"/>
          <w:bCs w:val="1"/>
          <w:color w:val="auto"/>
        </w:rPr>
        <w:t>Survival of Representations and Warranties, Etc.</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All representations and warranties made under this Agreement and the other Loan Documents shall be deemed to be made on and as of the Agreement Date, the Effective Date, the </w:t>
      </w:r>
      <w:r>
        <w:rPr>
          <w:rFonts w:ascii="Times New Roman" w:cs="Times New Roman" w:eastAsia="Times New Roman" w:hAnsi="Times New Roman"/>
          <w:sz w:val="20"/>
          <w:szCs w:val="20"/>
          <w:u w:val="single" w:color="auto"/>
          <w:color w:val="007BB8"/>
        </w:rPr>
        <w:t>First Amendment Date, the</w:t>
      </w:r>
      <w:r>
        <w:rPr>
          <w:rFonts w:ascii="Times New Roman" w:cs="Times New Roman" w:eastAsia="Times New Roman" w:hAnsi="Times New Roman"/>
          <w:sz w:val="20"/>
          <w:szCs w:val="20"/>
          <w:color w:val="auto"/>
        </w:rPr>
        <w:t xml:space="preserve"> date on which any extension of the Revolving Termination Date is effectuated pursuant to Section 2.14., the date on which any increase of the Revolving Commitments is effectuated </w:t>
      </w:r>
      <w:r>
        <w:rPr>
          <w:rFonts w:ascii="Times New Roman" w:cs="Times New Roman" w:eastAsia="Times New Roman" w:hAnsi="Times New Roman"/>
          <w:sz w:val="20"/>
          <w:szCs w:val="20"/>
          <w:color w:val="FF0000"/>
        </w:rPr>
        <w:t>or Additional Term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are made pursuant to Section 2.19.</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 at and as of the date of the occurrence of each Credit Event, except to the extent that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representations and warranties expressly relate solely to an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-386080</wp:posOffset>
            </wp:positionV>
            <wp:extent cx="13379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- 101 -</w:t>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expressly and specifically permitted hereunder. All such representations and warranties shall survive the effectiveness of this Agreement, the execution and delivery of the Loan Documents and the making of the Loans and the issuance of the Letters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 AFFIRMATIVE COVENANTS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so long as this Agreement is in effect, each Borrower shall comply with the following covenants:</w:t>
      </w:r>
    </w:p>
    <w:p>
      <w:pPr>
        <w:spacing w:after="0" w:line="21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7.1.</w:t>
      </w:r>
      <w:r>
        <w:rPr>
          <w:sz w:val="20"/>
          <w:szCs w:val="20"/>
          <w:color w:val="auto"/>
        </w:rPr>
        <w:tab/>
      </w:r>
      <w:r>
        <w:rPr>
          <w:rFonts w:ascii="Times New Roman" w:cs="Times New Roman" w:eastAsia="Times New Roman" w:hAnsi="Times New Roman"/>
          <w:sz w:val="19"/>
          <w:szCs w:val="19"/>
          <w:b w:val="1"/>
          <w:bCs w:val="1"/>
          <w:color w:val="auto"/>
        </w:rPr>
        <w:t>Preservation of Existence and Similar Matters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as otherwise permitted under Section 9.3., each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7.2.</w:t>
      </w:r>
      <w:r>
        <w:rPr>
          <w:sz w:val="20"/>
          <w:szCs w:val="20"/>
          <w:color w:val="auto"/>
        </w:rPr>
        <w:tab/>
      </w:r>
      <w:r>
        <w:rPr>
          <w:rFonts w:ascii="Times New Roman" w:cs="Times New Roman" w:eastAsia="Times New Roman" w:hAnsi="Times New Roman"/>
          <w:sz w:val="19"/>
          <w:szCs w:val="19"/>
          <w:b w:val="1"/>
          <w:bCs w:val="1"/>
          <w:color w:val="auto"/>
        </w:rPr>
        <w:t>Compliance with Applicable Law</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Each Borrower shall, and shall cause each other Loan Party and each other Subsidiary to, comply with all Applicable Law, including the obtaining of all Governmental Approvals, the failure with which to comply could reasonably be expected to have a Material Adverse Effect. Each Borrower and each other Loan Party shall maintain in effect policies and procedures reasonably designed to ensure compliance by such Borrower, such other Loan Party and their Subsidiaries and their respective directors, officers, employees and agents with Anti-Corruption Laws and Sanctions in all material respects.</w:t>
      </w:r>
    </w:p>
    <w:p>
      <w:pPr>
        <w:spacing w:after="0" w:line="1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7.3.</w:t>
      </w:r>
      <w:r>
        <w:rPr>
          <w:sz w:val="20"/>
          <w:szCs w:val="20"/>
          <w:color w:val="auto"/>
        </w:rPr>
        <w:tab/>
      </w:r>
      <w:r>
        <w:rPr>
          <w:rFonts w:ascii="Times New Roman" w:cs="Times New Roman" w:eastAsia="Times New Roman" w:hAnsi="Times New Roman"/>
          <w:sz w:val="19"/>
          <w:szCs w:val="19"/>
          <w:b w:val="1"/>
          <w:bCs w:val="1"/>
          <w:color w:val="auto"/>
        </w:rPr>
        <w:t>Maintenance of Property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to the requirements of any of the other Loan Documents, each Borrower shall, and shall cause each other Loan Party and each other Subsidiary to, (a) protect and preserve in all material respects all of its respective material properties, including, but not limited to, all Intellectual Property necessary to the conduct of its respective business, and in all material respects maintain in good repair, working order and condition all material tangible properties, ordinary wear and tear excepted and (b) make or cause to be made all material needed and appropriate repairs, renewals, replacements and additions to such properties, so that the business carried on in connection therewith may be properly and advantageously conducted at all times in all material respects.</w:t>
      </w:r>
    </w:p>
    <w:p>
      <w:pPr>
        <w:spacing w:after="0" w:line="17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7.4.</w:t>
      </w:r>
      <w:r>
        <w:rPr>
          <w:sz w:val="20"/>
          <w:szCs w:val="20"/>
          <w:color w:val="auto"/>
        </w:rPr>
        <w:tab/>
      </w:r>
      <w:r>
        <w:rPr>
          <w:rFonts w:ascii="Times New Roman" w:cs="Times New Roman" w:eastAsia="Times New Roman" w:hAnsi="Times New Roman"/>
          <w:sz w:val="19"/>
          <w:szCs w:val="19"/>
          <w:b w:val="1"/>
          <w:bCs w:val="1"/>
          <w:color w:val="auto"/>
        </w:rPr>
        <w:t>Conduct of Business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Borrower shall, and shall cause each other Loan Party and each other Subsidiary to, carry on its respective businesses as described in Section 6.1.(t).</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7.5.</w:t>
      </w:r>
      <w:r>
        <w:rPr>
          <w:sz w:val="20"/>
          <w:szCs w:val="20"/>
          <w:color w:val="auto"/>
        </w:rPr>
        <w:tab/>
      </w:r>
      <w:r>
        <w:rPr>
          <w:rFonts w:ascii="Times New Roman" w:cs="Times New Roman" w:eastAsia="Times New Roman" w:hAnsi="Times New Roman"/>
          <w:sz w:val="19"/>
          <w:szCs w:val="19"/>
          <w:b w:val="1"/>
          <w:bCs w:val="1"/>
          <w:color w:val="auto"/>
        </w:rPr>
        <w:t>Insurance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to the requirements of any of the other Loan Documents, each Borrower shall, and shall cause each other Loan Party and each other Subsidiary to, maintain insurance (on a replacement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- 102 -</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basis) with financially sound and reputable insurance companies against such risks and in such amounts as is customarily maintained by Persons engaged in similar businesses or as may be required by Applicable Law. The Borrower Representative shall from time to time deliver to the Administrative Agent upon request a detailed list, together with copies of all policies of the insurance of each Loan Party and its Subsidiaries then in effect, stating the names of the insurance companies, the amounts and rates of the insurance, the dates of the expiration thereof and the properties and risks covered thereby. Such insurance shall, in any event, include terrorism coverage.</w:t>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7.6.</w:t>
      </w:r>
      <w:r>
        <w:rPr>
          <w:sz w:val="20"/>
          <w:szCs w:val="20"/>
          <w:color w:val="auto"/>
        </w:rPr>
        <w:tab/>
      </w:r>
      <w:r>
        <w:rPr>
          <w:rFonts w:ascii="Times New Roman" w:cs="Times New Roman" w:eastAsia="Times New Roman" w:hAnsi="Times New Roman"/>
          <w:sz w:val="19"/>
          <w:szCs w:val="19"/>
          <w:b w:val="1"/>
          <w:bCs w:val="1"/>
          <w:color w:val="auto"/>
        </w:rPr>
        <w:t>Payment of Taxes and Claims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Borrower shall, and shall cause each other Loan Party and each other Subsidiary to, pay and discharge when due (a) all material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and could reasonably be expected to have a Material Adverse Effect;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w:t>
      </w:r>
    </w:p>
    <w:p>
      <w:pPr>
        <w:spacing w:after="0" w:line="18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7.7.</w:t>
      </w:r>
      <w:r>
        <w:rPr>
          <w:sz w:val="20"/>
          <w:szCs w:val="20"/>
          <w:color w:val="auto"/>
        </w:rPr>
        <w:tab/>
      </w:r>
      <w:r>
        <w:rPr>
          <w:rFonts w:ascii="Times New Roman" w:cs="Times New Roman" w:eastAsia="Times New Roman" w:hAnsi="Times New Roman"/>
          <w:sz w:val="19"/>
          <w:szCs w:val="19"/>
          <w:b w:val="1"/>
          <w:bCs w:val="1"/>
          <w:color w:val="auto"/>
        </w:rPr>
        <w:t>Books and Records; Inspections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Each Borrower shall, and shall cause each other Loan Party and each other Subsidiary to, keep proper books of record and account in which full, true and correct entries shall be made of all dealings and transactions in relation to its business and activities. Each Borrower shall, and shall cause each other Loan Party and each other Subsidiary to, permit representatives of the Administrative Agent or any Lender to visit and inspect any of their respective properties, to examine and make abstracts from any of their respective books and records and to discuss their respective affairs, finances and accounts with their respective officers, employees and independent public accountants (in the presence of an officer of the Parent if an Event of Default does not then exist), all at such reasonable times during business hours and as often as may reasonably be requested and so long as no Event of Default exists, with reasonable prior notice. The Borrowers shall be obligated to reimburse the Administrative Agent and the Lenders for their costs and expenses incurred in connection with the exercise of their rights under this Section only if such exercise occurs while a Default or Event of Default exists. If requested by the Administrative Agent, each Borrower and each other Loan Party shall execute an authorization letter addressed to its accountants authorizing the Administrative Agent or any Lender to discuss the financial affairs of such Borrower, any other Loan Party and their Subsidiaries with such Borrower’s accountants.</w:t>
      </w:r>
    </w:p>
    <w:p>
      <w:pPr>
        <w:spacing w:after="0" w:line="17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7.8.</w:t>
      </w:r>
      <w:r>
        <w:rPr>
          <w:sz w:val="20"/>
          <w:szCs w:val="20"/>
          <w:color w:val="auto"/>
        </w:rPr>
        <w:tab/>
      </w:r>
      <w:r>
        <w:rPr>
          <w:rFonts w:ascii="Times New Roman" w:cs="Times New Roman" w:eastAsia="Times New Roman" w:hAnsi="Times New Roman"/>
          <w:sz w:val="19"/>
          <w:szCs w:val="19"/>
          <w:b w:val="1"/>
          <w:bCs w:val="1"/>
          <w:color w:val="auto"/>
        </w:rPr>
        <w:t>Use of Proceeds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Borrower will use the proceeds of Loans only (a) for the payment of pre-development and development costs incurred in connection with Properties owned by such Borrower or any Subsidiary of such Borrower; (b) to finance acquisitions and other Investments otherwise permitted under this Agreement; (c) to finance capital expenditures and the repayment of Indebtedness of such Borrower and its Subsidiaries; (d) to provide for the general working capital needs of such Borrower and its Subsidiaries; and (e) for other general corporate purposes of such Borrower and its Subsidiaries. Each Borrower shall only use Letters of Credit for the same purposes for which it may use the proceeds of Loans. No Borrower shall, and no Borrower shall permit any Subsidiary to, use any part of such proceeds, or any Letter of Credit, to purchase or carry, or to reduce or retire or refinance any credit incurred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- 103 -</w:t>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purchase or carry, any margin stock (within the meaning of Regulation U or Regulation X of the Board of Governors of the Federal Reserve System) or to extend credit to others for the purpose of purchasing or carrying any such margin stock; provided, however, to the extent not otherwise prohibited by this Agreement or the other Loan Documents, the Parent may use proceeds of the Loans to purchase the Parent’s common stock so long as such use will not result in any of the Loans or other Obligations being considered to be “purpose credit” directly or indirectly secured by margin stock within the meaning of Regulation U or Regulation X of the Board of Governors of the Federal Reserve System. No Borrower shall, and no Borrower shall permit any other Loan Party or any other Subsidiary to, use any proceeds of the Loans or any Letter of Credit (x) in furtherance of an offer, payment, promise to pay, or authorization of the payment or giving of money, or anything else of value, to any Person in violation of any Anti-Corruption Laws, (y) for the purpose of funding, financing or facilitating any activities, business or transaction of or with any Sanctioned Person, or in any Sanctioned Country or (z) in any manner that would result in the violation of any Sanctions applicable to any party hereto.</w:t>
      </w:r>
    </w:p>
    <w:p>
      <w:pPr>
        <w:spacing w:after="0" w:line="1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7.9.</w:t>
      </w:r>
      <w:r>
        <w:rPr>
          <w:sz w:val="20"/>
          <w:szCs w:val="20"/>
          <w:color w:val="auto"/>
        </w:rPr>
        <w:tab/>
      </w:r>
      <w:r>
        <w:rPr>
          <w:rFonts w:ascii="Times New Roman" w:cs="Times New Roman" w:eastAsia="Times New Roman" w:hAnsi="Times New Roman"/>
          <w:sz w:val="19"/>
          <w:szCs w:val="19"/>
          <w:b w:val="1"/>
          <w:bCs w:val="1"/>
          <w:color w:val="auto"/>
        </w:rPr>
        <w:t>Environmental Matters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Borrower shall, and shall cause each other Loan Party and each other Subsidiary to, comply with all Environmental Laws the failure with which to comply could reasonably be expected to have a Material Adverse Effect. Each Borrower shall comply, and shall cause each other Loan Party and each other Subsidiary to comply, and each Borrower shall use, and shall cause each other Loan Party and each other Subsidiary to use, commercially reasonable efforts to cause all other Persons occupying, using or present on the Properties to comply, with all Environmental Laws in all material respects. Each Borrower shall, and shall cause each other Loan Party and each other Subsidiary to, promptly take all actions and pay or arrange to pay all costs necessary for it and for the Properties to comply in all material respects with all Environmental Laws and all Governmental Approvals, including actions to remove and dispose of all Hazardous Materials and to clean up the Properties as required under Environmental Laws in each case, to the extent all other responsible parties fail to promptly take such actions, pay such costs and comply with such requirements. Each Borrower shall, and shall cause each other Loan Party and each other Subsidiary to, promptly take all reasonable actions necessary to prevent the imposition of any Liens on any of their respective properties arising out of or related to any Environmental Laws. Nothing in this Section shall impose any obligation or liability whatsoever on the Administrative Agent, any Issuing Bank or any Lender.</w:t>
      </w:r>
    </w:p>
    <w:p>
      <w:pPr>
        <w:spacing w:after="0" w:line="19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7.10.</w:t>
      </w:r>
      <w:r>
        <w:rPr>
          <w:sz w:val="20"/>
          <w:szCs w:val="20"/>
          <w:color w:val="auto"/>
        </w:rPr>
        <w:tab/>
      </w:r>
      <w:r>
        <w:rPr>
          <w:rFonts w:ascii="Times New Roman" w:cs="Times New Roman" w:eastAsia="Times New Roman" w:hAnsi="Times New Roman"/>
          <w:sz w:val="19"/>
          <w:szCs w:val="19"/>
          <w:b w:val="1"/>
          <w:bCs w:val="1"/>
          <w:color w:val="auto"/>
        </w:rPr>
        <w:t>Further Assurances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At such Borrower’s cost and expense and upon request of the Administrative Agent, each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7.11.</w:t>
      </w:r>
      <w:r>
        <w:rPr>
          <w:sz w:val="20"/>
          <w:szCs w:val="20"/>
          <w:color w:val="auto"/>
        </w:rPr>
        <w:tab/>
      </w:r>
      <w:r>
        <w:rPr>
          <w:rFonts w:ascii="Times New Roman" w:cs="Times New Roman" w:eastAsia="Times New Roman" w:hAnsi="Times New Roman"/>
          <w:sz w:val="19"/>
          <w:szCs w:val="19"/>
          <w:b w:val="1"/>
          <w:bCs w:val="1"/>
          <w:color w:val="auto"/>
        </w:rPr>
        <w:t>REIT Status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Parent shall maintain its status as, and election to be treated as, a REIT under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- 104 -</w:t>
      </w:r>
    </w:p>
    <w:p>
      <w:pPr>
        <w:sectPr>
          <w:pgSz w:w="11900" w:h="16838" w:orient="portrait"/>
          <w:cols w:equalWidth="0" w:num="1">
            <w:col w:w="11240"/>
          </w:cols>
          <w:pgMar w:left="320" w:top="1440" w:right="339" w:bottom="1440" w:gutter="0" w:footer="0" w:header="0"/>
        </w:sectPr>
      </w:pPr>
    </w:p>
    <w:bookmarkStart w:id="441" w:name="page442"/>
    <w:bookmarkEnd w:id="441"/>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7.12.</w:t>
      </w:r>
      <w:r>
        <w:rPr>
          <w:sz w:val="20"/>
          <w:szCs w:val="20"/>
          <w:color w:val="auto"/>
        </w:rPr>
        <w:tab/>
      </w:r>
      <w:r>
        <w:rPr>
          <w:rFonts w:ascii="Times New Roman" w:cs="Times New Roman" w:eastAsia="Times New Roman" w:hAnsi="Times New Roman"/>
          <w:sz w:val="19"/>
          <w:szCs w:val="19"/>
          <w:b w:val="1"/>
          <w:bCs w:val="1"/>
          <w:color w:val="auto"/>
        </w:rPr>
        <w:t>Exchange Listing</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Parent shall maintain at least one class of common shares of the Parent which either has trading privileges on any of the New York Stock Exchange, the American Stock Exchange or on any other national stock exchange or which is subject to price quotations on The NASDAQ Stock Market’s National Market System or any other national electronic market system.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 INFORMATION</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For so long as this Agreement is in effect, the Borrower Representative shall furnish to the Administrative Agent for distribution to each of the Lenders:</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8.1.</w:t>
      </w:r>
      <w:r>
        <w:rPr>
          <w:sz w:val="20"/>
          <w:szCs w:val="20"/>
          <w:color w:val="auto"/>
        </w:rPr>
        <w:tab/>
      </w:r>
      <w:r>
        <w:rPr>
          <w:rFonts w:ascii="Times New Roman" w:cs="Times New Roman" w:eastAsia="Times New Roman" w:hAnsi="Times New Roman"/>
          <w:sz w:val="19"/>
          <w:szCs w:val="19"/>
          <w:b w:val="1"/>
          <w:bCs w:val="1"/>
          <w:color w:val="auto"/>
        </w:rPr>
        <w:t>Quarterly Financial Statements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As soon as available and in any event within 5 </w:t>
      </w:r>
      <w:r>
        <w:rPr>
          <w:rFonts w:ascii="Times New Roman" w:cs="Times New Roman" w:eastAsia="Times New Roman" w:hAnsi="Times New Roman"/>
          <w:sz w:val="20"/>
          <w:szCs w:val="20"/>
          <w:color w:val="FF0000"/>
          <w:strike w:val="1"/>
        </w:rPr>
        <w:t>days</w:t>
      </w:r>
      <w:r>
        <w:rPr>
          <w:rFonts w:ascii="Times New Roman" w:cs="Times New Roman" w:eastAsia="Times New Roman" w:hAnsi="Times New Roman"/>
          <w:sz w:val="20"/>
          <w:szCs w:val="20"/>
          <w:u w:val="single" w:color="auto"/>
          <w:color w:val="007BB8"/>
        </w:rPr>
        <w:t>Business Days</w:t>
      </w:r>
      <w:r>
        <w:rPr>
          <w:rFonts w:ascii="Times New Roman" w:cs="Times New Roman" w:eastAsia="Times New Roman" w:hAnsi="Times New Roman"/>
          <w:sz w:val="20"/>
          <w:szCs w:val="20"/>
          <w:color w:val="auto"/>
        </w:rPr>
        <w:t xml:space="preserve"> after the same is required to be filed with the Securities and Exchange Commission (but in no event later than 60 days after the end of each of the first, second and third fiscal quarters of the Parent), the unaudited consolidated balance sheets of the Parent and its Subsidiaries as at the end of such period and the related unaudited consolidated statements of income, equity or capital, as applicable, and cash flows for such period, setting forth in each case in comparative form the figures as of the end of and for the corresponding periods of the previous fiscal year, all of which shall be certified by the respective chief executive officer or chief financial officer of the Parent, in his or her opinion, to present fairly, in accordance with GAAP and in all material respects, the consolidated financial position of the Parent and its Subsidiaries as at the date thereof and the results of operations for such period (subject to normal year-end audit adjustments).</w:t>
      </w:r>
    </w:p>
    <w:p>
      <w:pPr>
        <w:spacing w:after="0" w:line="19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8.2.</w:t>
      </w:r>
      <w:r>
        <w:rPr>
          <w:sz w:val="20"/>
          <w:szCs w:val="20"/>
          <w:color w:val="auto"/>
        </w:rPr>
        <w:tab/>
      </w:r>
      <w:r>
        <w:rPr>
          <w:rFonts w:ascii="Times New Roman" w:cs="Times New Roman" w:eastAsia="Times New Roman" w:hAnsi="Times New Roman"/>
          <w:sz w:val="19"/>
          <w:szCs w:val="19"/>
          <w:b w:val="1"/>
          <w:bCs w:val="1"/>
          <w:color w:val="auto"/>
        </w:rPr>
        <w:t>Year-End Statements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As soon as available and in any event within 5 </w:t>
      </w:r>
      <w:r>
        <w:rPr>
          <w:rFonts w:ascii="Times New Roman" w:cs="Times New Roman" w:eastAsia="Times New Roman" w:hAnsi="Times New Roman"/>
          <w:sz w:val="19"/>
          <w:szCs w:val="19"/>
          <w:color w:val="FF0000"/>
          <w:strike w:val="1"/>
        </w:rPr>
        <w:t>days</w:t>
      </w:r>
      <w:r>
        <w:rPr>
          <w:rFonts w:ascii="Times New Roman" w:cs="Times New Roman" w:eastAsia="Times New Roman" w:hAnsi="Times New Roman"/>
          <w:sz w:val="19"/>
          <w:szCs w:val="19"/>
          <w:u w:val="single" w:color="auto"/>
          <w:color w:val="007BB8"/>
        </w:rPr>
        <w:t>Business Days</w:t>
      </w:r>
      <w:r>
        <w:rPr>
          <w:rFonts w:ascii="Times New Roman" w:cs="Times New Roman" w:eastAsia="Times New Roman" w:hAnsi="Times New Roman"/>
          <w:sz w:val="19"/>
          <w:szCs w:val="19"/>
          <w:color w:val="auto"/>
        </w:rPr>
        <w:t xml:space="preserve"> after the same is required to be filed with the Securities and Exchange Commission (but in no event later than 105 days after the end of each fiscal year of the Parent), the audited consolidated balance sheets of the Parent and its Subsidiaries as at the end of such fiscal year and the related audited consolidated statements of income, equity or capital, as applicable, and cash flows for such fiscal year, setting forth in comparative form the figures as at the end of and for the previous fiscal year, all of which shall be (a) certified by the respective chief executive officer or chief financial officer of the Parent, in his or her opinion, to present fairly, in accordance with GAAP and in all material respects, the financial position of the Parent and its Subsidiaries as at the date thereof and the result of operations for such period and (b) accompanied by the report thereon of </w:t>
      </w:r>
      <w:r>
        <w:rPr>
          <w:rFonts w:ascii="Times New Roman" w:cs="Times New Roman" w:eastAsia="Times New Roman" w:hAnsi="Times New Roman"/>
          <w:sz w:val="19"/>
          <w:szCs w:val="19"/>
          <w:color w:val="FF0000"/>
          <w:strike w:val="1"/>
        </w:rPr>
        <w:t>Ernst &amp; Young</w:t>
      </w:r>
      <w:r>
        <w:rPr>
          <w:rFonts w:ascii="Times New Roman" w:cs="Times New Roman" w:eastAsia="Times New Roman" w:hAnsi="Times New Roman"/>
          <w:sz w:val="19"/>
          <w:szCs w:val="19"/>
          <w:u w:val="single" w:color="auto"/>
          <w:color w:val="007BB8"/>
        </w:rPr>
        <w:t>Deloitte</w:t>
      </w:r>
      <w:r>
        <w:rPr>
          <w:rFonts w:ascii="Times New Roman" w:cs="Times New Roman" w:eastAsia="Times New Roman" w:hAnsi="Times New Roman"/>
          <w:sz w:val="19"/>
          <w:szCs w:val="19"/>
          <w:color w:val="auto"/>
        </w:rPr>
        <w:t xml:space="preserve"> LLP or any other independent certified public accountants of recognized national standing, whose report shall not be subject to any “going concern” or like qualification, exception or explanatory paragraph or any qualification, exception or explanatory paragraph as to the scope of such audit.</w:t>
      </w:r>
    </w:p>
    <w:p>
      <w:pPr>
        <w:spacing w:after="0" w:line="1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8.3.</w:t>
      </w:r>
      <w:r>
        <w:rPr>
          <w:sz w:val="20"/>
          <w:szCs w:val="20"/>
          <w:color w:val="auto"/>
        </w:rPr>
        <w:tab/>
      </w:r>
      <w:r>
        <w:rPr>
          <w:rFonts w:ascii="Times New Roman" w:cs="Times New Roman" w:eastAsia="Times New Roman" w:hAnsi="Times New Roman"/>
          <w:sz w:val="19"/>
          <w:szCs w:val="19"/>
          <w:b w:val="1"/>
          <w:bCs w:val="1"/>
          <w:color w:val="auto"/>
        </w:rPr>
        <w:t>Compliance Certificate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At the time the financial statements of the Parent are furnished pursuant to Sections 8.1. and 8.2., a certificate substantially in the form of Exhibit O (each a “Compliance Certificate”) executed on behalf of the Parent by the chief financial officer of the Parent (a) setting forth in reasonable detail as of the end of such quarterly accounting period or fiscal year, as the case may be, the calculations required to establish whether the Parent was in compliance with the covenants contained in Section 9.1.; </w:t>
      </w:r>
      <w:r>
        <w:rPr>
          <w:rFonts w:ascii="Times New Roman" w:cs="Times New Roman" w:eastAsia="Times New Roman" w:hAnsi="Times New Roman"/>
          <w:sz w:val="20"/>
          <w:szCs w:val="20"/>
          <w:u w:val="single" w:color="auto"/>
          <w:color w:val="007BB8"/>
        </w:rPr>
        <w:t>and</w:t>
      </w:r>
      <w:r>
        <w:rPr>
          <w:rFonts w:ascii="Times New Roman" w:cs="Times New Roman" w:eastAsia="Times New Roman" w:hAnsi="Times New Roman"/>
          <w:sz w:val="20"/>
          <w:szCs w:val="20"/>
          <w:color w:val="auto"/>
        </w:rPr>
        <w:t xml:space="preserve"> (b) stating that, to the best of his or her knowledge, information and belief after due inquiry, no Default or Event of Default exists, or, if such is not the case, specifying such Default or Event of Default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- 105 -</w:t>
      </w:r>
    </w:p>
    <w:p>
      <w:pPr>
        <w:sectPr>
          <w:pgSz w:w="11900" w:h="16838" w:orient="portrait"/>
          <w:cols w:equalWidth="0" w:num="1">
            <w:col w:w="11240"/>
          </w:cols>
          <w:pgMar w:left="320" w:top="1409" w:right="339" w:bottom="1440" w:gutter="0" w:footer="0" w:header="0"/>
        </w:sectPr>
      </w:pPr>
    </w:p>
    <w:bookmarkStart w:id="442" w:name="page443"/>
    <w:bookmarkEnd w:id="44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nature, when it occurred and the steps being taken by the Parent and the other Borrower with respect to such Default or Event of Default </w:t>
      </w:r>
      <w:r>
        <w:rPr>
          <w:rFonts w:ascii="Times New Roman" w:cs="Times New Roman" w:eastAsia="Times New Roman" w:hAnsi="Times New Roman"/>
          <w:sz w:val="19"/>
          <w:szCs w:val="19"/>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6920230</wp:posOffset>
            </wp:positionH>
            <wp:positionV relativeFrom="paragraph">
              <wp:posOffset>-55245</wp:posOffset>
            </wp:positionV>
            <wp:extent cx="212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0" w:lineRule="exact"/>
        <w:rPr>
          <w:sz w:val="20"/>
          <w:szCs w:val="20"/>
          <w:color w:val="auto"/>
        </w:rPr>
      </w:pPr>
    </w:p>
    <w:p>
      <w:pPr>
        <w:jc w:val="both"/>
        <w:ind w:firstLine="8"/>
        <w:spacing w:after="0" w:line="249" w:lineRule="auto"/>
        <w:tabs>
          <w:tab w:leader="none" w:pos="271" w:val="left"/>
        </w:tabs>
        <w:numPr>
          <w:ilvl w:val="0"/>
          <w:numId w:val="31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at the election of the Parent, the Sustainability Rating and the Sustainability Rating Change for such Reference Year</w:t>
      </w:r>
      <w:r>
        <w:rPr>
          <w:rFonts w:ascii="Times New Roman" w:cs="Times New Roman" w:eastAsia="Times New Roman" w:hAnsi="Times New Roman"/>
          <w:sz w:val="20"/>
          <w:szCs w:val="20"/>
          <w:color w:val="000000"/>
        </w:rPr>
        <w:t>. At the time financial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statements are furnished pursuant to Sections 8.1. and 8.2., the Parent shall also deliver (A</w:t>
      </w:r>
      <w:r>
        <w:rPr>
          <w:rFonts w:ascii="Times New Roman" w:cs="Times New Roman" w:eastAsia="Times New Roman" w:hAnsi="Times New Roman"/>
          <w:sz w:val="20"/>
          <w:szCs w:val="20"/>
          <w:color w:val="FF0000"/>
          <w:strike w:val="1"/>
        </w:rPr>
        <w:t>) a report, in form and detail reasonably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 xml:space="preserve">satisfactory to the Administrative Agent, setting forth a statement of Funds From Operations for the Parent for the </w:t>
      </w:r>
      <w:r>
        <w:rPr>
          <w:rFonts w:ascii="Times New Roman" w:cs="Times New Roman" w:eastAsia="Times New Roman" w:hAnsi="Times New Roman"/>
          <w:sz w:val="20"/>
          <w:szCs w:val="20"/>
          <w:color w:val="00B050"/>
          <w:strike w:val="1"/>
        </w:rPr>
        <w:t>period of four consecutive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B050"/>
          <w:strike w:val="1"/>
        </w:rPr>
        <w:t xml:space="preserve">fiscal quarters </w:t>
      </w:r>
      <w:r>
        <w:rPr>
          <w:rFonts w:ascii="Times New Roman" w:cs="Times New Roman" w:eastAsia="Times New Roman" w:hAnsi="Times New Roman"/>
          <w:sz w:val="20"/>
          <w:szCs w:val="20"/>
          <w:color w:val="FF0000"/>
          <w:strike w:val="1"/>
        </w:rPr>
        <w:t>then ended; (B</w:t>
      </w:r>
      <w:r>
        <w:rPr>
          <w:rFonts w:ascii="Times New Roman" w:cs="Times New Roman" w:eastAsia="Times New Roman" w:hAnsi="Times New Roman"/>
          <w:sz w:val="20"/>
          <w:szCs w:val="20"/>
          <w:color w:val="000000"/>
          <w:strike w:val="1"/>
        </w:rPr>
        <w:t>) a report, in form and detail reasonably satisfactory to the Administrative Agent, setting forth a list of all</w:t>
      </w:r>
      <w:r>
        <w:rPr>
          <w:rFonts w:ascii="Times New Roman" w:cs="Times New Roman" w:eastAsia="Times New Roman" w:hAnsi="Times New Roman"/>
          <w:sz w:val="20"/>
          <w:szCs w:val="20"/>
          <w:color w:val="00B050"/>
          <w:strike w:val="1"/>
        </w:rPr>
        <w:t xml:space="preserve"> </w:t>
      </w:r>
      <w:r>
        <w:rPr>
          <w:rFonts w:ascii="Times New Roman" w:cs="Times New Roman" w:eastAsia="Times New Roman" w:hAnsi="Times New Roman"/>
          <w:sz w:val="20"/>
          <w:szCs w:val="20"/>
          <w:color w:val="000000"/>
          <w:strike w:val="1"/>
        </w:rPr>
        <w:t>Properties acquired by the Parent and its respective Subsidiaries since the date of the delivery of the previous such report, such list to identify such Property’s name, location, year built or acquired, anchor tenants, if any, amount of related mortgage Indebtedness, if any, and the maturity of such mortgage Indebtedness, and the Occupancy Rate and Net Operating Income for such Property, and (</w:t>
      </w:r>
      <w:r>
        <w:rPr>
          <w:rFonts w:ascii="Times New Roman" w:cs="Times New Roman" w:eastAsia="Times New Roman" w:hAnsi="Times New Roman"/>
          <w:sz w:val="20"/>
          <w:szCs w:val="20"/>
          <w:color w:val="FF0000"/>
          <w:strike w:val="1"/>
        </w:rPr>
        <w:t>C</w:t>
      </w:r>
      <w:r>
        <w:rPr>
          <w:rFonts w:ascii="Times New Roman" w:cs="Times New Roman" w:eastAsia="Times New Roman" w:hAnsi="Times New Roman"/>
          <w:sz w:val="20"/>
          <w:szCs w:val="20"/>
          <w:u w:val="single" w:color="auto"/>
          <w:color w:val="007BB8"/>
          <w:strike w:val="1"/>
        </w:rPr>
        <w:t>B</w:t>
      </w:r>
      <w:r>
        <w:rPr>
          <w:rFonts w:ascii="Times New Roman" w:cs="Times New Roman" w:eastAsia="Times New Roman" w:hAnsi="Times New Roman"/>
          <w:sz w:val="20"/>
          <w:szCs w:val="20"/>
          <w:color w:val="000000"/>
          <w:strike w:val="1"/>
        </w:rPr>
        <w:t>) a list of all Properties that are 1031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-692150</wp:posOffset>
            </wp:positionV>
            <wp:extent cx="822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8.4.</w:t>
      </w:r>
      <w:r>
        <w:rPr>
          <w:sz w:val="20"/>
          <w:szCs w:val="20"/>
          <w:color w:val="auto"/>
        </w:rPr>
        <w:tab/>
      </w:r>
      <w:r>
        <w:rPr>
          <w:rFonts w:ascii="Times New Roman" w:cs="Times New Roman" w:eastAsia="Times New Roman" w:hAnsi="Times New Roman"/>
          <w:sz w:val="19"/>
          <w:szCs w:val="19"/>
          <w:b w:val="1"/>
          <w:bCs w:val="1"/>
          <w:color w:val="auto"/>
        </w:rPr>
        <w:t>Other Information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56"/>
        <w:spacing w:after="0" w:line="283" w:lineRule="auto"/>
        <w:tabs>
          <w:tab w:leader="none" w:pos="1194"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request by the Administrative Agent or any Lender (through the Administrative Agent), copies of all management reports, if any, submitted to any Borrower or its Board of Directors by its independent public accountants;</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1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any Borrower, any other Loan Party or any other Subsidiary shall file with the Securities and Exchange Commission (or any Governmental Authority substituted therefor) or any national securities exchange;</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32"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upon the mailing thereof to the shareholders of the Parent generally, copies of all financial statements, reports and proxy statements so mailed and promptly upon the issuance thereof copies of all press releases issued by any Borrower, any other Loan Party or any Subsidiary (but only if such financial reports, proxy statements and press releases are not publicly available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publicly available, the Borrower Representative has notified the Administrative Agent in writing (which may be by telecopy or electronic mail ) of such public availability);</w:t>
      </w:r>
    </w:p>
    <w:p>
      <w:pPr>
        <w:spacing w:after="0" w:line="178" w:lineRule="exact"/>
        <w:rPr>
          <w:rFonts w:ascii="Times New Roman" w:cs="Times New Roman" w:eastAsia="Times New Roman" w:hAnsi="Times New Roman"/>
          <w:sz w:val="20"/>
          <w:szCs w:val="20"/>
          <w:color w:val="auto"/>
        </w:rPr>
      </w:pPr>
    </w:p>
    <w:p>
      <w:pPr>
        <w:jc w:val="both"/>
        <w:ind w:firstLine="656"/>
        <w:spacing w:after="0" w:line="268" w:lineRule="auto"/>
        <w:tabs>
          <w:tab w:leader="none" w:pos="1145"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mailing thereof to the partners of SLGOP generally, copies of all financial statements, reports and proxy statements so mailed (but only to the extent that such financial statements, reports and proxy statements are not publicly available to the Administrative Agent and the Lenders);</w:t>
      </w:r>
    </w:p>
    <w:p>
      <w:pPr>
        <w:spacing w:after="0" w:line="16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96"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ERISA Event shall occur that individually, or together with any other ERISA Event that has occurred, could reasonably be expected to have a Material Adverse Effect, a certificate of the chief executive officer or chief financial officer of the Parent setting forth details as to such occurrence and the action, if any, which the Parent or applicable member of the ERISA Group is required or proposes to take;</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42"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Borrower, any other Loan Party or any other Subsidiary is aware of the same, prompt notice (which may be by telecopy or electronic mail) of the commencement of any proceeding or investigation by or before any Governmental Authority and any action or proceeding in any court or other tribunal or before any arbitrator against or in any other way relating to, or affecting, any Borrower, any other Loan Party or any Subsidiary or any of their respective properties, assets or businesses which could reasonably be expected to have a Material Adverse Effect;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106 -</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89" w:lineRule="exact"/>
        <w:rPr>
          <w:sz w:val="20"/>
          <w:szCs w:val="20"/>
          <w:color w:val="auto"/>
        </w:rPr>
      </w:pPr>
    </w:p>
    <w:p>
      <w:pPr>
        <w:jc w:val="both"/>
        <w:ind w:left="-206" w:firstLine="656"/>
        <w:spacing w:after="0" w:line="261" w:lineRule="auto"/>
        <w:tabs>
          <w:tab w:leader="none" w:pos="89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request of the Administrative Agent, the Borrowers shall provide evidence of the Parent’s calculation of the Ownership Share with respect to an Unconsolidated Affiliate, such evidence to be in form and detail reasonably satisfactory to the Administrative Agent;</w:t>
      </w:r>
    </w:p>
    <w:p>
      <w:pPr>
        <w:spacing w:after="0" w:line="181" w:lineRule="exact"/>
        <w:rPr>
          <w:rFonts w:ascii="Times New Roman" w:cs="Times New Roman" w:eastAsia="Times New Roman" w:hAnsi="Times New Roman"/>
          <w:sz w:val="20"/>
          <w:szCs w:val="20"/>
          <w:color w:val="auto"/>
        </w:rPr>
      </w:pPr>
    </w:p>
    <w:p>
      <w:pPr>
        <w:jc w:val="both"/>
        <w:ind w:left="-206" w:firstLine="656"/>
        <w:spacing w:after="0" w:line="261" w:lineRule="auto"/>
        <w:tabs>
          <w:tab w:leader="none" w:pos="1011"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notice (which may be by telecopy or electronic mail) of any change in the business, assets, liabilities, financial condition, or results of operations of any Borrower, any other Loan Party or any Subsidiary or the occurrence of any other event, in each case, which has had, or could reasonably be expected to have, a Material Adverse Effect;</w:t>
      </w:r>
    </w:p>
    <w:p>
      <w:pPr>
        <w:spacing w:after="0" w:line="181" w:lineRule="exact"/>
        <w:rPr>
          <w:rFonts w:ascii="Times New Roman" w:cs="Times New Roman" w:eastAsia="Times New Roman" w:hAnsi="Times New Roman"/>
          <w:sz w:val="20"/>
          <w:szCs w:val="20"/>
          <w:color w:val="auto"/>
        </w:rPr>
      </w:pPr>
    </w:p>
    <w:p>
      <w:pPr>
        <w:ind w:left="-206" w:firstLine="656"/>
        <w:spacing w:after="0" w:line="269" w:lineRule="auto"/>
        <w:tabs>
          <w:tab w:leader="none" w:pos="892"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(which may be by telecopy or electronic mail) of the occurrence of any Default or Event of Default promptly upon a Responsible Officer of the Parent or any other Borrower or any other Loan Party obtaining knowledge thereof;</w:t>
      </w:r>
    </w:p>
    <w:p>
      <w:pPr>
        <w:spacing w:after="0" w:line="172" w:lineRule="exact"/>
        <w:rPr>
          <w:rFonts w:ascii="Times New Roman" w:cs="Times New Roman" w:eastAsia="Times New Roman" w:hAnsi="Times New Roman"/>
          <w:sz w:val="20"/>
          <w:szCs w:val="20"/>
          <w:color w:val="auto"/>
        </w:rPr>
      </w:pPr>
    </w:p>
    <w:p>
      <w:pPr>
        <w:jc w:val="both"/>
        <w:ind w:left="-206" w:right="20" w:firstLine="656"/>
        <w:spacing w:after="0" w:line="261" w:lineRule="auto"/>
        <w:tabs>
          <w:tab w:leader="none" w:pos="852"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notice (which may be by telecopy or electronic mail) of any order, judgment or decree having been entered against any Loan Party or any Material Subsidiary, or any of their respective properties or assets, that individually or in the aggregate with all other such orders, judgments or decrees is in excess of $75,000,000;</w:t>
      </w:r>
    </w:p>
    <w:p>
      <w:pPr>
        <w:spacing w:after="0" w:line="181" w:lineRule="exact"/>
        <w:rPr>
          <w:rFonts w:ascii="Times New Roman" w:cs="Times New Roman" w:eastAsia="Times New Roman" w:hAnsi="Times New Roman"/>
          <w:sz w:val="20"/>
          <w:szCs w:val="20"/>
          <w:color w:val="auto"/>
        </w:rPr>
      </w:pPr>
    </w:p>
    <w:p>
      <w:pPr>
        <w:ind w:left="-206" w:firstLine="656"/>
        <w:spacing w:after="0" w:line="269" w:lineRule="auto"/>
        <w:tabs>
          <w:tab w:leader="none" w:pos="935"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any change in Rated Borrower’s Credit Rating, written notice (which may be by telecopy or electronic mail) stating that Rated Borrower’s Credit Rating has changed and providing the new Credit Rating that is in effect;</w:t>
      </w:r>
    </w:p>
    <w:p>
      <w:pPr>
        <w:spacing w:after="0" w:line="172" w:lineRule="exact"/>
        <w:rPr>
          <w:rFonts w:ascii="Times New Roman" w:cs="Times New Roman" w:eastAsia="Times New Roman" w:hAnsi="Times New Roman"/>
          <w:sz w:val="20"/>
          <w:szCs w:val="20"/>
          <w:color w:val="auto"/>
        </w:rPr>
      </w:pPr>
    </w:p>
    <w:p>
      <w:pPr>
        <w:ind w:left="-206" w:firstLine="656"/>
        <w:spacing w:after="0" w:line="269" w:lineRule="auto"/>
        <w:tabs>
          <w:tab w:leader="none" w:pos="839"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each request, information identifying the Borrowers as a Lender may request in order to comply with applicable “know your customer” and Anti-Money Laundering Laws, including without limitation, the Patriot Act;</w:t>
      </w:r>
    </w:p>
    <w:p>
      <w:pPr>
        <w:spacing w:after="0" w:line="172" w:lineRule="exact"/>
        <w:rPr>
          <w:rFonts w:ascii="Times New Roman" w:cs="Times New Roman" w:eastAsia="Times New Roman" w:hAnsi="Times New Roman"/>
          <w:sz w:val="20"/>
          <w:szCs w:val="20"/>
          <w:color w:val="auto"/>
        </w:rPr>
      </w:pPr>
    </w:p>
    <w:p>
      <w:pPr>
        <w:jc w:val="both"/>
        <w:ind w:left="-206" w:firstLine="656"/>
        <w:spacing w:after="0" w:line="249" w:lineRule="auto"/>
        <w:tabs>
          <w:tab w:leader="none" w:pos="958"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3 Business Days after any Borrower obtains knowledge thereof, written notice (which may be by telecopy or electronic mail) of the occurrence of any of the following: (i) a Borrower, any other Loan Party or any Subsidiary shall receive notice that any violation of or noncompliance with any Environmental Law has or may have been committed or is threatened; (ii) a Borrower, any other Loan Party or any Subsidiary shall receive notice that any administrative or judicial complaint, order or petition has been filed or other proceeding has been initiated, or is about to be filed or initiated against any such Person alleging any violation of or noncompliance with any Environmental Law or requiring any such Person to take any action in connection with the release or threatened release of Hazardous Materials; (iii) a Borrower, any other Loan Party or any Subsidiary shall receive any notice from a Governmental Authority or private party alleging that any such Person may be liable or responsible for any costs associated with a response to, or remediation or cleanup of, a release or threatened release of Hazardous Materials or any damages caused thereby; or (iv) a Borrower, any other Loan Party or any Subsidiary shall receive notice of any other fact, circumstance or condition that could reasonably be expected to form the basis of an environmental claim, and the matters covered by notices referred to in any of the immediately preceding clauses (i) through (iv), whether individually or in the aggregate, could reasonably be expected to have a Material Adverse Effect; and</w:t>
      </w:r>
    </w:p>
    <w:p>
      <w:pPr>
        <w:spacing w:after="0" w:line="201" w:lineRule="exact"/>
        <w:rPr>
          <w:rFonts w:ascii="Times New Roman" w:cs="Times New Roman" w:eastAsia="Times New Roman" w:hAnsi="Times New Roman"/>
          <w:sz w:val="20"/>
          <w:szCs w:val="20"/>
          <w:color w:val="auto"/>
        </w:rPr>
      </w:pPr>
    </w:p>
    <w:p>
      <w:pPr>
        <w:jc w:val="both"/>
        <w:ind w:left="-206" w:firstLine="656"/>
        <w:spacing w:after="0" w:line="261" w:lineRule="auto"/>
        <w:tabs>
          <w:tab w:leader="none" w:pos="903"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notice (which may be by telecopy or electronic mail) of the sale, transfer or other disposition of any material assets of the any Borrower, any other Loan Party or any Subsidiary to any Person other than any Borrower, any other Loan Party or any Subsidiary; and</w:t>
      </w:r>
    </w:p>
    <w:p>
      <w:pPr>
        <w:spacing w:after="0" w:line="181" w:lineRule="exact"/>
        <w:rPr>
          <w:rFonts w:ascii="Times New Roman" w:cs="Times New Roman" w:eastAsia="Times New Roman" w:hAnsi="Times New Roman"/>
          <w:sz w:val="20"/>
          <w:szCs w:val="20"/>
          <w:color w:val="auto"/>
        </w:rPr>
      </w:pPr>
    </w:p>
    <w:p>
      <w:pPr>
        <w:ind w:left="-206" w:firstLine="656"/>
        <w:spacing w:after="0" w:line="269" w:lineRule="auto"/>
        <w:tabs>
          <w:tab w:leader="none" w:pos="896"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time to time and promptly upon each request, such data, certificates, reports, statements, opinions of counsel, documents or further information regarding any Property or the business,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5"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107 -</w:t>
      </w:r>
    </w:p>
    <w:p>
      <w:pPr>
        <w:sectPr>
          <w:pgSz w:w="11900" w:h="16838" w:orient="portrait"/>
          <w:cols w:equalWidth="0" w:num="1">
            <w:col w:w="11034"/>
          </w:cols>
          <w:pgMar w:left="526" w:top="1440" w:right="339" w:bottom="1440" w:gutter="0" w:footer="0" w:header="0"/>
        </w:sectPr>
      </w:pPr>
    </w:p>
    <w:bookmarkStart w:id="444" w:name="page445"/>
    <w:bookmarkEnd w:id="444"/>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assets, liabilities, financial condition, results of operations or business prospects of any Borrower, any other Loan Party or any of their respective Subsidiaries as the Administrative Agent or any Lender (through the Administrative Agent) may reasonably request.</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8.5.</w:t>
      </w:r>
      <w:r>
        <w:rPr>
          <w:sz w:val="20"/>
          <w:szCs w:val="20"/>
          <w:color w:val="auto"/>
        </w:rPr>
        <w:tab/>
      </w:r>
      <w:r>
        <w:rPr>
          <w:rFonts w:ascii="Times New Roman" w:cs="Times New Roman" w:eastAsia="Times New Roman" w:hAnsi="Times New Roman"/>
          <w:sz w:val="19"/>
          <w:szCs w:val="19"/>
          <w:b w:val="1"/>
          <w:bCs w:val="1"/>
          <w:color w:val="auto"/>
        </w:rPr>
        <w:t>Electronic Delivery of Certain Information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48" w:lineRule="auto"/>
        <w:tabs>
          <w:tab w:leader="none" w:pos="118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Documents required to be delivered pursuant to the Loan Documents may be delivered by electronic communication and delivery, including, the Internet, e-mail or intranet websites to which the Administrative Agent and each Lender have access (including a commercial, third-party website such as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 xml:space="preserve"> &lt;</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&gt; or a website sponsored or hosted by the Administrative Agent or the Borrowers) provided that the foregoing shall not apply to (i) notices to any Lender (or any Issuing Bank) pursuant to Article II. and (ii) any Lender that has notified the Administrative Agent and the Borrower Representative that it cannot or does not want to receive electronic communications. The Administrative Agent, the Borrower Representative or any other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Business Day on which the Administrative Agent or the Borrower Representative or another Borrower posts such documents or the documents become available on a commercial website and the Administrative Agent, the Borrower Representative or other Borrower notifies each Lender of said posting and provides a link thereto provided if such notice or other communication is sent after 12:00 noon Eastern time on any Business Day, such notice or other communication shall be deemed to have been delivered on the next succeeding Business Day. Notwithstanding anything contained herein, in every instance the Parent shall be required to provide to the Administrative Agent paper copies of the certificates required by Section 8.3. and the Borrowers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any Borrower with any such request for delivery. Each Lender shall be solely responsible for requesting delivery to it of paper copies and maintaining its paper or electronic documents.</w:t>
      </w:r>
    </w:p>
    <w:p>
      <w:pPr>
        <w:spacing w:after="0" w:line="209" w:lineRule="exact"/>
        <w:rPr>
          <w:rFonts w:ascii="Times New Roman" w:cs="Times New Roman" w:eastAsia="Times New Roman" w:hAnsi="Times New Roman"/>
          <w:sz w:val="20"/>
          <w:szCs w:val="20"/>
          <w:color w:val="auto"/>
        </w:rPr>
      </w:pPr>
    </w:p>
    <w:p>
      <w:pPr>
        <w:ind w:right="20" w:firstLine="656"/>
        <w:spacing w:after="0" w:line="283" w:lineRule="auto"/>
        <w:tabs>
          <w:tab w:leader="none" w:pos="118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required to be delivered pursuant to Article II. may be delivered electronically to a website provided for such purpose by the Administrative Agent pursuant to the procedures provided to the Borrowers by the Administrative Agent.</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8.6.</w:t>
      </w:r>
      <w:r>
        <w:rPr>
          <w:sz w:val="20"/>
          <w:szCs w:val="20"/>
          <w:color w:val="auto"/>
        </w:rPr>
        <w:tab/>
      </w:r>
      <w:r>
        <w:rPr>
          <w:rFonts w:ascii="Times New Roman" w:cs="Times New Roman" w:eastAsia="Times New Roman" w:hAnsi="Times New Roman"/>
          <w:sz w:val="19"/>
          <w:szCs w:val="19"/>
          <w:b w:val="1"/>
          <w:bCs w:val="1"/>
          <w:color w:val="auto"/>
        </w:rPr>
        <w:t>Public/Private Information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Borrower Representative and each other Borrower shall cooperate with the Administrative Agent in connection with the publication of certain materials and/or information provided by or on behalf of any Borrower. Documents required to be delivered pursuant to the Loan Documents shall be delivered by or on behalf of a Borrower to the Administrative Agent and the Lenders (collectively, “Information Materials”) pursuant to this Article, and the Borrower Representative or a Borrower, as the case may be, shall designate Information Materials (a) that are either available to the public or not material with respect to a Borrower and its Subsidiaries or any of their respective securities for purposes of United States federal and state securities laws, as “Public Information” and (b) that are not Public Information as “Private Information”. Absent written notice from the Borrower Representative to the contrary, the Borrower Representative hereby designates all Information Materials included in the public filings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- 108 -</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by any Borrower or any of the Subsidiaries with the Securities and Exchange Commission as “Public Information” and all other Information Materials as “Private Information.”</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8.7.</w:t>
      </w:r>
      <w:r>
        <w:rPr>
          <w:sz w:val="20"/>
          <w:szCs w:val="20"/>
          <w:color w:val="auto"/>
        </w:rPr>
        <w:tab/>
      </w:r>
      <w:r>
        <w:rPr>
          <w:rFonts w:ascii="Times New Roman" w:cs="Times New Roman" w:eastAsia="Times New Roman" w:hAnsi="Times New Roman"/>
          <w:sz w:val="19"/>
          <w:szCs w:val="19"/>
          <w:b w:val="1"/>
          <w:bCs w:val="1"/>
          <w:color w:val="auto"/>
        </w:rPr>
        <w:t>USA Patriot Act Notice; Compliance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The USA Patriot Act of 2001 (Public Law 107-56) and federal regulations issued with respect thereto require all financial institutions to obtain, verify and record certain information that identifies individuals or business entities which open an “account” with such financial institution. Consequently, a Lender (for itself and/or as agent for all Lenders hereunder) may from time-to-time request, and the Parent shall, and shall cause each other Loan Party to, provide to such Lender, such Loan Party’s name, address, tax identification number and/or such other identification information as shall be necessary for such Lender to comply with federal law. An “account” for this purpose may include, without limitation, a deposit account, cash management service, a transaction or asset account, a credit account, a loan or other extension of credit, and/or other financial services product. The Borrowers agree to promptly notify the Administrative Agent and each Lender, in each case, that previously received a Beneficial Ownership Certification of any change in the information provided in the Beneficial Ownership Certification that would result in a change to the list of beneficial owners identified therein (or, if applicable, the Borrowers ceasing to fall within an express exclusion to the definition of “legal entity customer” under the Beneficial Ownership Regulation) and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 NEGATIVE COVENANTS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so long as this Agreement is in effect, the Parent shall comply with the following covenants:</w:t>
      </w:r>
    </w:p>
    <w:p>
      <w:pPr>
        <w:spacing w:after="0" w:line="21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9.1.</w:t>
      </w:r>
      <w:r>
        <w:rPr>
          <w:sz w:val="20"/>
          <w:szCs w:val="20"/>
          <w:color w:val="auto"/>
        </w:rPr>
        <w:tab/>
      </w:r>
      <w:r>
        <w:rPr>
          <w:rFonts w:ascii="Times New Roman" w:cs="Times New Roman" w:eastAsia="Times New Roman" w:hAnsi="Times New Roman"/>
          <w:sz w:val="19"/>
          <w:szCs w:val="19"/>
          <w:b w:val="1"/>
          <w:bCs w:val="1"/>
          <w:color w:val="auto"/>
        </w:rPr>
        <w:t>Financial Covenants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0" w:lineRule="auto"/>
        <w:tabs>
          <w:tab w:leader="none" w:pos="1065"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Ratio of Total Indebtedness to Total Asset Value</w:t>
      </w:r>
      <w:r>
        <w:rPr>
          <w:rFonts w:ascii="Times New Roman" w:cs="Times New Roman" w:eastAsia="Times New Roman" w:hAnsi="Times New Roman"/>
          <w:sz w:val="20"/>
          <w:szCs w:val="20"/>
          <w:color w:val="auto"/>
        </w:rPr>
        <w:t xml:space="preserve">. The Parent shall not permit the ratio of (i) Total Indebtedness of the Parent and its Subsidiaries to (ii) Total Asset Value of the Parent and its Subsidiaries to exceed 0.60 to 1.00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ratio may exceed 0.60 to 1.00 during any fiscal quarter and the two subsequent fiscal quarters (each such period during which such ratio is exceeded, an “</w:t>
      </w:r>
      <w:r>
        <w:rPr>
          <w:rFonts w:ascii="Times New Roman" w:cs="Times New Roman" w:eastAsia="Times New Roman" w:hAnsi="Times New Roman"/>
          <w:sz w:val="20"/>
          <w:szCs w:val="20"/>
          <w:u w:val="single" w:color="auto"/>
          <w:color w:val="auto"/>
        </w:rPr>
        <w:t>Increase Period</w:t>
      </w:r>
      <w:r>
        <w:rPr>
          <w:rFonts w:ascii="Times New Roman" w:cs="Times New Roman" w:eastAsia="Times New Roman" w:hAnsi="Times New Roman"/>
          <w:sz w:val="20"/>
          <w:szCs w:val="20"/>
          <w:color w:val="auto"/>
        </w:rPr>
        <w:t xml:space="preserve">”) so long as such ratio does not exceed 0.65 to 1.00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ratio cannot exceed 0.60 to 1.00 as of the last Business Day of the fiscal quarter immediately following an Increase Period before a new Increase Period may begin. For purposes of calculating this ratio, (A) Total Indebtedness shall be adjusted by deducting therefrom an amount equal to the lesser of (x) unrestricted cash and Cash Equivalents of the Parent and its Subsidiaries as of the date of determination and (y) the amount of Total Indebtedness of the Parent and its Subsidiaries that matures on or before the date that is 24 months from the date of the calculation and (B) Total Asset Value shall be adjusted by deducting therefrom the amount by which Total Indebtedness is adjusted under the immediately preceding clause (A).</w:t>
      </w:r>
    </w:p>
    <w:p>
      <w:pPr>
        <w:spacing w:after="0" w:line="19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3"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Ratio of Adjusted EBITDA to Fixed Charges</w:t>
      </w:r>
      <w:r>
        <w:rPr>
          <w:rFonts w:ascii="Times New Roman" w:cs="Times New Roman" w:eastAsia="Times New Roman" w:hAnsi="Times New Roman"/>
          <w:sz w:val="20"/>
          <w:szCs w:val="20"/>
          <w:color w:val="auto"/>
        </w:rPr>
        <w:t xml:space="preserve">. The Parent shall not permit the ratio of (i) </w:t>
      </w:r>
      <w:r>
        <w:rPr>
          <w:rFonts w:ascii="Times New Roman" w:cs="Times New Roman" w:eastAsia="Times New Roman" w:hAnsi="Times New Roman"/>
          <w:sz w:val="20"/>
          <w:szCs w:val="20"/>
          <w:u w:val="single" w:color="auto"/>
          <w:color w:val="007BB8"/>
        </w:rPr>
        <w:t>the sum of (x)</w:t>
      </w:r>
      <w:r>
        <w:rPr>
          <w:rFonts w:ascii="Times New Roman" w:cs="Times New Roman" w:eastAsia="Times New Roman" w:hAnsi="Times New Roman"/>
          <w:sz w:val="20"/>
          <w:szCs w:val="20"/>
          <w:color w:val="auto"/>
        </w:rPr>
        <w:t xml:space="preserve"> Adjusted EBITDA of the Parent and its Subsidiaries for the period of four consecutive fiscal quarters most recently ended </w:t>
      </w:r>
      <w:r>
        <w:rPr>
          <w:rFonts w:ascii="Times New Roman" w:cs="Times New Roman" w:eastAsia="Times New Roman" w:hAnsi="Times New Roman"/>
          <w:sz w:val="20"/>
          <w:szCs w:val="20"/>
          <w:color w:val="007BB8"/>
        </w:rPr>
        <w:t>plus (y) cash and Cash Equivalents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actually distributed to the Borrowers and their Subsidiaries by Unconsolidated Affiliates</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to (ii) Fixed Charges of the Parent and its</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 xml:space="preserve">Subsidiaries for such period, to be less than (x) prior to a Change of Control, </w:t>
      </w:r>
      <w:r>
        <w:rPr>
          <w:rFonts w:ascii="Times New Roman" w:cs="Times New Roman" w:eastAsia="Times New Roman" w:hAnsi="Times New Roman"/>
          <w:sz w:val="20"/>
          <w:szCs w:val="20"/>
          <w:color w:val="FF0000"/>
          <w:strike w:val="1"/>
        </w:rPr>
        <w:t>1.40</w:t>
      </w:r>
      <w:r>
        <w:rPr>
          <w:rFonts w:ascii="Times New Roman" w:cs="Times New Roman" w:eastAsia="Times New Roman" w:hAnsi="Times New Roman"/>
          <w:sz w:val="20"/>
          <w:szCs w:val="20"/>
          <w:u w:val="single" w:color="auto"/>
          <w:color w:val="007BB8"/>
        </w:rPr>
        <w:t>1.50</w:t>
      </w:r>
      <w:r>
        <w:rPr>
          <w:rFonts w:ascii="Times New Roman" w:cs="Times New Roman" w:eastAsia="Times New Roman" w:hAnsi="Times New Roman"/>
          <w:sz w:val="20"/>
          <w:szCs w:val="20"/>
          <w:color w:val="000000"/>
        </w:rPr>
        <w:t xml:space="preserve"> to 1.00 at any time or (y) on and after a Change of Control, 1.75 to 1.00 at any time.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-1570990</wp:posOffset>
            </wp:positionV>
            <wp:extent cx="311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-1425575</wp:posOffset>
            </wp:positionV>
            <wp:extent cx="18789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87896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89" w:lineRule="exact"/>
        <w:rPr>
          <w:sz w:val="20"/>
          <w:szCs w:val="20"/>
          <w:color w:val="auto"/>
        </w:rPr>
      </w:pPr>
    </w:p>
    <w:p>
      <w:pPr>
        <w:ind w:left="-206" w:firstLine="656"/>
        <w:spacing w:after="0" w:line="283" w:lineRule="auto"/>
        <w:tabs>
          <w:tab w:leader="none" w:pos="927"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Ratio of Secured Indebtedness to Total Asset Value</w:t>
      </w:r>
      <w:r>
        <w:rPr>
          <w:rFonts w:ascii="Times New Roman" w:cs="Times New Roman" w:eastAsia="Times New Roman" w:hAnsi="Times New Roman"/>
          <w:sz w:val="20"/>
          <w:szCs w:val="20"/>
          <w:color w:val="auto"/>
        </w:rPr>
        <w:t>. The Parent shall not permit the ratio of (i) Secured Indebtedness of the Parent and its Subsidiaries to (ii) Total Asset Value of the Parent and its Subsidiaries to exceed 0.50 to 1.00 at any time.</w:t>
      </w:r>
    </w:p>
    <w:p>
      <w:pPr>
        <w:spacing w:after="0" w:line="146" w:lineRule="exact"/>
        <w:rPr>
          <w:rFonts w:ascii="Times New Roman" w:cs="Times New Roman" w:eastAsia="Times New Roman" w:hAnsi="Times New Roman"/>
          <w:sz w:val="20"/>
          <w:szCs w:val="20"/>
          <w:color w:val="auto"/>
        </w:rPr>
      </w:pPr>
    </w:p>
    <w:p>
      <w:pPr>
        <w:jc w:val="both"/>
        <w:ind w:left="-206" w:firstLine="656"/>
        <w:spacing w:after="0" w:line="252" w:lineRule="auto"/>
        <w:tabs>
          <w:tab w:leader="none" w:pos="1019"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Ratio of Unsecured Indebtedness to Unencumbered Asset Value</w:t>
      </w:r>
      <w:r>
        <w:rPr>
          <w:rFonts w:ascii="Times New Roman" w:cs="Times New Roman" w:eastAsia="Times New Roman" w:hAnsi="Times New Roman"/>
          <w:sz w:val="20"/>
          <w:szCs w:val="20"/>
          <w:color w:val="auto"/>
        </w:rPr>
        <w:t xml:space="preserve">. The Parent shall not permit the ratio of (i) Unsecured Indebtedness of the Parent and its Subsidiaries for any fiscal quarter to (ii) Unencumbered Asset Value of the Parent and its Subsidiaries for such fiscal quarter to exceed 0.60 to 1.00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ratio may exceed 0.60 to 1.00 during any fiscal quarter and the two subsequent fiscal quarters (each such period during which such ratio is exceeded, an “</w:t>
      </w:r>
      <w:r>
        <w:rPr>
          <w:rFonts w:ascii="Times New Roman" w:cs="Times New Roman" w:eastAsia="Times New Roman" w:hAnsi="Times New Roman"/>
          <w:sz w:val="20"/>
          <w:szCs w:val="20"/>
          <w:u w:val="single" w:color="auto"/>
          <w:color w:val="auto"/>
        </w:rPr>
        <w:t>Increase Period</w:t>
      </w:r>
      <w:r>
        <w:rPr>
          <w:rFonts w:ascii="Times New Roman" w:cs="Times New Roman" w:eastAsia="Times New Roman" w:hAnsi="Times New Roman"/>
          <w:sz w:val="20"/>
          <w:szCs w:val="20"/>
          <w:color w:val="auto"/>
        </w:rPr>
        <w:t xml:space="preserve">”) so long as such ratio does not exceed 0.65 to 1.00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ratio cannot exceed 0.60 to 1.00 as of the last Business Day of the fiscal quarter immediately following an Increase Period before a new Increase Period may begin. For purposes of calculating this ratio, (A) Unsecured Indebtedness shall be adjusted by deducting therefrom an amount equal to the lesser of (x) unrestricted cash and Cash Equivalents of the Parent and its Subsidiaries as of the date of determination and (y) the amount of Total Indebtedness of the Parent and its Subsidiaries that matures on or before the date that is 24 months from the date of the calculation and (B) Unencumbered Asset Value shall be adjusted by deducting therefrom the amount by which Unsecured Indebtedness is adjusted under the immediately preceding clause (A).</w:t>
      </w:r>
    </w:p>
    <w:p>
      <w:pPr>
        <w:spacing w:after="0" w:line="177" w:lineRule="exact"/>
        <w:rPr>
          <w:rFonts w:ascii="Times New Roman" w:cs="Times New Roman" w:eastAsia="Times New Roman" w:hAnsi="Times New Roman"/>
          <w:sz w:val="20"/>
          <w:szCs w:val="20"/>
          <w:color w:val="auto"/>
        </w:rPr>
      </w:pPr>
    </w:p>
    <w:p>
      <w:pPr>
        <w:jc w:val="both"/>
        <w:ind w:left="-206" w:firstLine="656"/>
        <w:spacing w:after="0" w:line="249" w:lineRule="auto"/>
        <w:tabs>
          <w:tab w:leader="none" w:pos="873"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 and Other Restricted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Subject to the following sentence, if</w:t>
      </w:r>
      <w:r>
        <w:rPr>
          <w:rFonts w:ascii="Times New Roman" w:cs="Times New Roman" w:eastAsia="Times New Roman" w:hAnsi="Times New Roman"/>
          <w:sz w:val="20"/>
          <w:szCs w:val="20"/>
          <w:u w:val="single" w:color="auto"/>
          <w:color w:val="007BB8"/>
        </w:rPr>
        <w:t>If</w:t>
      </w:r>
      <w:r>
        <w:rPr>
          <w:rFonts w:ascii="Times New Roman" w:cs="Times New Roman" w:eastAsia="Times New Roman" w:hAnsi="Times New Roman"/>
          <w:sz w:val="20"/>
          <w:szCs w:val="20"/>
          <w:color w:val="auto"/>
        </w:rPr>
        <w:t xml:space="preserve"> an Event of Default </w:t>
      </w:r>
      <w:r>
        <w:rPr>
          <w:rFonts w:ascii="Times New Roman" w:cs="Times New Roman" w:eastAsia="Times New Roman" w:hAnsi="Times New Roman"/>
          <w:sz w:val="20"/>
          <w:szCs w:val="20"/>
          <w:color w:val="FF0000"/>
          <w:strike w:val="1"/>
        </w:rPr>
        <w:t>exists</w:t>
      </w:r>
      <w:r>
        <w:rPr>
          <w:rFonts w:ascii="Times New Roman" w:cs="Times New Roman" w:eastAsia="Times New Roman" w:hAnsi="Times New Roman"/>
          <w:sz w:val="20"/>
          <w:szCs w:val="20"/>
          <w:u w:val="single" w:color="auto"/>
          <w:color w:val="007BB8"/>
        </w:rPr>
        <w:t>specified in 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10.1.(a), Section 10.1.(e) or Section 10.1.</w:t>
      </w:r>
      <w:r>
        <w:rPr>
          <w:rFonts w:ascii="Times New Roman" w:cs="Times New Roman" w:eastAsia="Times New Roman" w:hAnsi="Times New Roman"/>
          <w:sz w:val="20"/>
          <w:szCs w:val="20"/>
          <w:u w:val="single" w:color="auto"/>
          <w:color w:val="00B050"/>
        </w:rPr>
        <w:t>(f) shall exist, or if as a result of the occurrence of any other Event of Default any of the Obligations</w:t>
      </w:r>
      <w:r>
        <w:rPr>
          <w:rFonts w:ascii="Times New Roman" w:cs="Times New Roman" w:eastAsia="Times New Roman" w:hAnsi="Times New Roman"/>
          <w:sz w:val="20"/>
          <w:szCs w:val="20"/>
          <w:u w:val="single" w:color="auto"/>
          <w:color w:val="007BB8"/>
        </w:rPr>
        <w:t xml:space="preserve"> </w:t>
      </w:r>
      <w:r>
        <w:rPr>
          <w:rFonts w:ascii="Times New Roman" w:cs="Times New Roman" w:eastAsia="Times New Roman" w:hAnsi="Times New Roman"/>
          <w:sz w:val="20"/>
          <w:szCs w:val="20"/>
          <w:u w:val="single" w:color="auto"/>
          <w:color w:val="00B050"/>
        </w:rPr>
        <w:t>have been accelerated pursuant to Section</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u w:val="single" w:color="auto"/>
          <w:color w:val="007BB8"/>
        </w:rPr>
        <w:t>10.2.(a)</w:t>
      </w:r>
      <w:r>
        <w:rPr>
          <w:rFonts w:ascii="Times New Roman" w:cs="Times New Roman" w:eastAsia="Times New Roman" w:hAnsi="Times New Roman"/>
          <w:sz w:val="20"/>
          <w:szCs w:val="20"/>
          <w:color w:val="000000"/>
        </w:rPr>
        <w:t>, the Parent shall not, and shall not permit any of its Subsidiaries to, make any Restricted</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color w:val="000000"/>
        </w:rPr>
        <w:t xml:space="preserve">Payments; provided that (i) SLGOP may declare and make cash distributions to holders of partnership interests in SLGOP, with respect to any fiscal year to the extent necessary for the Parent to distribute, and the Parent may so distribute, an aggregate amount not to exceed the minimum amount necessary for the Parent to remain in compliance with Section 7.11. and (ii) Subsidiaries of a Borrower may make Restricted Payments to (A) such Borrower and </w:t>
      </w:r>
      <w:r>
        <w:rPr>
          <w:rFonts w:ascii="Times New Roman" w:cs="Times New Roman" w:eastAsia="Times New Roman" w:hAnsi="Times New Roman"/>
          <w:sz w:val="20"/>
          <w:szCs w:val="20"/>
          <w:u w:val="single" w:color="auto"/>
          <w:color w:val="007BB8"/>
        </w:rPr>
        <w:t>its Wholly Owned Subsidiaries, (B)</w:t>
      </w:r>
      <w:r>
        <w:rPr>
          <w:rFonts w:ascii="Times New Roman" w:cs="Times New Roman" w:eastAsia="Times New Roman" w:hAnsi="Times New Roman"/>
          <w:sz w:val="20"/>
          <w:szCs w:val="20"/>
          <w:color w:val="000000"/>
        </w:rPr>
        <w:t xml:space="preserve"> to other holders of the Equity Interests in such Subsidiaries to the extent necessary to make Restricted Payments to such Borrower or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color w:val="007BB8"/>
        </w:rPr>
        <w:t>C</w:t>
      </w:r>
      <w:r>
        <w:rPr>
          <w:rFonts w:ascii="Times New Roman" w:cs="Times New Roman" w:eastAsia="Times New Roman" w:hAnsi="Times New Roman"/>
          <w:sz w:val="20"/>
          <w:szCs w:val="20"/>
          <w:color w:val="000000"/>
        </w:rPr>
        <w:t xml:space="preserve">) any of such Borrower’s Subsidiaries, and in the case of a Subsidiary of such Borrower that is not a Wholly Owned Subsidiary, to each other holder of Equity Interests of such Subsidiary based on their relative ownership interests. </w:t>
      </w:r>
      <w:r>
        <w:rPr>
          <w:rFonts w:ascii="Times New Roman" w:cs="Times New Roman" w:eastAsia="Times New Roman" w:hAnsi="Times New Roman"/>
          <w:sz w:val="20"/>
          <w:szCs w:val="20"/>
          <w:color w:val="FF0000"/>
        </w:rPr>
        <w:t>If a Default or Event of Default specified in Section 10.1.(a), Section 10.1.(e) or Section 10.1.</w:t>
      </w:r>
      <w:r>
        <w:rPr>
          <w:rFonts w:ascii="Times New Roman" w:cs="Times New Roman" w:eastAsia="Times New Roman" w:hAnsi="Times New Roman"/>
          <w:sz w:val="20"/>
          <w:szCs w:val="20"/>
          <w:color w:val="00B050"/>
          <w:strike w:val="1"/>
        </w:rPr>
        <w:t>(f)</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B050"/>
          <w:strike w:val="1"/>
        </w:rPr>
        <w:t xml:space="preserve">shall exist, or if as a result of the occurrence of any other Event of Default any of the Obligations have been accelerated pursuant to Section </w:t>
      </w:r>
      <w:r>
        <w:rPr>
          <w:rFonts w:ascii="Times New Roman" w:cs="Times New Roman" w:eastAsia="Times New Roman" w:hAnsi="Times New Roman"/>
          <w:sz w:val="20"/>
          <w:szCs w:val="20"/>
          <w:color w:val="FF0000"/>
          <w:strike w:val="1"/>
        </w:rPr>
        <w:t xml:space="preserve">10.2.(a), no Borrower or other Loan Party shall, and no Borrower or other Loan Party shall permit any their respective Subsidiaries to, make any Restricted Payments to any Person other than to a Borrower or other Loan Party </w:t>
      </w:r>
      <w:r>
        <w:rPr>
          <w:rFonts w:ascii="Times New Roman" w:cs="Times New Roman" w:eastAsia="Times New Roman" w:hAnsi="Times New Roman"/>
          <w:sz w:val="20"/>
          <w:szCs w:val="20"/>
          <w:color w:val="00B050"/>
          <w:strike w:val="1"/>
        </w:rPr>
        <w:t>or any of their respective</w:t>
      </w:r>
      <w:r>
        <w:rPr>
          <w:rFonts w:ascii="Times New Roman" w:cs="Times New Roman" w:eastAsia="Times New Roman" w:hAnsi="Times New Roman"/>
          <w:sz w:val="20"/>
          <w:szCs w:val="20"/>
          <w:color w:val="FF0000"/>
          <w:strike w:val="1"/>
        </w:rPr>
        <w:t xml:space="preserve"> Subsidiaries and, in the case of a Subsidiary of such Borrower or other Loan Party that is not a Wholly Owned Subsidiary (other than SLGOP), to each other owner of Equity Interests of such Subsidiary based on their relative ownership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2049145</wp:posOffset>
            </wp:positionH>
            <wp:positionV relativeFrom="paragraph">
              <wp:posOffset>-834390</wp:posOffset>
            </wp:positionV>
            <wp:extent cx="48253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4825365" cy="8890"/>
                    </a:xfrm>
                    <a:prstGeom prst="rect">
                      <a:avLst/>
                    </a:prstGeom>
                    <a:noFill/>
                  </pic:spPr>
                </pic:pic>
              </a:graphicData>
            </a:graphic>
          </wp:anchor>
        </w:drawing>
      </w:r>
    </w:p>
    <w:p>
      <w:pPr>
        <w:spacing w:after="0" w:line="181" w:lineRule="exact"/>
        <w:rPr>
          <w:sz w:val="20"/>
          <w:szCs w:val="20"/>
          <w:color w:val="auto"/>
        </w:rPr>
      </w:pPr>
    </w:p>
    <w:p>
      <w:pPr>
        <w:ind w:left="-206" w:firstLine="656"/>
        <w:spacing w:after="0" w:line="310" w:lineRule="auto"/>
        <w:tabs>
          <w:tab w:leader="none" w:pos="898" w:val="left"/>
        </w:tabs>
        <w:numPr>
          <w:ilvl w:val="1"/>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FF0000"/>
          <w:strike w:val="1"/>
        </w:rPr>
        <w:t>Treatment of Unrestricted Subsidiary Loans</w:t>
      </w:r>
      <w:r>
        <w:rPr>
          <w:rFonts w:ascii="Times New Roman" w:cs="Times New Roman" w:eastAsia="Times New Roman" w:hAnsi="Times New Roman"/>
          <w:sz w:val="19"/>
          <w:szCs w:val="19"/>
          <w:color w:val="FF0000"/>
          <w:strike w:val="1"/>
        </w:rPr>
        <w:t>. Solely to the extent consistent with GAAP, no Unrestricted Subsidiary Loan shall</w:t>
      </w:r>
      <w:r>
        <w:rPr>
          <w:rFonts w:ascii="Times New Roman" w:cs="Times New Roman" w:eastAsia="Times New Roman" w:hAnsi="Times New Roman"/>
          <w:sz w:val="19"/>
          <w:szCs w:val="19"/>
          <w:u w:val="single" w:color="auto"/>
          <w:color w:val="FF0000"/>
          <w:strike w:val="1"/>
        </w:rPr>
        <w:t xml:space="preserve"> </w:t>
      </w:r>
      <w:r>
        <w:rPr>
          <w:rFonts w:ascii="Times New Roman" w:cs="Times New Roman" w:eastAsia="Times New Roman" w:hAnsi="Times New Roman"/>
          <w:sz w:val="19"/>
          <w:szCs w:val="19"/>
          <w:color w:val="FF0000"/>
          <w:strike w:val="1"/>
        </w:rPr>
        <w:t>constitute Indebtedness of any Borrower or an Investment for the purposes of the financial covenants set forth in this Section.</w:t>
      </w:r>
      <w:r>
        <w:rPr>
          <w:rFonts w:ascii="Times New Roman" w:cs="Times New Roman" w:eastAsia="Times New Roman" w:hAnsi="Times New Roman"/>
          <w:sz w:val="19"/>
          <w:szCs w:val="19"/>
          <w:u w:val="single" w:color="auto"/>
          <w:color w:val="007BB8"/>
          <w:strike w:val="1"/>
        </w:rPr>
        <w:t>[Reserved].</w:t>
      </w:r>
    </w:p>
    <w:p>
      <w:pPr>
        <w:spacing w:after="0" w:line="124" w:lineRule="exact"/>
        <w:rPr>
          <w:rFonts w:ascii="Times New Roman" w:cs="Times New Roman" w:eastAsia="Times New Roman" w:hAnsi="Times New Roman"/>
          <w:sz w:val="19"/>
          <w:szCs w:val="19"/>
          <w:color w:val="auto"/>
        </w:rPr>
      </w:pPr>
    </w:p>
    <w:p>
      <w:pPr>
        <w:jc w:val="both"/>
        <w:ind w:left="-206" w:firstLine="656"/>
        <w:spacing w:after="0" w:line="261" w:lineRule="auto"/>
        <w:tabs>
          <w:tab w:leader="none" w:pos="898" w:val="left"/>
        </w:tabs>
        <w:numPr>
          <w:ilvl w:val="1"/>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Indebtedness other than Nonrecourse Indebtedness</w:t>
      </w:r>
      <w:r>
        <w:rPr>
          <w:rFonts w:ascii="Times New Roman" w:cs="Times New Roman" w:eastAsia="Times New Roman" w:hAnsi="Times New Roman"/>
          <w:sz w:val="20"/>
          <w:szCs w:val="20"/>
          <w:color w:val="auto"/>
        </w:rPr>
        <w:t>. The Parent shall not permit any of its Subsidiaries (other than a Borrower) to incur, acquire or suffer to exist Restricted Indebtedness in an amount that individually or in the aggregate with all other Restricted Indebtedness of such Subsidiaries is greater than $100,000,000 at any one time outstanding.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110 -</w:t>
      </w:r>
    </w:p>
    <w:p>
      <w:pPr>
        <w:sectPr>
          <w:pgSz w:w="11900" w:h="16838" w:orient="portrait"/>
          <w:cols w:equalWidth="0" w:num="1">
            <w:col w:w="11034"/>
          </w:cols>
          <w:pgMar w:left="526" w:top="1440" w:right="339" w:bottom="1440" w:gutter="0" w:footer="0" w:header="0"/>
        </w:sectPr>
      </w:pPr>
    </w:p>
    <w:bookmarkStart w:id="447" w:name="page448"/>
    <w:bookmarkEnd w:id="447"/>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9.2.</w:t>
      </w:r>
      <w:r>
        <w:rPr>
          <w:sz w:val="20"/>
          <w:szCs w:val="20"/>
          <w:color w:val="auto"/>
        </w:rPr>
        <w:tab/>
      </w:r>
      <w:r>
        <w:rPr>
          <w:rFonts w:ascii="Times New Roman" w:cs="Times New Roman" w:eastAsia="Times New Roman" w:hAnsi="Times New Roman"/>
          <w:sz w:val="19"/>
          <w:szCs w:val="19"/>
          <w:b w:val="1"/>
          <w:bCs w:val="1"/>
          <w:color w:val="auto"/>
        </w:rPr>
        <w:t>Liens; Negative Pledge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1" w:lineRule="auto"/>
        <w:tabs>
          <w:tab w:leader="none" w:pos="1094"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Borrower shall, and no Borrower shall permit any other Loan Party or any Subsidiary to, create, assume, or incur any Lien (other than (x) Permitted Liens and (y) the Liens set forth on Schedule 6.1.(f) and any modifications, replacements,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no such Lien extends to any additional property other than after-acquired property that is affixed or incorporated into the property covered by such Lien and (ii) such modification, replacement, renewal or extension of such Lien does not cause a Default or Event of Default) upon any of its properties, assets, income or profits of any character whether now owned or hereafter acquired if immediately prior to the creation, assumption or incurring of such Lien, or immediately thereafter, a Default or Event of Default is or would be in existence, including without limitation, a Default or Event of Default resulting from a violation of any of the covenants contained in Section 9.1.</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89"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shall, and no Borrower shall permit any other Loan Party or any other Subsidiary to, enter into, assume or otherwise be bound by any Negative Pledge except for a Negative Pledge contained in (i) an agreement (x) evidencing Indebtedness which such Borrower, such other Loan Party or such Subsidiary may create, incur, assume, or permit or suffer to exist under this Agreement, (y) which Indebtedness is secured by a Lien permitted to exist under the Loan Documents, and (z) which prohibits the creation of any other Lien on only the property securing such Indebtedness as of the date such agreement was entered into; (ii) an agreement relating to the sale of a Subsidiary or assets pending such sale, provided that in any such case the Negative Pledge applies only to the Subsidiary or the assets that are the subject of such sale; or (iii) any agreement relating to Pari Passu Indebtedness.</w:t>
      </w:r>
    </w:p>
    <w:p>
      <w:pPr>
        <w:spacing w:after="0" w:line="18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9.3.</w:t>
      </w:r>
      <w:r>
        <w:rPr>
          <w:sz w:val="20"/>
          <w:szCs w:val="20"/>
          <w:color w:val="auto"/>
        </w:rPr>
        <w:tab/>
      </w:r>
      <w:r>
        <w:rPr>
          <w:rFonts w:ascii="Times New Roman" w:cs="Times New Roman" w:eastAsia="Times New Roman" w:hAnsi="Times New Roman"/>
          <w:sz w:val="19"/>
          <w:szCs w:val="19"/>
          <w:b w:val="1"/>
          <w:bCs w:val="1"/>
          <w:color w:val="auto"/>
        </w:rPr>
        <w:t>Merger, Consolidation, Sales of Assets and Other Arrangements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 Borrower shall, and no Borrower shall permit any other Loan Party or any other Subsidiary to: (i) enter into any transaction of merger or consolidation; (ii) liquidate, wind up or dissolve itself (or suffer any liquidation or dissolution); or (iii) convey, sell, lease, sublease, transfer or otherwise dispose of, in one transaction or a series of transactions, all or substantially all of its business or assets, whether now owned or hereafter acquired;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w:t>
      </w:r>
    </w:p>
    <w:p>
      <w:pPr>
        <w:spacing w:after="0" w:line="172" w:lineRule="exact"/>
        <w:rPr>
          <w:sz w:val="20"/>
          <w:szCs w:val="20"/>
          <w:color w:val="auto"/>
        </w:rPr>
      </w:pPr>
    </w:p>
    <w:p>
      <w:pPr>
        <w:jc w:val="both"/>
        <w:ind w:firstLine="656"/>
        <w:spacing w:after="0" w:line="253" w:lineRule="auto"/>
        <w:tabs>
          <w:tab w:leader="none" w:pos="1189"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actions described in the immediately preceding clauses (i) through (iii) may be taken with respect to (A) any Borrower or any other Loan Party solely for the purpose of reincorporating such Borrower or such other Loan Party in any State of the United States of America or in the District of Columbia and (B) any Subsidiary (other than a Borrower or another Loan Party) so long as either (x) such action is taken by and among Subsidiaries (other than a Borrower or any other Loan Party) or (y) immediately prior to the taking of such action, and immediately thereafter and after giving effect thereto, no Default under Section 10.1.(a) or Section 10.1.(f) or Event of Default is or would be in existence;</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152"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other Loan Parties and the other Subsidiaries may lease and sublease their respective assets, as lessor or sublessor (as the case may be), in the ordinary course of their business;</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065"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merge with and into a Borrower so long as (i) such Borrower is the survivor of such merger, (ii) immediately prior to such merger, and immediately thereafter and after giving effect thereto, no Default or Event of Default is or would be in existence, and (iii) the Borrower Representative shall have given the Administrative Agent and the Lenders at least 10 Business Days’ prior written notice (which may be by telecopy or electronic mail) of such merger, such notice to include a certification as to the matters described in the immediately preceding clause (ii) (except that such prior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9"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111 -</w:t>
      </w:r>
    </w:p>
    <w:p>
      <w:pPr>
        <w:sectPr>
          <w:pgSz w:w="11900" w:h="16838" w:orient="portrait"/>
          <w:cols w:equalWidth="0" w:num="1">
            <w:col w:w="11240"/>
          </w:cols>
          <w:pgMar w:left="320" w:top="1409" w:right="339" w:bottom="1440" w:gutter="0" w:footer="0" w:header="0"/>
        </w:sectPr>
      </w:pPr>
    </w:p>
    <w:bookmarkStart w:id="448" w:name="page449"/>
    <w:bookmarkEnd w:id="448"/>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notice shall not be required in the case of the merger of a Subsidiary with and into a Borrower (other than the Parent) or a Subsidiary (other than the SLGOP) with and into the Parent); and</w:t>
      </w:r>
    </w:p>
    <w:p>
      <w:pPr>
        <w:spacing w:after="0" w:line="14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each Borrower, each other Loan Party and each other Subsidiary may sell, transfer, lease or dispose of assets among themselves.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9.4.</w:t>
        <w:tab/>
        <w:t>Plans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 Borrower shall, and no Borrower shall permit any other Loan Party or any other Subsidiary to, permit any of its respective assets to become or be deemed to be “plan assets” within the meaning of ERISA, the Internal Revenue Code and the respective regulations promulgated thereunder. No Borrower shall cause or permit to occur, and no Borrower shall permit any other member of the ERISA Group to cause or permit to occur, any ERISA Event if such ERISA Event could reasonably be expected to have a Material Adverse Effect.</w:t>
      </w:r>
    </w:p>
    <w:p>
      <w:pPr>
        <w:spacing w:after="0" w:line="18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9.5.</w:t>
      </w:r>
      <w:r>
        <w:rPr>
          <w:sz w:val="20"/>
          <w:szCs w:val="20"/>
          <w:color w:val="auto"/>
        </w:rPr>
        <w:tab/>
      </w:r>
      <w:r>
        <w:rPr>
          <w:rFonts w:ascii="Times New Roman" w:cs="Times New Roman" w:eastAsia="Times New Roman" w:hAnsi="Times New Roman"/>
          <w:sz w:val="19"/>
          <w:szCs w:val="19"/>
          <w:b w:val="1"/>
          <w:bCs w:val="1"/>
          <w:color w:val="auto"/>
        </w:rPr>
        <w:t>Fiscal Year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No Borrower shall, and no Borrower shall permit any other Loan Party or any other Subsidiary to, change its fiscal year from that in effect as of the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u w:val="single" w:color="auto"/>
          <w:color w:val="007BB8"/>
        </w:rPr>
        <w:t>First Amendment</w:t>
      </w:r>
      <w:r>
        <w:rPr>
          <w:rFonts w:ascii="Times New Roman" w:cs="Times New Roman" w:eastAsia="Times New Roman" w:hAnsi="Times New Roman"/>
          <w:sz w:val="20"/>
          <w:szCs w:val="20"/>
          <w:color w:val="auto"/>
        </w:rPr>
        <w:t xml:space="preserve"> Date.</w:t>
      </w:r>
    </w:p>
    <w:p>
      <w:pPr>
        <w:spacing w:after="0" w:line="15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9.6.</w:t>
      </w:r>
      <w:r>
        <w:rPr>
          <w:sz w:val="20"/>
          <w:szCs w:val="20"/>
          <w:color w:val="auto"/>
        </w:rPr>
        <w:tab/>
      </w:r>
      <w:r>
        <w:rPr>
          <w:rFonts w:ascii="Times New Roman" w:cs="Times New Roman" w:eastAsia="Times New Roman" w:hAnsi="Times New Roman"/>
          <w:sz w:val="19"/>
          <w:szCs w:val="19"/>
          <w:b w:val="1"/>
          <w:bCs w:val="1"/>
          <w:color w:val="auto"/>
        </w:rPr>
        <w:t>Modifications of Organizational Documents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 Borrower shall, and no Borrower shall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(a) is adverse to the interest of the Administrative Agent, the Issuing Banks or the Lenders or (b) could reasonably be expected to have a Material Adverse Effect.</w:t>
      </w:r>
    </w:p>
    <w:p>
      <w:pPr>
        <w:spacing w:after="0" w:line="1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9.7.</w:t>
      </w:r>
      <w:r>
        <w:rPr>
          <w:sz w:val="20"/>
          <w:szCs w:val="20"/>
          <w:color w:val="auto"/>
        </w:rPr>
        <w:tab/>
      </w:r>
      <w:r>
        <w:rPr>
          <w:rFonts w:ascii="Times New Roman" w:cs="Times New Roman" w:eastAsia="Times New Roman" w:hAnsi="Times New Roman"/>
          <w:sz w:val="19"/>
          <w:szCs w:val="19"/>
          <w:b w:val="1"/>
          <w:bCs w:val="1"/>
          <w:color w:val="auto"/>
        </w:rPr>
        <w:t>Restrictions on Activities of SL Green Management Corp.</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Borrower shall permit SL Green Management Corp. to own any Property, Structured Finance Investment</w:t>
      </w:r>
      <w:r>
        <w:rPr>
          <w:rFonts w:ascii="Times New Roman" w:cs="Times New Roman" w:eastAsia="Times New Roman" w:hAnsi="Times New Roman"/>
          <w:sz w:val="20"/>
          <w:szCs w:val="20"/>
          <w:u w:val="single" w:color="auto"/>
          <w:color w:val="007BB8"/>
        </w:rPr>
        <w:t>, Fund Investment</w:t>
      </w:r>
      <w:r>
        <w:rPr>
          <w:rFonts w:ascii="Times New Roman" w:cs="Times New Roman" w:eastAsia="Times New Roman" w:hAnsi="Times New Roman"/>
          <w:sz w:val="20"/>
          <w:szCs w:val="20"/>
          <w:color w:val="auto"/>
        </w:rPr>
        <w:t xml:space="preserve"> or Mortgage Receivable.</w:t>
      </w:r>
    </w:p>
    <w:p>
      <w:pPr>
        <w:spacing w:after="0" w:line="1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9.8.</w:t>
      </w:r>
      <w:r>
        <w:rPr>
          <w:sz w:val="20"/>
          <w:szCs w:val="20"/>
          <w:color w:val="auto"/>
        </w:rPr>
        <w:tab/>
      </w:r>
      <w:r>
        <w:rPr>
          <w:rFonts w:ascii="Times New Roman" w:cs="Times New Roman" w:eastAsia="Times New Roman" w:hAnsi="Times New Roman"/>
          <w:sz w:val="19"/>
          <w:szCs w:val="19"/>
          <w:b w:val="1"/>
          <w:bCs w:val="1"/>
          <w:color w:val="auto"/>
        </w:rPr>
        <w:t>Transactions with Affiliates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No Borrower shall permit to exist or enter into, and no Borrower shall permit any other Loan Party or any other Subsidiary to permit to exist or enter into, any transaction (including the purchase, sale, lease or exchange of any property or the rendering of any service) with any Affiliate, except (a) as set forth on Schedule 6.1.(r), (b) transactions among the Borrowers, other Loan Parties and Wholly Owned Subsidiaries, or (c) transactions pursuant to the reasonable requirements of the business of such Borrower, such other Loan Party or such other Subsidiary and upon fair and reasonable terms which are no less favorable to such Borrower, such other Loan Party or such other Subsidiary than would be obtained in a comparable arm’s length transaction with a Person that is not an Affiliate. Notwithstanding the foregoing, no payments may be made with respect to any items set forth on such Schedule 6.1.(r) if a Default or Event of Default exists or would result therefrom. </w:t>
      </w:r>
      <w:r>
        <w:rPr>
          <w:rFonts w:ascii="Times New Roman" w:cs="Times New Roman" w:eastAsia="Times New Roman" w:hAnsi="Times New Roman"/>
          <w:sz w:val="20"/>
          <w:szCs w:val="20"/>
          <w:color w:val="FF0000"/>
          <w:strike w:val="1"/>
        </w:rPr>
        <w:t>Nothing in this Section shall be deemed to prohibit the Unrestricted Subsidiary from (x) acquiring any Unrestricted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Subsidiary Loan so long as such acquisition is permitted by this Agreement or (y) paying or funding any amounts relating to such Unrestricted Subsidiary Loan to a Borrower so long as such payment or funding is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- 112 -</w:t>
      </w:r>
    </w:p>
    <w:p>
      <w:pPr>
        <w:sectPr>
          <w:pgSz w:w="11900" w:h="16838" w:orient="portrait"/>
          <w:cols w:equalWidth="0" w:num="1">
            <w:col w:w="11240"/>
          </w:cols>
          <w:pgMar w:left="320" w:top="1440" w:right="339" w:bottom="1440" w:gutter="0" w:footer="0" w:header="0"/>
        </w:sectPr>
      </w:pPr>
    </w:p>
    <w:bookmarkStart w:id="449" w:name="page450"/>
    <w:bookmarkEnd w:id="449"/>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Section 9.9.</w:t>
      </w:r>
      <w:r>
        <w:rPr>
          <w:sz w:val="20"/>
          <w:szCs w:val="20"/>
          <w:color w:val="auto"/>
        </w:rPr>
        <w:tab/>
      </w:r>
      <w:r>
        <w:rPr>
          <w:rFonts w:ascii="Times New Roman" w:cs="Times New Roman" w:eastAsia="Times New Roman" w:hAnsi="Times New Roman"/>
          <w:sz w:val="19"/>
          <w:szCs w:val="19"/>
          <w:b w:val="1"/>
          <w:bCs w:val="1"/>
          <w:color w:val="auto"/>
        </w:rPr>
        <w:t>Derivatives Contracts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3" w:lineRule="auto"/>
        <w:tabs>
          <w:tab w:leader="none" w:pos="114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No Borrower shall, and no Borrower shall permit any other Loan Party or any other Subsidiary to, enter into or become obligated in respect of Derivatives Contract</w:t>
      </w:r>
      <w:r>
        <w:rPr>
          <w:rFonts w:ascii="Times New Roman" w:cs="Times New Roman" w:eastAsia="Times New Roman" w:hAnsi="Times New Roman"/>
          <w:sz w:val="20"/>
          <w:szCs w:val="20"/>
          <w:u w:val="single" w:color="auto"/>
          <w:color w:val="007BB8"/>
        </w:rPr>
        <w:t>; provided that the Borrowers and their Subsidiaries may enter into and become obligated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BB8"/>
        </w:rPr>
        <w:t>under (i) Derivative Contracts entered into not</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color w:val="000000"/>
        </w:rPr>
        <w:t>for speculative purposes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7BB8"/>
        </w:rPr>
        <w:t>, (ii) Investments in the Equity Interests of the REIT made pursuant</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7BB8"/>
        </w:rPr>
        <w:t>to Derivative Contracts entered into for the purpose of facilitating an exchangeable note offering of Unsecured Indebtedness, (iii) forward equity contracts and (iv) repurchase transactions entered into in the ordinary course of business.</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Return Swaps</w:t>
      </w:r>
      <w:r>
        <w:rPr>
          <w:rFonts w:ascii="Times New Roman" w:cs="Times New Roman" w:eastAsia="Times New Roman" w:hAnsi="Times New Roman"/>
          <w:sz w:val="20"/>
          <w:szCs w:val="20"/>
          <w:color w:val="auto"/>
        </w:rPr>
        <w:t xml:space="preserve">. No Borrower shall, and no Borrower shall permit any other Loan Party or any other Subsidiary or Affiliate of a Borrower </w:t>
      </w:r>
      <w:r>
        <w:rPr>
          <w:rFonts w:ascii="Times New Roman" w:cs="Times New Roman" w:eastAsia="Times New Roman" w:hAnsi="Times New Roman"/>
          <w:sz w:val="20"/>
          <w:szCs w:val="20"/>
          <w:color w:val="FF0000"/>
        </w:rPr>
        <w:t>or the Unrestricted Subsidiary</w:t>
      </w:r>
      <w:r>
        <w:rPr>
          <w:rFonts w:ascii="Times New Roman" w:cs="Times New Roman" w:eastAsia="Times New Roman" w:hAnsi="Times New Roman"/>
          <w:sz w:val="20"/>
          <w:szCs w:val="20"/>
          <w:color w:val="auto"/>
        </w:rPr>
        <w:t xml:space="preserve"> to, enter into or become a counterparty to any pledge, assignment or transfer of the interest of any Lender, fully or in any part, in any Loan, Revolving Commitment or portion thereof via any agreement, financial instrument or other assignment that replicates loan payments under this Agreement and/or provides for a transfer or assumption of any portion of economic, legal or other risk of any such loan payments, unless</w:t>
      </w:r>
      <w:r>
        <w:rPr>
          <w:rFonts w:ascii="Times New Roman" w:cs="Times New Roman" w:eastAsia="Times New Roman" w:hAnsi="Times New Roman"/>
          <w:sz w:val="20"/>
          <w:szCs w:val="20"/>
          <w:color w:val="FF0000"/>
          <w:strike w:val="1"/>
        </w:rPr>
        <w:t>:</w:t>
      </w:r>
    </w:p>
    <w:p>
      <w:pPr>
        <w:spacing w:after="0" w:line="191"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760" w:val="left"/>
        </w:tabs>
        <w:numPr>
          <w:ilvl w:val="1"/>
          <w:numId w:val="320"/>
        </w:numPr>
        <w:rPr>
          <w:rFonts w:ascii="Times New Roman" w:cs="Times New Roman" w:eastAsia="Times New Roman" w:hAnsi="Times New Roman"/>
          <w:sz w:val="20"/>
          <w:szCs w:val="20"/>
          <w:color w:val="FF0000"/>
        </w:rPr>
      </w:pPr>
      <w:r>
        <w:rPr>
          <w:rFonts w:ascii="Times New Roman" w:cs="Times New Roman" w:eastAsia="Times New Roman" w:hAnsi="Times New Roman"/>
          <w:sz w:val="20"/>
          <w:szCs w:val="20"/>
          <w:color w:val="auto"/>
        </w:rPr>
        <w:t>such Lender shall deliver written notice (which notice shall include a disclosure of all Persons that are party to such transaction) of such pledge, assignment or transfer to the Administrative Agent for dissemination to the other Lenders on or prior to the date that such transaction is effectuated</w:t>
      </w:r>
      <w:r>
        <w:rPr>
          <w:rFonts w:ascii="Times New Roman" w:cs="Times New Roman" w:eastAsia="Times New Roman" w:hAnsi="Times New Roman"/>
          <w:sz w:val="20"/>
          <w:szCs w:val="20"/>
          <w:color w:val="FF0000"/>
          <w:strike w:val="1"/>
        </w:rPr>
        <w:t>; and</w:t>
      </w:r>
      <w:r>
        <w:rPr>
          <w:rFonts w:ascii="Times New Roman" w:cs="Times New Roman" w:eastAsia="Times New Roman" w:hAnsi="Times New Roman"/>
          <w:sz w:val="20"/>
          <w:szCs w:val="20"/>
          <w:u w:val="single" w:color="auto"/>
          <w:color w:val="007BB8"/>
        </w:rPr>
        <w:t>.</w:t>
      </w:r>
    </w:p>
    <w:p>
      <w:pPr>
        <w:spacing w:after="0" w:line="167" w:lineRule="exact"/>
        <w:rPr>
          <w:rFonts w:ascii="Times New Roman" w:cs="Times New Roman" w:eastAsia="Times New Roman" w:hAnsi="Times New Roman"/>
          <w:sz w:val="20"/>
          <w:szCs w:val="20"/>
          <w:color w:val="FF0000"/>
        </w:rPr>
      </w:pPr>
    </w:p>
    <w:p>
      <w:pPr>
        <w:jc w:val="both"/>
        <w:ind w:left="660" w:firstLine="644"/>
        <w:spacing w:after="0" w:line="258" w:lineRule="auto"/>
        <w:tabs>
          <w:tab w:leader="none" w:pos="1792" w:val="left"/>
        </w:tabs>
        <w:numPr>
          <w:ilvl w:val="1"/>
          <w:numId w:val="32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such Lender shall be deemed to be, and shall be treated as if it were, an Unrestricted Subsidiary (notwithstanding the definition thereof) solely with respect to the Loan or Revolving Commitment so pledged, assigned or transferred, and such pledged, assigned or transferred Loan or Revolving Commitment shall be deemed to be, and shall be treated as if it were, an Unrestricted Subsidiary Loan (notwithstanding the definition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-1873250</wp:posOffset>
            </wp:positionV>
            <wp:extent cx="15678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56781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-1127125</wp:posOffset>
            </wp:positionV>
            <wp:extent cx="2870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u w:val="single" w:color="auto"/>
          <w:color w:val="007BB8"/>
        </w:rPr>
        <w:t>Section 9.10.</w:t>
      </w:r>
      <w:r>
        <w:rPr>
          <w:sz w:val="20"/>
          <w:szCs w:val="20"/>
          <w:color w:val="auto"/>
        </w:rPr>
        <w:tab/>
      </w:r>
      <w:r>
        <w:rPr>
          <w:rFonts w:ascii="Times New Roman" w:cs="Times New Roman" w:eastAsia="Times New Roman" w:hAnsi="Times New Roman"/>
          <w:sz w:val="19"/>
          <w:szCs w:val="19"/>
          <w:b w:val="1"/>
          <w:bCs w:val="1"/>
          <w:u w:val="single" w:color="auto"/>
          <w:color w:val="007BB8"/>
        </w:rPr>
        <w:t>Outbound Investment Status</w:t>
      </w:r>
      <w:r>
        <w:rPr>
          <w:rFonts w:ascii="Times New Roman" w:cs="Times New Roman" w:eastAsia="Times New Roman" w:hAnsi="Times New Roman"/>
          <w:sz w:val="19"/>
          <w:szCs w:val="19"/>
          <w:u w:val="single" w:color="auto"/>
          <w:color w:val="007BB8"/>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BB8"/>
        </w:rPr>
        <w:t>No Loan Party shall:</w:t>
      </w:r>
    </w:p>
    <w:p>
      <w:pPr>
        <w:spacing w:after="0" w:line="229" w:lineRule="exact"/>
        <w:rPr>
          <w:sz w:val="20"/>
          <w:szCs w:val="20"/>
          <w:color w:val="auto"/>
        </w:rPr>
      </w:pPr>
    </w:p>
    <w:p>
      <w:pPr>
        <w:ind w:left="1080" w:hanging="424"/>
        <w:spacing w:after="0"/>
        <w:tabs>
          <w:tab w:leader="none" w:pos="1080" w:val="left"/>
        </w:tabs>
        <w:numPr>
          <w:ilvl w:val="0"/>
          <w:numId w:val="321"/>
        </w:numPr>
        <w:rPr>
          <w:rFonts w:ascii="Times New Roman" w:cs="Times New Roman" w:eastAsia="Times New Roman" w:hAnsi="Times New Roman"/>
          <w:sz w:val="20"/>
          <w:szCs w:val="20"/>
          <w:u w:val="single" w:color="auto"/>
          <w:color w:val="007BB8"/>
        </w:rPr>
      </w:pPr>
      <w:r>
        <w:rPr>
          <w:rFonts w:ascii="Times New Roman" w:cs="Times New Roman" w:eastAsia="Times New Roman" w:hAnsi="Times New Roman"/>
          <w:sz w:val="20"/>
          <w:szCs w:val="20"/>
          <w:u w:val="single" w:color="auto"/>
          <w:color w:val="007BB8"/>
        </w:rPr>
        <w:t>be or become a “covered foreign person”, as that term is defined in the Outbound Investment Rules, or</w:t>
      </w:r>
    </w:p>
    <w:p>
      <w:pPr>
        <w:spacing w:after="0" w:line="215" w:lineRule="exact"/>
        <w:rPr>
          <w:rFonts w:ascii="Times New Roman" w:cs="Times New Roman" w:eastAsia="Times New Roman" w:hAnsi="Times New Roman"/>
          <w:sz w:val="20"/>
          <w:szCs w:val="20"/>
          <w:u w:val="single" w:color="auto"/>
          <w:color w:val="007BB8"/>
        </w:rPr>
      </w:pPr>
    </w:p>
    <w:p>
      <w:pPr>
        <w:jc w:val="both"/>
        <w:ind w:firstLine="656"/>
        <w:spacing w:after="0" w:line="268" w:lineRule="auto"/>
        <w:tabs>
          <w:tab w:leader="none" w:pos="1098" w:val="left"/>
        </w:tabs>
        <w:numPr>
          <w:ilvl w:val="0"/>
          <w:numId w:val="321"/>
        </w:numPr>
        <w:rPr>
          <w:rFonts w:ascii="Times New Roman" w:cs="Times New Roman" w:eastAsia="Times New Roman" w:hAnsi="Times New Roman"/>
          <w:sz w:val="20"/>
          <w:szCs w:val="20"/>
          <w:u w:val="single" w:color="auto"/>
          <w:color w:val="007BB8"/>
        </w:rPr>
      </w:pPr>
      <w:r>
        <w:rPr>
          <w:rFonts w:ascii="Times New Roman" w:cs="Times New Roman" w:eastAsia="Times New Roman" w:hAnsi="Times New Roman"/>
          <w:sz w:val="20"/>
          <w:szCs w:val="20"/>
          <w:u w:val="single" w:color="auto"/>
          <w:color w:val="007BB8"/>
        </w:rPr>
        <w:t>engage, directly or indirectly, in any activity that would cause the</w:t>
      </w:r>
      <w:r>
        <w:rPr>
          <w:rFonts w:ascii="Times New Roman" w:cs="Times New Roman" w:eastAsia="Times New Roman" w:hAnsi="Times New Roman"/>
          <w:sz w:val="20"/>
          <w:szCs w:val="20"/>
          <w:color w:val="007BB8"/>
        </w:rPr>
        <w:t xml:space="preserve"> </w:t>
      </w:r>
      <w:r>
        <w:rPr>
          <w:rFonts w:ascii="Times New Roman" w:cs="Times New Roman" w:eastAsia="Times New Roman" w:hAnsi="Times New Roman"/>
          <w:sz w:val="20"/>
          <w:szCs w:val="20"/>
          <w:u w:val="single" w:color="auto"/>
          <w:color w:val="00B050"/>
        </w:rPr>
        <w:t>Administrative Agent or any Lender</w:t>
      </w:r>
      <w:r>
        <w:rPr>
          <w:rFonts w:ascii="Times New Roman" w:cs="Times New Roman" w:eastAsia="Times New Roman" w:hAnsi="Times New Roman"/>
          <w:sz w:val="20"/>
          <w:szCs w:val="20"/>
          <w:color w:val="007BB8"/>
        </w:rPr>
        <w:t xml:space="preserve"> to be in violation of the </w:t>
      </w:r>
      <w:r>
        <w:rPr>
          <w:rFonts w:ascii="Times New Roman" w:cs="Times New Roman" w:eastAsia="Times New Roman" w:hAnsi="Times New Roman"/>
          <w:sz w:val="20"/>
          <w:szCs w:val="20"/>
          <w:u w:val="single" w:color="auto"/>
          <w:color w:val="007BB8"/>
        </w:rPr>
        <w:t>Outbound Investment Rules or cause the Administrative Agent or any Lender to be legally prohibited by the Outbound Investment Rules from performing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-354330</wp:posOffset>
            </wp:positionV>
            <wp:extent cx="12331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3317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 DEFAULT</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10.1.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60" w:lineRule="exact"/>
        <w:rPr>
          <w:sz w:val="20"/>
          <w:szCs w:val="20"/>
          <w:color w:val="auto"/>
        </w:rPr>
      </w:pPr>
    </w:p>
    <w:p>
      <w:pPr>
        <w:ind w:left="1080" w:hanging="424"/>
        <w:spacing w:after="0"/>
        <w:tabs>
          <w:tab w:leader="none" w:pos="1080"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Payment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113 -</w:t>
      </w:r>
    </w:p>
    <w:p>
      <w:pPr>
        <w:sectPr>
          <w:pgSz w:w="11900" w:h="16838" w:orient="portrait"/>
          <w:cols w:equalWidth="0" w:num="1">
            <w:col w:w="11240"/>
          </w:cols>
          <w:pgMar w:left="320" w:top="1409" w:right="339" w:bottom="1440" w:gutter="0" w:footer="0" w:header="0"/>
        </w:sectPr>
      </w:pPr>
    </w:p>
    <w:bookmarkStart w:id="450" w:name="page451"/>
    <w:bookmarkEnd w:id="450"/>
    <w:p>
      <w:pPr>
        <w:spacing w:after="0" w:line="189" w:lineRule="exact"/>
        <w:rPr>
          <w:sz w:val="20"/>
          <w:szCs w:val="20"/>
          <w:color w:val="auto"/>
        </w:rPr>
      </w:pPr>
    </w:p>
    <w:p>
      <w:pPr>
        <w:ind w:left="454" w:firstLine="644"/>
        <w:spacing w:after="0" w:line="283" w:lineRule="auto"/>
        <w:tabs>
          <w:tab w:leader="none" w:pos="1495" w:val="left"/>
        </w:tabs>
        <w:numPr>
          <w:ilvl w:val="2"/>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shall fail to pay when due under this Agreement or any other Loan Document (whether upon demand, at maturity, by reason of acceleration or otherwise) the principal of any of the Loans or any Reimbursement Obligation.</w:t>
      </w:r>
    </w:p>
    <w:p>
      <w:pPr>
        <w:spacing w:after="0" w:line="146" w:lineRule="exact"/>
        <w:rPr>
          <w:rFonts w:ascii="Times New Roman" w:cs="Times New Roman" w:eastAsia="Times New Roman" w:hAnsi="Times New Roman"/>
          <w:sz w:val="20"/>
          <w:szCs w:val="20"/>
          <w:color w:val="auto"/>
        </w:rPr>
      </w:pPr>
    </w:p>
    <w:p>
      <w:pPr>
        <w:jc w:val="both"/>
        <w:ind w:left="454" w:firstLine="644"/>
        <w:spacing w:after="0" w:line="257" w:lineRule="auto"/>
        <w:tabs>
          <w:tab w:leader="none" w:pos="1540" w:val="left"/>
        </w:tabs>
        <w:numPr>
          <w:ilvl w:val="2"/>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shall fail to pay when due under this Agreement or any other Loan Document (whether upon demand, at maturity, by reason of acceleration or otherwise) any interest on any of the Loans or on any Reimbursement Obligation, or shall fail to pay any of the other payment Obligations owing by the Borrowers under this Agreement, any other Loan Document or any Fee Letter, or any other Loan Party shall fail to pay when due any payment obligation owing by such Loan Party under any Loan Document to which it is a party, and in the case of this clause (ii) only, such failure shall continue for a period of 5 Business Days.</w:t>
      </w:r>
    </w:p>
    <w:p>
      <w:pPr>
        <w:spacing w:after="0" w:line="172" w:lineRule="exact"/>
        <w:rPr>
          <w:rFonts w:ascii="Times New Roman" w:cs="Times New Roman" w:eastAsia="Times New Roman" w:hAnsi="Times New Roman"/>
          <w:sz w:val="20"/>
          <w:szCs w:val="20"/>
          <w:color w:val="auto"/>
        </w:rPr>
      </w:pPr>
    </w:p>
    <w:p>
      <w:pPr>
        <w:ind w:left="874" w:hanging="424"/>
        <w:spacing w:after="0"/>
        <w:tabs>
          <w:tab w:leader="none" w:pos="874"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Performance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54" w:firstLine="644"/>
        <w:spacing w:after="0" w:line="261" w:lineRule="auto"/>
        <w:tabs>
          <w:tab w:leader="none" w:pos="1476"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or any other Loan Party shall fail to perform or observe any term, covenant, condition or agreement on its part to be performed or observed and contained in Section 7.1. (as to preservation and maintenance of existence only), Section 8.4.(i) or Article IX.; or</w:t>
      </w:r>
    </w:p>
    <w:p>
      <w:pPr>
        <w:spacing w:after="0" w:line="181" w:lineRule="exact"/>
        <w:rPr>
          <w:rFonts w:ascii="Times New Roman" w:cs="Times New Roman" w:eastAsia="Times New Roman" w:hAnsi="Times New Roman"/>
          <w:sz w:val="20"/>
          <w:szCs w:val="20"/>
          <w:color w:val="auto"/>
        </w:rPr>
      </w:pPr>
    </w:p>
    <w:p>
      <w:pPr>
        <w:jc w:val="both"/>
        <w:ind w:left="454" w:firstLine="644"/>
        <w:spacing w:after="0" w:line="253" w:lineRule="auto"/>
        <w:tabs>
          <w:tab w:leader="none" w:pos="1607"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or any other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any Borrower or any other Loan Party obtains knowledge of such failure or (y) the date upon which the Borrower Representative has received written notice of such failure from the Administrative Agent.</w:t>
      </w:r>
    </w:p>
    <w:p>
      <w:pPr>
        <w:spacing w:after="0" w:line="191" w:lineRule="exact"/>
        <w:rPr>
          <w:rFonts w:ascii="Times New Roman" w:cs="Times New Roman" w:eastAsia="Times New Roman" w:hAnsi="Times New Roman"/>
          <w:sz w:val="20"/>
          <w:szCs w:val="20"/>
          <w:color w:val="auto"/>
        </w:rPr>
      </w:pPr>
    </w:p>
    <w:p>
      <w:pPr>
        <w:jc w:val="both"/>
        <w:ind w:left="-206" w:firstLine="656"/>
        <w:spacing w:after="0" w:line="253" w:lineRule="auto"/>
        <w:tabs>
          <w:tab w:leader="none" w:pos="887"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Misrepresentations</w:t>
      </w:r>
      <w:r>
        <w:rPr>
          <w:rFonts w:ascii="Times New Roman" w:cs="Times New Roman" w:eastAsia="Times New Roman" w:hAnsi="Times New Roman"/>
          <w:sz w:val="20"/>
          <w:szCs w:val="20"/>
          <w:color w:val="auto"/>
        </w:rPr>
        <w:t>. Any written statement, representation or warranty made or deemed made by or on behalf of any Borrower or any other Loan Party under this Agreement or under any other Loan Document, or any amendment hereto or thereto, or in any other writing or statement at any time furnished by, or at the direction of, any Borrower or any other Loan Party to the Administrative Agent, any Issuing Bank or any Lender pursuant to this Agreement or any other Loan Document, shall at any time prove to have been incorrect or misleading in any material respect when furnished or made or deemed made.</w:t>
      </w:r>
    </w:p>
    <w:p>
      <w:pPr>
        <w:spacing w:after="0" w:line="178" w:lineRule="exact"/>
        <w:rPr>
          <w:rFonts w:ascii="Times New Roman" w:cs="Times New Roman" w:eastAsia="Times New Roman" w:hAnsi="Times New Roman"/>
          <w:sz w:val="20"/>
          <w:szCs w:val="20"/>
          <w:color w:val="auto"/>
        </w:rPr>
      </w:pPr>
    </w:p>
    <w:p>
      <w:pPr>
        <w:ind w:left="874" w:hanging="424"/>
        <w:spacing w:after="0"/>
        <w:tabs>
          <w:tab w:leader="none" w:pos="874"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Indebtedness Cross-Default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54" w:firstLine="644"/>
        <w:spacing w:after="0" w:line="253" w:lineRule="auto"/>
        <w:tabs>
          <w:tab w:leader="none" w:pos="1519"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Borrower, any other Loan Party or any other Subsidiary shall fail to make any payment when due and payable in respect of any Indebtedness (other than the Loans and Reimbursement Obligations and Nonrecourse Indebtedness) having an aggregate outstanding principal amount (or, in the case of any </w:t>
      </w:r>
      <w:r>
        <w:rPr>
          <w:rFonts w:ascii="Times New Roman" w:cs="Times New Roman" w:eastAsia="Times New Roman" w:hAnsi="Times New Roman"/>
          <w:sz w:val="20"/>
          <w:szCs w:val="20"/>
          <w:u w:val="single" w:color="auto"/>
          <w:color w:val="007BB8"/>
        </w:rPr>
        <w:t>recourse</w:t>
      </w:r>
      <w:r>
        <w:rPr>
          <w:rFonts w:ascii="Times New Roman" w:cs="Times New Roman" w:eastAsia="Times New Roman" w:hAnsi="Times New Roman"/>
          <w:sz w:val="20"/>
          <w:szCs w:val="20"/>
          <w:color w:val="auto"/>
        </w:rPr>
        <w:t xml:space="preserve"> Derivatives Contract, having, without regard to the effect of any close-out netting provision, a Derivatives Termination Value), in each case individually or in the aggregate with all other Indebtedness as to which such a failure exists, of $100,000,000 or more (“Material Indebtedness”); or</w:t>
      </w:r>
    </w:p>
    <w:p>
      <w:pPr>
        <w:spacing w:after="0" w:line="191" w:lineRule="exact"/>
        <w:rPr>
          <w:rFonts w:ascii="Times New Roman" w:cs="Times New Roman" w:eastAsia="Times New Roman" w:hAnsi="Times New Roman"/>
          <w:sz w:val="20"/>
          <w:szCs w:val="20"/>
          <w:color w:val="auto"/>
        </w:rPr>
      </w:pPr>
    </w:p>
    <w:p>
      <w:pPr>
        <w:jc w:val="both"/>
        <w:ind w:left="454" w:firstLine="644"/>
        <w:spacing w:after="0" w:line="261" w:lineRule="auto"/>
        <w:tabs>
          <w:tab w:leader="none" w:pos="1611"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114 -</w:t>
      </w:r>
    </w:p>
    <w:p>
      <w:pPr>
        <w:sectPr>
          <w:pgSz w:w="11900" w:h="16838" w:orient="portrait"/>
          <w:cols w:equalWidth="0" w:num="1">
            <w:col w:w="11034"/>
          </w:cols>
          <w:pgMar w:left="526" w:top="1440" w:right="339" w:bottom="1440" w:gutter="0" w:footer="0" w:header="0"/>
        </w:sectPr>
      </w:pPr>
    </w:p>
    <w:bookmarkStart w:id="451" w:name="page452"/>
    <w:bookmarkEnd w:id="451"/>
    <w:p>
      <w:pPr>
        <w:spacing w:after="0" w:line="189" w:lineRule="exact"/>
        <w:rPr>
          <w:sz w:val="20"/>
          <w:szCs w:val="20"/>
          <w:color w:val="auto"/>
        </w:rPr>
      </w:pPr>
    </w:p>
    <w:p>
      <w:pPr>
        <w:jc w:val="both"/>
        <w:ind w:left="660" w:firstLine="644"/>
        <w:spacing w:after="0" w:line="258" w:lineRule="auto"/>
        <w:tabs>
          <w:tab w:leader="none" w:pos="1878"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shall have occurred and be continuing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and all applicable grace or cure periods shall have expired;</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173"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Proceeding</w:t>
      </w:r>
      <w:r>
        <w:rPr>
          <w:rFonts w:ascii="Times New Roman" w:cs="Times New Roman" w:eastAsia="Times New Roman" w:hAnsi="Times New Roman"/>
          <w:sz w:val="20"/>
          <w:szCs w:val="20"/>
          <w:color w:val="auto"/>
        </w:rPr>
        <w:t>. Any Borrower, any other Loan Party or any Material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77" w:lineRule="exact"/>
        <w:rPr>
          <w:rFonts w:ascii="Times New Roman" w:cs="Times New Roman" w:eastAsia="Times New Roman" w:hAnsi="Times New Roman"/>
          <w:sz w:val="20"/>
          <w:szCs w:val="20"/>
          <w:color w:val="auto"/>
        </w:rPr>
      </w:pPr>
    </w:p>
    <w:p>
      <w:pPr>
        <w:jc w:val="both"/>
        <w:ind w:firstLine="656"/>
        <w:spacing w:after="0" w:line="252" w:lineRule="auto"/>
        <w:tabs>
          <w:tab w:leader="none" w:pos="1125"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Bankruptcy Proceeding</w:t>
      </w:r>
      <w:r>
        <w:rPr>
          <w:rFonts w:ascii="Times New Roman" w:cs="Times New Roman" w:eastAsia="Times New Roman" w:hAnsi="Times New Roman"/>
          <w:sz w:val="20"/>
          <w:szCs w:val="20"/>
          <w:color w:val="auto"/>
        </w:rPr>
        <w:t>. A case or other proceeding shall be commenced against any Borrower, any other Loan Party or any Material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w:t>
      </w:r>
    </w:p>
    <w:p>
      <w:pPr>
        <w:spacing w:after="0" w:line="2"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case or proceeding shall continue undismissed or unstayed for a period of 60 consecutive days, or an order granting the remedy or</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other relief requested in such case or proceeding (including, but not limited to, an order for relief under such Bankruptcy Code or such other federal bankruptcy laws) shall be entered.</w:t>
      </w:r>
    </w:p>
    <w:p>
      <w:pPr>
        <w:spacing w:after="0" w:line="188" w:lineRule="exact"/>
        <w:rPr>
          <w:sz w:val="20"/>
          <w:szCs w:val="20"/>
          <w:color w:val="auto"/>
        </w:rPr>
      </w:pPr>
    </w:p>
    <w:p>
      <w:pPr>
        <w:jc w:val="both"/>
        <w:ind w:firstLine="656"/>
        <w:spacing w:after="0" w:line="258" w:lineRule="auto"/>
        <w:tabs>
          <w:tab w:leader="none" w:pos="1076" w:val="left"/>
        </w:tabs>
        <w:numPr>
          <w:ilvl w:val="1"/>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Revocation of Loan Documents</w:t>
      </w:r>
      <w:r>
        <w:rPr>
          <w:rFonts w:ascii="Times New Roman" w:cs="Times New Roman" w:eastAsia="Times New Roman" w:hAnsi="Times New Roman"/>
          <w:sz w:val="20"/>
          <w:szCs w:val="20"/>
          <w:color w:val="auto"/>
        </w:rPr>
        <w:t>. Any Borrower or any other Loan Party shall (or shall attempt to) disavow, revoke or terminate any Loan Document or any Fee Letter to which it is a party or shall otherwise challenge or contest in any action, suit or proceeding in any court or before any Governmental Authority the validity or enforceability of any Loan Document or any Fee Letter or any Loan Document or any Fee Letter shall cease to be in full force and effect (except as a result of the express terms thereof).</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30" w:val="left"/>
        </w:tabs>
        <w:numPr>
          <w:ilvl w:val="1"/>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A judgment or order for the payment of money or for an injunction or other non-monetary relief shall be entered against any Borrower, any other Loan Party or any Material Subsidiary by any court or other tribunal and (i) such judgment or order shall continue for a period of 60 days without being paid, stayed or dismissed through appropriate appellate proceedings and (ii) either (A) the amount of such judgment or order for which insurance has not been denied in writing by the applicable insurance carrier exceeds, individually or together with all other such judgments or orders entered against the Borrowers, any other Loan Party and the Material Subsidiaries, $100,000,000 or (B) in the case of an injunction or other non-monetary relief, such injunction or judgment or order could reasonably be expected to have a Material Adverse Effect.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115 -</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189" w:lineRule="exact"/>
        <w:rPr>
          <w:sz w:val="20"/>
          <w:szCs w:val="20"/>
          <w:color w:val="auto"/>
        </w:rPr>
      </w:pPr>
    </w:p>
    <w:p>
      <w:pPr>
        <w:jc w:val="both"/>
        <w:ind w:firstLine="656"/>
        <w:spacing w:after="0" w:line="253" w:lineRule="auto"/>
        <w:tabs>
          <w:tab w:leader="none" w:pos="107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Attachment</w:t>
      </w:r>
      <w:r>
        <w:rPr>
          <w:rFonts w:ascii="Times New Roman" w:cs="Times New Roman" w:eastAsia="Times New Roman" w:hAnsi="Times New Roman"/>
          <w:sz w:val="20"/>
          <w:szCs w:val="20"/>
          <w:color w:val="auto"/>
        </w:rPr>
        <w:t xml:space="preserve">. A warrant, writ of attachment, execution or similar process shall be issued against any property of any Borrower, any other Loan Party or any Material Subsidiary, which exceeds, individually or together with all other such warrants, writs, executions and processes, $100,000,000 in amount and such warrant, writ, execution or process shall not be paid, discharged, vacated, stayed or bonded for a period of 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any Borrower, any other Loan Party or any Subsidiary.</w:t>
      </w:r>
    </w:p>
    <w:p>
      <w:pPr>
        <w:spacing w:after="0" w:line="17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15"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ERISA Event shall have occurred that results or could reasonably be expected to result in liability to any member of the ERISA Group aggregating in excess of $100,000,000; or</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866"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“benefit obligation” of all Plans exceeds the “fair market value of plan assets” for such Plans by more than $100,000,000, all as determined, and with such terms defined, in accordance with FASB ASC 715.</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0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An Event of Default (as defined therein) shall occur under any of the other Loan Documents (other than the New York Mortgages).</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03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The Parent or a Wholly Owned Subsidiary of the Parent shall cease to be the sole general partner of SLGOP or shall cease to have sole and exclusive power to exercise all management and control over SLGOP.</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Section, (i) the failure of any Borrower, any other Loan Party or any other Subsidiary to perform or observe any term, covenant, condition or agreement contained in any New York Mortgage to which it is a party shall not constitute a Default or Event of Default (including for purposes of Section 10.1.(d)) and (ii) the occurrence of a Default or Event of Default (however defined in any New York Mortgage) shall not constitute a Default or Event of Default (including for purposes of Section 10.1.(d));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w:t>
      </w:r>
      <w:r>
        <w:rPr>
          <w:rFonts w:ascii="Times New Roman" w:cs="Times New Roman" w:eastAsia="Times New Roman" w:hAnsi="Times New Roman"/>
          <w:sz w:val="20"/>
          <w:szCs w:val="20"/>
          <w:color w:val="auto"/>
        </w:rPr>
        <w:t>r, the preceding shall in no way limit or impair the rights of the Administrative Agent, the Issuing Banks and the Lenders with respect to any Default or Event of Default resulting from the failure of any Borrower or any other Loan Party to perform or observe the same or any similar term, covenant, condition or agreement contained in any other Loan Document.</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10.2.</w:t>
      </w:r>
      <w:r>
        <w:rPr>
          <w:sz w:val="20"/>
          <w:szCs w:val="20"/>
          <w:color w:val="auto"/>
        </w:rPr>
        <w:tab/>
      </w:r>
      <w:r>
        <w:rPr>
          <w:rFonts w:ascii="Times New Roman" w:cs="Times New Roman" w:eastAsia="Times New Roman" w:hAnsi="Times New Roman"/>
          <w:sz w:val="19"/>
          <w:szCs w:val="19"/>
          <w:b w:val="1"/>
          <w:bCs w:val="1"/>
          <w:color w:val="auto"/>
        </w:rPr>
        <w:t>Remedies Upon Event of Default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the occurrence of an Event of Default the following provisions shall apply:</w:t>
      </w:r>
    </w:p>
    <w:p>
      <w:pPr>
        <w:spacing w:after="0" w:line="229" w:lineRule="exact"/>
        <w:rPr>
          <w:sz w:val="20"/>
          <w:szCs w:val="20"/>
          <w:color w:val="auto"/>
        </w:rPr>
      </w:pPr>
    </w:p>
    <w:p>
      <w:pPr>
        <w:ind w:left="1080" w:hanging="424"/>
        <w:spacing w:after="0"/>
        <w:tabs>
          <w:tab w:leader="none" w:pos="1080"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 Termination of Facilities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87" w:val="left"/>
        </w:tabs>
        <w:numPr>
          <w:ilvl w:val="2"/>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Automatic</w:t>
      </w:r>
      <w:r>
        <w:rPr>
          <w:rFonts w:ascii="Times New Roman" w:cs="Times New Roman" w:eastAsia="Times New Roman" w:hAnsi="Times New Roman"/>
          <w:sz w:val="20"/>
          <w:szCs w:val="20"/>
          <w:color w:val="auto"/>
        </w:rPr>
        <w:t>. Upon the occurrence of an Event of Default specified in Sections 10.1.(e) or 10.1.(f) with respect to a Borrower or any other Loan Party, (1)(A) the principal of, and all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8"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116 -</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189" w:lineRule="exact"/>
        <w:rPr>
          <w:sz w:val="20"/>
          <w:szCs w:val="20"/>
          <w:color w:val="auto"/>
        </w:rPr>
      </w:pPr>
    </w:p>
    <w:p>
      <w:pPr>
        <w:jc w:val="both"/>
        <w:ind w:left="454"/>
        <w:spacing w:after="0" w:line="253" w:lineRule="auto"/>
        <w:rPr>
          <w:sz w:val="20"/>
          <w:szCs w:val="20"/>
          <w:color w:val="auto"/>
        </w:rPr>
      </w:pPr>
      <w:r>
        <w:rPr>
          <w:rFonts w:ascii="Times New Roman" w:cs="Times New Roman" w:eastAsia="Times New Roman" w:hAnsi="Times New Roman"/>
          <w:sz w:val="20"/>
          <w:szCs w:val="20"/>
          <w:color w:val="auto"/>
        </w:rPr>
        <w:t xml:space="preserve">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each Borrower on behalf of itself and the other Loan Parties, and (2) the Commitments and the </w:t>
      </w:r>
      <w:r>
        <w:rPr>
          <w:rFonts w:ascii="Times New Roman" w:cs="Times New Roman" w:eastAsia="Times New Roman" w:hAnsi="Times New Roman"/>
          <w:sz w:val="20"/>
          <w:szCs w:val="20"/>
          <w:color w:val="FF0000"/>
          <w:strike w:val="1"/>
        </w:rPr>
        <w:t>Swingline Commitment and the</w:t>
      </w:r>
      <w:r>
        <w:rPr>
          <w:rFonts w:ascii="Times New Roman" w:cs="Times New Roman" w:eastAsia="Times New Roman" w:hAnsi="Times New Roman"/>
          <w:sz w:val="20"/>
          <w:szCs w:val="20"/>
          <w:color w:val="auto"/>
        </w:rPr>
        <w:t xml:space="preserve"> obligation of the Issuing Banks to issue Letters of Credit hereunder, shall all immediately and automatically terminate.</w:t>
      </w:r>
    </w:p>
    <w:p>
      <w:pPr>
        <w:spacing w:after="0" w:line="192" w:lineRule="exact"/>
        <w:rPr>
          <w:sz w:val="20"/>
          <w:szCs w:val="20"/>
          <w:color w:val="auto"/>
        </w:rPr>
      </w:pPr>
    </w:p>
    <w:p>
      <w:pPr>
        <w:jc w:val="both"/>
        <w:ind w:left="454" w:firstLine="644"/>
        <w:spacing w:after="0" w:line="252" w:lineRule="auto"/>
        <w:tabs>
          <w:tab w:leader="none" w:pos="1569"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If any other Event of Default shall exist, the Administrative Agent may, and at the direction of the Requisite Lenders shall: (1) declare (A) the principal of, and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each Borrower on behalf of itself and the other Loan Parties, and (2) terminate the Commitments and the </w:t>
      </w:r>
      <w:r>
        <w:rPr>
          <w:rFonts w:ascii="Times New Roman" w:cs="Times New Roman" w:eastAsia="Times New Roman" w:hAnsi="Times New Roman"/>
          <w:sz w:val="20"/>
          <w:szCs w:val="20"/>
          <w:color w:val="FF0000"/>
          <w:strike w:val="1"/>
        </w:rPr>
        <w:t>Swingline Commitment and the</w:t>
      </w:r>
      <w:r>
        <w:rPr>
          <w:rFonts w:ascii="Times New Roman" w:cs="Times New Roman" w:eastAsia="Times New Roman" w:hAnsi="Times New Roman"/>
          <w:sz w:val="20"/>
          <w:szCs w:val="20"/>
          <w:color w:val="auto"/>
        </w:rPr>
        <w:t xml:space="preserve"> obligation of the Issuing Banks to issue Letters of Credit hereunder.</w:t>
      </w:r>
    </w:p>
    <w:p>
      <w:pPr>
        <w:spacing w:after="0" w:line="175" w:lineRule="exact"/>
        <w:rPr>
          <w:rFonts w:ascii="Times New Roman" w:cs="Times New Roman" w:eastAsia="Times New Roman" w:hAnsi="Times New Roman"/>
          <w:sz w:val="20"/>
          <w:szCs w:val="20"/>
          <w:color w:val="auto"/>
        </w:rPr>
      </w:pPr>
    </w:p>
    <w:p>
      <w:pPr>
        <w:ind w:left="-206" w:right="20" w:firstLine="656"/>
        <w:spacing w:after="0" w:line="283" w:lineRule="auto"/>
        <w:tabs>
          <w:tab w:leader="none" w:pos="911"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Requisite Lenders may direct the Administrative Agent to, and the Administrative Agent if so directed shall, exercise any and all of its rights under any and all of the other Loan Documents.</w:t>
      </w:r>
    </w:p>
    <w:p>
      <w:pPr>
        <w:spacing w:after="0" w:line="159" w:lineRule="exact"/>
        <w:rPr>
          <w:rFonts w:ascii="Times New Roman" w:cs="Times New Roman" w:eastAsia="Times New Roman" w:hAnsi="Times New Roman"/>
          <w:sz w:val="20"/>
          <w:szCs w:val="20"/>
          <w:color w:val="auto"/>
        </w:rPr>
      </w:pPr>
    </w:p>
    <w:p>
      <w:pPr>
        <w:ind w:left="-206" w:firstLine="656"/>
        <w:spacing w:after="0" w:line="269" w:lineRule="auto"/>
        <w:tabs>
          <w:tab w:leader="none" w:pos="914"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The Requisite Lenders may direct the Administrative Agent to, and the Administrative Agent if so directed shall, exercise all other rights and remedies it may have under any Applicable Law.</w:t>
      </w:r>
    </w:p>
    <w:p>
      <w:pPr>
        <w:spacing w:after="0" w:line="172" w:lineRule="exact"/>
        <w:rPr>
          <w:rFonts w:ascii="Times New Roman" w:cs="Times New Roman" w:eastAsia="Times New Roman" w:hAnsi="Times New Roman"/>
          <w:sz w:val="20"/>
          <w:szCs w:val="20"/>
          <w:color w:val="auto"/>
        </w:rPr>
      </w:pPr>
    </w:p>
    <w:p>
      <w:pPr>
        <w:jc w:val="both"/>
        <w:ind w:left="-206" w:firstLine="656"/>
        <w:spacing w:after="0" w:line="253" w:lineRule="auto"/>
        <w:tabs>
          <w:tab w:leader="none" w:pos="979"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Receiver</w:t>
      </w:r>
      <w:r>
        <w:rPr>
          <w:rFonts w:ascii="Times New Roman" w:cs="Times New Roman" w:eastAsia="Times New Roman" w:hAnsi="Times New Roman"/>
          <w:sz w:val="20"/>
          <w:szCs w:val="20"/>
          <w:color w:val="auto"/>
        </w:rPr>
        <w:t>. To the extent permitted by Applicable Law, the Administrative Agent and the Lenders shall be entitled to the appointment of a receiver for the assets and properties of any Borrower, any other Loan Party and their Subsidiaries, without notice of any kind whatsoever and without regard to the adequacy of any security for the Obligations or the solvency of any party bound for its payment, to take possession of all or any portion of the property and/or the business operations of such Borrower, such other Loan Party and their Subsidiaries and to exercise such power as the court shall confer upon such receiver.</w:t>
      </w:r>
    </w:p>
    <w:p>
      <w:pPr>
        <w:spacing w:after="0" w:line="191" w:lineRule="exact"/>
        <w:rPr>
          <w:rFonts w:ascii="Times New Roman" w:cs="Times New Roman" w:eastAsia="Times New Roman" w:hAnsi="Times New Roman"/>
          <w:sz w:val="20"/>
          <w:szCs w:val="20"/>
          <w:color w:val="auto"/>
        </w:rPr>
      </w:pPr>
    </w:p>
    <w:p>
      <w:pPr>
        <w:jc w:val="both"/>
        <w:ind w:left="-206" w:firstLine="656"/>
        <w:spacing w:after="0" w:line="250" w:lineRule="auto"/>
        <w:tabs>
          <w:tab w:leader="none" w:pos="927"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Specified Derivatives Contract Remedies</w:t>
      </w:r>
      <w:r>
        <w:rPr>
          <w:rFonts w:ascii="Times New Roman" w:cs="Times New Roman" w:eastAsia="Times New Roman" w:hAnsi="Times New Roman"/>
          <w:sz w:val="20"/>
          <w:szCs w:val="20"/>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117 -</w:t>
      </w:r>
    </w:p>
    <w:p>
      <w:pPr>
        <w:sectPr>
          <w:pgSz w:w="11900" w:h="16838" w:orient="portrait"/>
          <w:cols w:equalWidth="0" w:num="1">
            <w:col w:w="11034"/>
          </w:cols>
          <w:pgMar w:left="526" w:top="1440" w:right="339" w:bottom="1440" w:gutter="0" w:footer="0" w:header="0"/>
        </w:sectPr>
      </w:pPr>
    </w:p>
    <w:bookmarkStart w:id="454" w:name="page455"/>
    <w:bookmarkEnd w:id="454"/>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which such Specified Derivatives Provider may be a party), and (d) to prosecute any legal action against any Borrower, any other Loan Party or any other Subsidiary to enforce or collect net amounts owing to such Specified Derivatives Provider pursuant to any Specified Derivatives Contract.</w:t>
      </w:r>
    </w:p>
    <w:p>
      <w:pPr>
        <w:spacing w:after="0" w:line="17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10.3.</w:t>
      </w:r>
      <w:r>
        <w:rPr>
          <w:sz w:val="20"/>
          <w:szCs w:val="20"/>
          <w:color w:val="auto"/>
        </w:rPr>
        <w:tab/>
      </w:r>
      <w:r>
        <w:rPr>
          <w:rFonts w:ascii="Times New Roman" w:cs="Times New Roman" w:eastAsia="Times New Roman" w:hAnsi="Times New Roman"/>
          <w:sz w:val="19"/>
          <w:szCs w:val="19"/>
          <w:b w:val="1"/>
          <w:bCs w:val="1"/>
          <w:color w:val="auto"/>
        </w:rPr>
        <w:t>Remedies Upon Default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Upon the occurrence of a Default specified in Section 10.1.(f), the Commitments, </w:t>
      </w:r>
      <w:r>
        <w:rPr>
          <w:rFonts w:ascii="Times New Roman" w:cs="Times New Roman" w:eastAsia="Times New Roman" w:hAnsi="Times New Roman"/>
          <w:sz w:val="20"/>
          <w:szCs w:val="20"/>
          <w:color w:val="FF0000"/>
          <w:strike w:val="1"/>
        </w:rPr>
        <w:t>the Swingline Commitment</w:t>
      </w:r>
      <w:r>
        <w:rPr>
          <w:rFonts w:ascii="Times New Roman" w:cs="Times New Roman" w:eastAsia="Times New Roman" w:hAnsi="Times New Roman"/>
          <w:sz w:val="20"/>
          <w:szCs w:val="20"/>
          <w:color w:val="auto"/>
        </w:rPr>
        <w:t xml:space="preserve"> and the obligation of the Issuing Banks to issue Letters of Credit shall immediately and automatically terminate.</w:t>
      </w:r>
    </w:p>
    <w:p>
      <w:pPr>
        <w:spacing w:after="0" w:line="15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10.4.</w:t>
      </w:r>
      <w:r>
        <w:rPr>
          <w:sz w:val="20"/>
          <w:szCs w:val="20"/>
          <w:color w:val="auto"/>
        </w:rPr>
        <w:tab/>
      </w:r>
      <w:r>
        <w:rPr>
          <w:rFonts w:ascii="Times New Roman" w:cs="Times New Roman" w:eastAsia="Times New Roman" w:hAnsi="Times New Roman"/>
          <w:sz w:val="19"/>
          <w:szCs w:val="19"/>
          <w:b w:val="1"/>
          <w:bCs w:val="1"/>
          <w:color w:val="auto"/>
        </w:rPr>
        <w:t>Marshaling; Payments Set Aside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None of the Administrative Agent, any Issuing Bank or any Lender shall be under any obligation to marshal any assets in favor of any Loan Party or any other party or against or in payment of any or all of the Guaranteed Obligations. To the extent that any Loan Party makes a payment or payments to the Administrative Agent, any Issuing Bank or any Lender, or the Administrative Agent, any Issuing Bank, or any Lender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Guaranteed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10.5.</w:t>
      </w:r>
      <w:r>
        <w:rPr>
          <w:sz w:val="20"/>
          <w:szCs w:val="20"/>
          <w:color w:val="auto"/>
        </w:rPr>
        <w:tab/>
      </w:r>
      <w:r>
        <w:rPr>
          <w:rFonts w:ascii="Times New Roman" w:cs="Times New Roman" w:eastAsia="Times New Roman" w:hAnsi="Times New Roman"/>
          <w:sz w:val="19"/>
          <w:szCs w:val="19"/>
          <w:b w:val="1"/>
          <w:bCs w:val="1"/>
          <w:color w:val="auto"/>
        </w:rPr>
        <w:t>Allocation of Proceeds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an Event of Default exists, all payments received by the Administrative Agent under any of the Loan Documents, in respect of the Guaranteed Obligations or any other amounts payable by any Loan Party hereunder or thereunder, shall be applied in the following order and priority:</w:t>
      </w:r>
    </w:p>
    <w:p>
      <w:pPr>
        <w:spacing w:after="0" w:line="181" w:lineRule="exact"/>
        <w:rPr>
          <w:sz w:val="20"/>
          <w:szCs w:val="20"/>
          <w:color w:val="auto"/>
        </w:rPr>
      </w:pPr>
    </w:p>
    <w:p>
      <w:pPr>
        <w:ind w:right="20" w:firstLine="656"/>
        <w:spacing w:after="0" w:line="269" w:lineRule="auto"/>
        <w:tabs>
          <w:tab w:leader="none" w:pos="1126"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due to the Administrative Agent, the Issuing Banks and the Lenders in respect of expenses due under Section 12.2. until paid in full, and then Fees until paid in full;</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payments of interest on Swingline Loans</w:t>
      </w:r>
      <w:r>
        <w:rPr>
          <w:rFonts w:ascii="Times New Roman" w:cs="Times New Roman" w:eastAsia="Times New Roman" w:hAnsi="Times New Roman"/>
          <w:sz w:val="20"/>
          <w:szCs w:val="20"/>
          <w:u w:val="single" w:color="auto"/>
          <w:color w:val="007BB8"/>
        </w:rPr>
        <w:t>[reserved]</w:t>
      </w:r>
      <w:r>
        <w:rPr>
          <w:rFonts w:ascii="Times New Roman" w:cs="Times New Roman" w:eastAsia="Times New Roman" w:hAnsi="Times New Roman"/>
          <w:sz w:val="20"/>
          <w:szCs w:val="20"/>
          <w:color w:val="000000"/>
        </w:rPr>
        <w:t>;</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097"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interest on all other Loans and on Reimbursement Obligations to be applied for the ratable benefit of the Lenders and the Issuing Banks;</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payments of principal of Swingline Loans</w:t>
      </w:r>
      <w:r>
        <w:rPr>
          <w:rFonts w:ascii="Times New Roman" w:cs="Times New Roman" w:eastAsia="Times New Roman" w:hAnsi="Times New Roman"/>
          <w:sz w:val="20"/>
          <w:szCs w:val="20"/>
          <w:u w:val="single" w:color="auto"/>
          <w:color w:val="007BB8"/>
        </w:rPr>
        <w:t>[reserved]</w:t>
      </w:r>
      <w:r>
        <w:rPr>
          <w:rFonts w:ascii="Times New Roman" w:cs="Times New Roman" w:eastAsia="Times New Roman" w:hAnsi="Times New Roman"/>
          <w:sz w:val="20"/>
          <w:szCs w:val="20"/>
          <w:color w:val="000000"/>
        </w:rPr>
        <w:t>;</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176"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of principal of all other Loans, Reimbursement Obligations and other Letter of Credit Liabilities, and Specified Derivatives Obligations to be applied for the ratable benefit of the Lenders, the Issuing Banks and the Specified Derivatives Providers,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to the extent that any amounts available for distribution pursuant to this subsection are attributable to the issued but undrawn amount of an outstanding Letter of Credit, such amounts shall be paid to the Administrative Agent for deposit into the Letter of Credit Collateral Account;</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68"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due to the Administrative Agent, the Issuing Banks and the Lenders pursuant to Sections 11.6. and 12.9. to be applied for the ratable benefit of the Administrative Agent, the Issuing Banks and the Lenders;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- 118 -</w:t>
      </w:r>
    </w:p>
    <w:p>
      <w:pPr>
        <w:sectPr>
          <w:pgSz w:w="11900" w:h="16838" w:orient="portrait"/>
          <w:cols w:equalWidth="0" w:num="1">
            <w:col w:w="11240"/>
          </w:cols>
          <w:pgMar w:left="320" w:top="1440" w:right="339" w:bottom="1440" w:gutter="0" w:footer="0" w:header="0"/>
          <w:type w:val="continuous"/>
        </w:sectPr>
      </w:pPr>
    </w:p>
    <w:bookmarkStart w:id="455" w:name="page456"/>
    <w:bookmarkEnd w:id="455"/>
    <w:p>
      <w:pPr>
        <w:spacing w:after="0" w:line="189" w:lineRule="exact"/>
        <w:rPr>
          <w:sz w:val="20"/>
          <w:szCs w:val="20"/>
          <w:color w:val="auto"/>
        </w:rPr>
      </w:pPr>
    </w:p>
    <w:p>
      <w:pPr>
        <w:ind w:firstLine="656"/>
        <w:spacing w:after="0" w:line="283" w:lineRule="auto"/>
        <w:tabs>
          <w:tab w:leader="none" w:pos="1077"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all other Guaranteed Obligations and other amounts due under any of the Loan Documents, if any, to be applied for the ratable benefit of the Lenders; and</w:t>
      </w:r>
    </w:p>
    <w:p>
      <w:pPr>
        <w:spacing w:after="0" w:line="146" w:lineRule="exact"/>
        <w:rPr>
          <w:rFonts w:ascii="Times New Roman" w:cs="Times New Roman" w:eastAsia="Times New Roman" w:hAnsi="Times New Roman"/>
          <w:sz w:val="20"/>
          <w:szCs w:val="20"/>
          <w:color w:val="auto"/>
        </w:rPr>
      </w:pPr>
    </w:p>
    <w:p>
      <w:pPr>
        <w:ind w:firstLine="656"/>
        <w:spacing w:after="0" w:line="295" w:lineRule="auto"/>
        <w:tabs>
          <w:tab w:leader="none" w:pos="1145"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remaining after application as provided above, shall be paid to the Borrowers or whomever else may be legally entitled thereto.</w:t>
      </w:r>
      <w:r>
        <w:rPr>
          <w:rFonts w:ascii="Times New Roman" w:cs="Times New Roman" w:eastAsia="Times New Roman" w:hAnsi="Times New Roman"/>
          <w:sz w:val="25"/>
          <w:szCs w:val="25"/>
          <w:u w:val="single" w:color="auto"/>
          <w:color w:val="0070C0"/>
          <w:vertAlign w:val="superscript"/>
        </w:rPr>
        <w:t>3</w:t>
      </w:r>
    </w:p>
    <w:p>
      <w:pPr>
        <w:spacing w:after="0" w:line="4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10.6.</w:t>
      </w:r>
      <w:r>
        <w:rPr>
          <w:sz w:val="20"/>
          <w:szCs w:val="20"/>
          <w:color w:val="auto"/>
        </w:rPr>
        <w:tab/>
      </w:r>
      <w:r>
        <w:rPr>
          <w:rFonts w:ascii="Times New Roman" w:cs="Times New Roman" w:eastAsia="Times New Roman" w:hAnsi="Times New Roman"/>
          <w:sz w:val="19"/>
          <w:szCs w:val="19"/>
          <w:b w:val="1"/>
          <w:bCs w:val="1"/>
          <w:color w:val="auto"/>
        </w:rPr>
        <w:t>Letter of Credit Collateral Account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1" w:lineRule="auto"/>
        <w:tabs>
          <w:tab w:leader="none" w:pos="1074"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collateral security for the prompt payment in full when due of all Letter of Credit Liabilities and the other Obligations, each Borrower hereby pledges to the Administrative Agent, for the ratable benefit of the Administrative Agent, the Issuing Banks and the Lenders as provided herein, and grants to the Administrative Agent, for the ratable benefit of the Administrative Agent, the Issuing Banks and the Lenders as provided herein, a security interest in all of its right, title and interest in and to the Letter of Credit Collateral Account and the balances from time to time in the Letter of Credit Collateral Account (including the investments and reinvestments therein provided for below). The balances from time to time in the Letter of Credit Collateral Account shall not constitute payment of any Letter of Credit Liabilities until applied by the Issuing Banks as provided herein. Anything in this Agreement to the contrary notwithstanding, funds held in the Letter of Credit Collateral Account shall be subject to withdrawal only as provided in this Section.</w:t>
      </w:r>
    </w:p>
    <w:p>
      <w:pPr>
        <w:spacing w:after="0" w:line="195" w:lineRule="exact"/>
        <w:rPr>
          <w:rFonts w:ascii="Times New Roman" w:cs="Times New Roman" w:eastAsia="Times New Roman" w:hAnsi="Times New Roman"/>
          <w:sz w:val="20"/>
          <w:szCs w:val="20"/>
          <w:color w:val="auto"/>
        </w:rPr>
      </w:pPr>
    </w:p>
    <w:p>
      <w:pPr>
        <w:jc w:val="both"/>
        <w:ind w:firstLine="656"/>
        <w:spacing w:after="0" w:line="250" w:lineRule="auto"/>
        <w:tabs>
          <w:tab w:leader="none" w:pos="1094"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on deposit in the Letter of Credit Collateral Account shall be invested and reinvested by the Administrative Agent in such Cash Equivalents as the Administrative Agent shall determine in its sole discretion. All such investments and reinvestments shall be held in the name of and be under the sole dominion and control of the Administrative Agent for the ratable benefit of the Administrative Agent, the Issuing Banks and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earnings on such investments will be credited to and retained in the Letter of Credit Collateral Account. The Administrative Agent shall exercise reasonable care in the custody and preservation of any funds held in the Letter of Credit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Letter of Credit Collateral Account.</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07"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drawing pursuant to any Letter of Credit occurs on or prior to the expiration date of such Letter of Credit, each Borrower and the Lenders authorize the Administrative Agent to use the monies deposited in the Letter of Credit Collateral Account to reimburse each Issuing Bank for the payment made by such Issuing Bank to the beneficiary with respect to such drawing or the payee with respect to such presentment.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092"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exists, the Administrative Agent may (and, if instructed by the Requisite Revolving Lenders, shall) in its (or their) discretion at any time and from time to time elect to liquidate any such investments and reinvestments and apply the proceeds thereof to the Obligations in accordance with Section 10.5. Notwithstanding the foregoing, the Administrative Agent shall not be required to liquidate and release any such amounts if such liquidation or release would result in the amount available in the Letter of Credit Collateral Account being less than the Stated Amount of all Extended Letters of Credit that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6459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61" w:lineRule="exact"/>
        <w:rPr>
          <w:sz w:val="20"/>
          <w:szCs w:val="20"/>
          <w:color w:val="auto"/>
        </w:rPr>
      </w:pPr>
    </w:p>
    <w:p>
      <w:pPr>
        <w:ind w:left="340" w:hanging="332"/>
        <w:spacing w:after="0" w:line="231" w:lineRule="auto"/>
        <w:tabs>
          <w:tab w:leader="none" w:pos="322" w:val="left"/>
        </w:tabs>
        <w:numPr>
          <w:ilvl w:val="0"/>
          <w:numId w:val="3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u w:val="single" w:color="auto"/>
          <w:color w:val="0070C0"/>
        </w:rPr>
        <w:t>NTD: The deletion of clauses (b) and (d) of this Section 10.5 in the First Amendment are technical amendments deemed made pursuant to Section 12.6(d).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9" w:lineRule="exact"/>
        <w:rPr>
          <w:rFonts w:ascii="Times New Roman" w:cs="Times New Roman" w:eastAsia="Times New Roman" w:hAnsi="Times New Roman"/>
          <w:sz w:val="23"/>
          <w:szCs w:val="23"/>
          <w:color w:val="auto"/>
          <w:vertAlign w:val="superscript"/>
        </w:rPr>
      </w:pPr>
    </w:p>
    <w:p>
      <w:pPr>
        <w:ind w:left="320" w:hanging="114"/>
        <w:spacing w:after="0"/>
        <w:tabs>
          <w:tab w:leader="none" w:pos="320"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119 -</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89" w:lineRule="exact"/>
        <w:rPr>
          <w:sz w:val="20"/>
          <w:szCs w:val="20"/>
          <w:color w:val="auto"/>
        </w:rPr>
      </w:pPr>
    </w:p>
    <w:p>
      <w:pPr>
        <w:jc w:val="both"/>
        <w:ind w:firstLine="656"/>
        <w:spacing w:after="0" w:line="249" w:lineRule="auto"/>
        <w:tabs>
          <w:tab w:leader="none" w:pos="1135"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Representative, deliver to the Borrowers within 10 Business Days after the Administrative Agent’s receipt of such request from the Borrower Representative, against receipt but without any recourse, warranty or representation whatsoever, such amount of the credit balances in the Letter of Credit Collateral Account as exceeds the aggregate amount of Letter of Credit Liabilities at such time. Upon the expiration, termination or cancellation of an Extended Letter of Credit for which the Revolving Lenders reimbursed (or funded participations in) a drawing deemed to have occurred under the fourth sentence of Section 2.4.(b) for deposit into the Letter of Credit Collateral Account but in respect of which the Revolving Lenders have not otherwise received payment for the amount so reimbursed or funded, the Administrative Agent shall promptly remit to the Revolving Lenders the amount so reimbursed or funded for such Extended Letter of Credit that remains in the Letter of Credit Collateral Account, pro rata in accordance with the respective unpaid reimbursements or funded participations of the Revolving Lenders in respect of such Extended Letter of Credit, against receipt but without any recourse, warranty or representation whatsoever. When all of the Obligations (other than contingent Obligations that are not then due and payable) shall have been indefeasibly paid in full and no Letters of Credit remain outstanding, the Administrative Agent shall deliver to the Borrowers, against receipt but without any recourse, warranty or representation whatsoever, the balances remaining in the Letter of Credit Collateral Account.</w:t>
      </w:r>
    </w:p>
    <w:p>
      <w:pPr>
        <w:spacing w:after="0" w:line="200"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2"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pay to the Administrative Agent from time to time such fees as the Administrative Agent normally charges for similar services in connection with the Administrative Agent’s administration of the Letter of Credit Collateral Account and investments and reinvestments of funds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-2441575</wp:posOffset>
            </wp:positionV>
            <wp:extent cx="482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48260" cy="8890"/>
                    </a:xfrm>
                    <a:prstGeom prst="rect">
                      <a:avLst/>
                    </a:prstGeom>
                    <a:noFill/>
                  </pic:spPr>
                </pic:pic>
              </a:graphicData>
            </a:graphic>
          </wp:anchor>
        </w:drawing>
      </w:r>
    </w:p>
    <w:p>
      <w:pPr>
        <w:spacing w:after="0" w:line="15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10.7.</w:t>
      </w:r>
      <w:r>
        <w:rPr>
          <w:sz w:val="20"/>
          <w:szCs w:val="20"/>
          <w:color w:val="auto"/>
        </w:rPr>
        <w:tab/>
      </w:r>
      <w:r>
        <w:rPr>
          <w:rFonts w:ascii="Times New Roman" w:cs="Times New Roman" w:eastAsia="Times New Roman" w:hAnsi="Times New Roman"/>
          <w:sz w:val="19"/>
          <w:szCs w:val="19"/>
          <w:b w:val="1"/>
          <w:bCs w:val="1"/>
          <w:color w:val="auto"/>
        </w:rPr>
        <w:t>Performance by Administrative Agent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If any Borrower or any other Loan Party shall fail to perform any covenant, duty or agreement contained in any of the Loan Documents, the Administrative Agent may, after notice to the Borrower Representative, perform or attempt to perform such covenant, duty or agreement on behalf of such Borrower or such other Loan Party after the expiration of any cure or grace periods set forth herein. In such event, such Borrower or such other Loan Party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for the performance of any obligation of any Borrower or any other Loan Party under this Agreement or any other Loan Document.</w:t>
      </w:r>
    </w:p>
    <w:p>
      <w:pPr>
        <w:spacing w:after="0" w:line="19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10.8.</w:t>
      </w:r>
      <w:r>
        <w:rPr>
          <w:sz w:val="20"/>
          <w:szCs w:val="20"/>
          <w:color w:val="auto"/>
        </w:rPr>
        <w:tab/>
      </w:r>
      <w:r>
        <w:rPr>
          <w:rFonts w:ascii="Times New Roman" w:cs="Times New Roman" w:eastAsia="Times New Roman" w:hAnsi="Times New Roman"/>
          <w:sz w:val="19"/>
          <w:szCs w:val="19"/>
          <w:b w:val="1"/>
          <w:bCs w:val="1"/>
          <w:color w:val="auto"/>
        </w:rPr>
        <w:t>Rights Cumulative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3" w:lineRule="auto"/>
        <w:tabs>
          <w:tab w:leader="none" w:pos="1128"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and remedies of the Administrative Agent, the Issuing Banks, and the Lenders under this Agreement, each of the other Loan Documents, and the Fee Letters shall be cumulative and not exclusive of any rights or remedies which any of them may otherwise have under Applicable Law. In exercising their respective rights and remedies the Administrative Agent, the Issuing Banks and the Lenders may be selective, and no failure or delay by the Administrative Agent, any Issuing Bank or any of the Lenders in exercising any right shall operate as a waiver of it, nor shall any single or partial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120 -</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exercise of any power or right preclude its other or further exercise or the exercise of any other power or right.</w:t>
      </w:r>
    </w:p>
    <w:p>
      <w:pPr>
        <w:spacing w:after="0" w:line="229" w:lineRule="exact"/>
        <w:rPr>
          <w:sz w:val="20"/>
          <w:szCs w:val="20"/>
          <w:color w:val="auto"/>
        </w:rPr>
      </w:pPr>
    </w:p>
    <w:p>
      <w:pPr>
        <w:jc w:val="both"/>
        <w:ind w:firstLine="656"/>
        <w:spacing w:after="0" w:line="249" w:lineRule="auto"/>
        <w:tabs>
          <w:tab w:leader="none" w:pos="1113"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Borrowers or any other Loan Party or any of them shall be vested exclusively in, and all actions and proceedings at law in connection with such enforcement shall be instituted and maintained exclusively by, the Administrative Agent in accordance with Article X. for the benefit of all the Lenders and the Issuing Banks;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Issuing Banks </w:t>
      </w:r>
      <w:r>
        <w:rPr>
          <w:rFonts w:ascii="Times New Roman" w:cs="Times New Roman" w:eastAsia="Times New Roman" w:hAnsi="Times New Roman"/>
          <w:sz w:val="20"/>
          <w:szCs w:val="20"/>
          <w:color w:val="FF0000"/>
          <w:strike w:val="1"/>
        </w:rPr>
        <w:t>or the Swingline Lenders</w:t>
      </w:r>
      <w:r>
        <w:rPr>
          <w:rFonts w:ascii="Times New Roman" w:cs="Times New Roman" w:eastAsia="Times New Roman" w:hAnsi="Times New Roman"/>
          <w:sz w:val="20"/>
          <w:szCs w:val="20"/>
          <w:color w:val="auto"/>
        </w:rPr>
        <w:t xml:space="preserve"> from exercising the rights and remedies that inure to its benefit (solely in its capacity as an Issuing Bank </w:t>
      </w:r>
      <w:r>
        <w:rPr>
          <w:rFonts w:ascii="Times New Roman" w:cs="Times New Roman" w:eastAsia="Times New Roman" w:hAnsi="Times New Roman"/>
          <w:sz w:val="20"/>
          <w:szCs w:val="20"/>
          <w:color w:val="FF0000"/>
        </w:rPr>
        <w:t>or a Swingline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B050"/>
          <w:strike w:val="1"/>
        </w:rPr>
        <w:t>as the case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B050"/>
          <w:strike w:val="1"/>
        </w:rPr>
        <w:t>be</w:t>
      </w:r>
      <w:r>
        <w:rPr>
          <w:rFonts w:ascii="Times New Roman" w:cs="Times New Roman" w:eastAsia="Times New Roman" w:hAnsi="Times New Roman"/>
          <w:sz w:val="20"/>
          <w:szCs w:val="20"/>
          <w:color w:val="000000"/>
        </w:rPr>
        <w:t>) hereunder and under the other Loan Documents, (c) any Lender from exercising setoff rights in accordance with Section 12.3. (subject to</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color w:val="000000"/>
        </w:rPr>
        <w:t xml:space="preserve">the terms of Section 3.3.), or (d) any Lender from filing proofs of claim or appearing and filing pleadings on its own behalf during the pendency of a proceeding relative to any Borrower or any other Loan Party under any Debtor Relief Law; and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that if at any time there is no Person acting as Administrative Agent hereunder and under the other Loan Documents, then (i) the Requisite Lenders shall have the rights otherwise ascribed to the Administrative Agent pursuant to Article X. and (ii) in addition to the matters set forth in clauses (b), (c) and (d) of the preceding proviso and subject to Section 3.3., any Lender may, with the consent of the Requisite Lenders, enforce any rights and remedies available to it and as authorized by the Requisite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5081270</wp:posOffset>
            </wp:positionH>
            <wp:positionV relativeFrom="paragraph">
              <wp:posOffset>-1137285</wp:posOffset>
            </wp:positionV>
            <wp:extent cx="12433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7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ARTICLE XI. THE ADMINISTRATIVE AGENT</w:t>
      </w:r>
    </w:p>
    <w:p>
      <w:pPr>
        <w:spacing w:after="0" w:line="22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11.1.</w:t>
      </w:r>
      <w:r>
        <w:rPr>
          <w:sz w:val="20"/>
          <w:szCs w:val="20"/>
          <w:color w:val="auto"/>
        </w:rPr>
        <w:tab/>
      </w:r>
      <w:r>
        <w:rPr>
          <w:rFonts w:ascii="Times New Roman" w:cs="Times New Roman" w:eastAsia="Times New Roman" w:hAnsi="Times New Roman"/>
          <w:sz w:val="19"/>
          <w:szCs w:val="19"/>
          <w:b w:val="1"/>
          <w:bCs w:val="1"/>
          <w:color w:val="auto"/>
        </w:rPr>
        <w:t>Appointment and Authorization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Borrowers or any other Loan Party are not otherwise required to deliver directly to the Lenders. The Administrative Agent will furnish to any Lender, upon the request of such Lender, a copy (or, where appropriate, an original) of any document, instrument, agreement, certificate or notice furnished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- 121 -</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Administrative Agent by the Borrowers or any other Loan Party or any Affiliate of the Borrowers or any other Loan Party, pursuant to this Agreement or any other Loan Document not already delivered or otherwise made available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11.2.</w:t>
      </w:r>
      <w:r>
        <w:rPr>
          <w:sz w:val="20"/>
          <w:szCs w:val="20"/>
          <w:color w:val="auto"/>
        </w:rPr>
        <w:tab/>
      </w:r>
      <w:r>
        <w:rPr>
          <w:rFonts w:ascii="Times New Roman" w:cs="Times New Roman" w:eastAsia="Times New Roman" w:hAnsi="Times New Roman"/>
          <w:sz w:val="19"/>
          <w:szCs w:val="19"/>
          <w:b w:val="1"/>
          <w:bCs w:val="1"/>
          <w:color w:val="auto"/>
        </w:rPr>
        <w:t>Wells Fargo as Lender</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Wells Fargo,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any Borrower, any other Loan Party or any Affiliate thereof as if it were any other bank and without any duty to account therefor to the Issuing Banks, other Lenders, or any other Specified Derivatives Providers. Further, the Administrative Agent and any Affiliate may accept fees and other consideration from any Borrower or any other Loan Party for services in connection with this Agreement or any Specified Derivatives Contract, or otherwise without having to account for the same to the Issuing Banks, the other Lenders or any other Specified Derivatives Providers. The Issuing Banks and the Lenders acknowledge that, pursuant to such activities, Wells Fargo or its Affiliates may receive information regarding any of the Borrowers,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18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11.3.</w:t>
      </w:r>
      <w:r>
        <w:rPr>
          <w:sz w:val="20"/>
          <w:szCs w:val="20"/>
          <w:color w:val="auto"/>
        </w:rPr>
        <w:tab/>
      </w:r>
      <w:r>
        <w:rPr>
          <w:rFonts w:ascii="Times New Roman" w:cs="Times New Roman" w:eastAsia="Times New Roman" w:hAnsi="Times New Roman"/>
          <w:sz w:val="19"/>
          <w:szCs w:val="19"/>
          <w:b w:val="1"/>
          <w:bCs w:val="1"/>
          <w:color w:val="auto"/>
        </w:rPr>
        <w:t>Approvals of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communications from the Administrative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as appropriate, a brief summary of all oral information provided to the Administrative Agent by any Borrower in respect of the matter or issue to be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- 122 -</w:t>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(d) shall include the Administrative Agent’s recommended course of action or determination in respect thereof. Unless a Lender shall give written notice to the Administrative Agent that it specifically objects to the recommendation or determination of the Administrative Agent within ten (10) Business Days (or such lesser or greater period as may be specifically required under the express terms of the Loan Documents) of receipt of such communication, such Lender shall be deemed to have conclusively approved of or consented to such recommendation or determination (other than in respect of any consent required under Section 12.6.(b)).</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11.4.</w:t>
      </w:r>
      <w:r>
        <w:rPr>
          <w:sz w:val="20"/>
          <w:szCs w:val="20"/>
          <w:color w:val="auto"/>
        </w:rPr>
        <w:tab/>
      </w:r>
      <w:r>
        <w:rPr>
          <w:rFonts w:ascii="Times New Roman" w:cs="Times New Roman" w:eastAsia="Times New Roman" w:hAnsi="Times New Roman"/>
          <w:sz w:val="19"/>
          <w:szCs w:val="19"/>
          <w:b w:val="1"/>
          <w:bCs w:val="1"/>
          <w:color w:val="auto"/>
        </w:rPr>
        <w:t>Notice of Events of Default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Administrative Agent shall not be deemed to have knowledge or notice of the occurrence of a Default or Event of Default unless the Administrative Agent has received notice from a Lender or the Borrower Representative or any other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1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11.5.</w:t>
      </w:r>
      <w:r>
        <w:rPr>
          <w:sz w:val="20"/>
          <w:szCs w:val="20"/>
          <w:color w:val="auto"/>
        </w:rPr>
        <w:tab/>
      </w:r>
      <w:r>
        <w:rPr>
          <w:rFonts w:ascii="Times New Roman" w:cs="Times New Roman" w:eastAsia="Times New Roman" w:hAnsi="Times New Roman"/>
          <w:sz w:val="19"/>
          <w:szCs w:val="19"/>
          <w:b w:val="1"/>
          <w:bCs w:val="1"/>
          <w:color w:val="auto"/>
        </w:rPr>
        <w:t>Administrative Agent’s Reliance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Notwithstanding any other provisions of this Agreement or any other Loan Documents, </w:t>
      </w:r>
      <w:r>
        <w:rPr>
          <w:rFonts w:ascii="Times New Roman" w:cs="Times New Roman" w:eastAsia="Times New Roman" w:hAnsi="Times New Roman"/>
          <w:sz w:val="19"/>
          <w:szCs w:val="19"/>
          <w:color w:val="FF0000"/>
          <w:strike w:val="1"/>
        </w:rPr>
        <w:t>neither</w:t>
      </w:r>
      <w:r>
        <w:rPr>
          <w:rFonts w:ascii="Times New Roman" w:cs="Times New Roman" w:eastAsia="Times New Roman" w:hAnsi="Times New Roman"/>
          <w:sz w:val="19"/>
          <w:szCs w:val="19"/>
          <w:u w:val="single" w:color="auto"/>
          <w:color w:val="0070C0"/>
        </w:rPr>
        <w:t>none of</w:t>
      </w:r>
      <w:r>
        <w:rPr>
          <w:rFonts w:ascii="Times New Roman" w:cs="Times New Roman" w:eastAsia="Times New Roman" w:hAnsi="Times New Roman"/>
          <w:sz w:val="19"/>
          <w:szCs w:val="19"/>
          <w:color w:val="auto"/>
        </w:rPr>
        <w:t xml:space="preserve"> the Administrative Agent </w:t>
      </w:r>
      <w:r>
        <w:rPr>
          <w:rFonts w:ascii="Times New Roman" w:cs="Times New Roman" w:eastAsia="Times New Roman" w:hAnsi="Times New Roman"/>
          <w:sz w:val="19"/>
          <w:szCs w:val="19"/>
          <w:color w:val="FF0000"/>
        </w:rPr>
        <w:t>nor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any of its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70C0"/>
        </w:rPr>
        <w:t>, the Sustainability Structuring Agent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B050"/>
        </w:rPr>
        <w:t>or any of their respective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directors, officers, agents, employees or counsel shall be liable for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w:t>
      </w:r>
      <w:r>
        <w:rPr>
          <w:rFonts w:ascii="Times New Roman" w:cs="Times New Roman" w:eastAsia="Times New Roman" w:hAnsi="Times New Roman"/>
          <w:sz w:val="19"/>
          <w:szCs w:val="19"/>
          <w:u w:val="single" w:color="auto"/>
          <w:color w:val="0070C0"/>
        </w:rPr>
        <w:t>and 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70C0"/>
        </w:rPr>
        <w:t>Sustainability Structuring Agent</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may consult with legal counsel (including its own counsel or counsel for the Borrowers or any other Loan</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 xml:space="preserve">Party), independent public accountants and other experts selected by it and shall not be liable for any action taken or omitted to be taken in good faith by it in accordance with the advice of such counsel, accountants or experts. </w:t>
      </w:r>
      <w:r>
        <w:rPr>
          <w:rFonts w:ascii="Times New Roman" w:cs="Times New Roman" w:eastAsia="Times New Roman" w:hAnsi="Times New Roman"/>
          <w:sz w:val="19"/>
          <w:szCs w:val="19"/>
          <w:color w:val="FF0000"/>
          <w:strike w:val="1"/>
        </w:rPr>
        <w:t>Neither</w:t>
      </w:r>
      <w:r>
        <w:rPr>
          <w:rFonts w:ascii="Times New Roman" w:cs="Times New Roman" w:eastAsia="Times New Roman" w:hAnsi="Times New Roman"/>
          <w:sz w:val="19"/>
          <w:szCs w:val="19"/>
          <w:u w:val="single" w:color="auto"/>
          <w:color w:val="0070C0"/>
        </w:rPr>
        <w:t>None of</w:t>
      </w:r>
      <w:r>
        <w:rPr>
          <w:rFonts w:ascii="Times New Roman" w:cs="Times New Roman" w:eastAsia="Times New Roman" w:hAnsi="Times New Roman"/>
          <w:sz w:val="19"/>
          <w:szCs w:val="19"/>
          <w:color w:val="000000"/>
        </w:rPr>
        <w:t xml:space="preserve"> the Administrative Agent </w:t>
      </w:r>
      <w:r>
        <w:rPr>
          <w:rFonts w:ascii="Times New Roman" w:cs="Times New Roman" w:eastAsia="Times New Roman" w:hAnsi="Times New Roman"/>
          <w:sz w:val="19"/>
          <w:szCs w:val="19"/>
          <w:color w:val="FF0000"/>
        </w:rPr>
        <w:t>nor</w:t>
      </w:r>
      <w:r>
        <w:rPr>
          <w:rFonts w:ascii="Times New Roman" w:cs="Times New Roman" w:eastAsia="Times New Roman" w:hAnsi="Times New Roman"/>
          <w:sz w:val="19"/>
          <w:szCs w:val="19"/>
          <w:u w:val="single" w:color="auto"/>
          <w:color w:val="0070C0"/>
        </w:rPr>
        <w:t>, 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70C0"/>
        </w:rPr>
        <w:t>Sustainability Structuring Agent or</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any of its directors, officers, agents, employees or counsel: (a) makes any warranty or representation to</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any Lender, any Issuing Bank or any other Person, or shall be responsible to any Lender, any Issuing Bank or any other Person for any statement, warranty or representation made or deemed made by any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any Borrower or other Persons, or to inspect the property, books or records of any Borrower or any other Person; (c) shall be responsible to any Lender or any Issuing Bank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Administrative Agent on behalf of the Lenders and the Issuing Banks in any such collateral; (d) shall have any liability in respect of any recitals, statements, certifications, representations or warranties contained in any of the Loan Documents or any other document, instrument, agreement, certificate or statement delivered in connection therewith; or (e) shall incur any liability under or in respect of this Agreement or any other Loan Document by acting upon any notice, consent, certificate or other instrument or writing (which may be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-2956560</wp:posOffset>
            </wp:positionV>
            <wp:extent cx="2076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207645" cy="825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-2759710</wp:posOffset>
            </wp:positionV>
            <wp:extent cx="1953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953895" cy="8255"/>
                    </a:xfrm>
                    <a:prstGeom prst="rect">
                      <a:avLst/>
                    </a:prstGeom>
                    <a:noFill/>
                  </pic:spPr>
                </pic:pic>
              </a:graphicData>
            </a:graphic>
          </wp:anchor>
        </w:drawing>
        <w:drawing>
          <wp:anchor simplePos="0" relativeHeight="251657728" behindDoc="1" locked="0" layoutInCell="0" allowOverlap="1">
            <wp:simplePos x="0" y="0"/>
            <wp:positionH relativeFrom="column">
              <wp:posOffset>6687185</wp:posOffset>
            </wp:positionH>
            <wp:positionV relativeFrom="paragraph">
              <wp:posOffset>-1902460</wp:posOffset>
            </wp:positionV>
            <wp:extent cx="2159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- 123 -</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telecopy or electronic mail) believed by it to be genuine and signed, sent or given by the proper party or parties. The Administrative Agent may execute any of its duties under the Loan Documents by or through agents, employees or attorneys-in-fact and shall not be responsible for the negligence or misconduct of any agent or attorney-in-fact that it selects in the absence of gross negligence or willful misconduct as determined by a court of competent jurisdiction in a final non-appealable judgment.</w:t>
      </w:r>
    </w:p>
    <w:p>
      <w:pPr>
        <w:spacing w:after="0" w:line="1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11.6.</w:t>
      </w:r>
      <w:r>
        <w:rPr>
          <w:sz w:val="20"/>
          <w:szCs w:val="20"/>
          <w:color w:val="auto"/>
        </w:rPr>
        <w:tab/>
      </w:r>
      <w:r>
        <w:rPr>
          <w:rFonts w:ascii="Times New Roman" w:cs="Times New Roman" w:eastAsia="Times New Roman" w:hAnsi="Times New Roman"/>
          <w:sz w:val="19"/>
          <w:szCs w:val="19"/>
          <w:b w:val="1"/>
          <w:bCs w:val="1"/>
          <w:color w:val="auto"/>
        </w:rPr>
        <w:t>Indemnification of Administrative Agent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Each Lender agrees to indemnify the Administrative Agent </w:t>
      </w:r>
      <w:r>
        <w:rPr>
          <w:rFonts w:ascii="Times New Roman" w:cs="Times New Roman" w:eastAsia="Times New Roman" w:hAnsi="Times New Roman"/>
          <w:sz w:val="20"/>
          <w:szCs w:val="20"/>
          <w:u w:val="single" w:color="auto"/>
          <w:color w:val="0070C0"/>
        </w:rPr>
        <w:t>and the Sustainability Agent</w:t>
      </w:r>
      <w:r>
        <w:rPr>
          <w:rFonts w:ascii="Times New Roman" w:cs="Times New Roman" w:eastAsia="Times New Roman" w:hAnsi="Times New Roman"/>
          <w:sz w:val="20"/>
          <w:szCs w:val="20"/>
          <w:color w:val="auto"/>
        </w:rPr>
        <w:t xml:space="preserve"> (to the extent not reimbursed by any Borrower and without limiting the obligation of any Borrower to do so) pro rata in accordance with such Lender’s respective Pro Rata Share (determined as of the time that the applicable unreimbursed expense or indemnity payment is sought), from and against any and all liabilities, obligations, losses, damages, penalties, actions, judgments, suits, reasonable out-of-pocket costs and expenses of any kind or nature whatsoever which may at any time be imposed on, incurred by, or asserted against the Administrative Agent </w:t>
      </w:r>
      <w:r>
        <w:rPr>
          <w:rFonts w:ascii="Times New Roman" w:cs="Times New Roman" w:eastAsia="Times New Roman" w:hAnsi="Times New Roman"/>
          <w:sz w:val="20"/>
          <w:szCs w:val="20"/>
          <w:u w:val="single" w:color="auto"/>
          <w:color w:val="0070C0"/>
        </w:rPr>
        <w:t>or the Sustainability Structuring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Agent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(in its capacity as Administrative Agent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70C0"/>
        </w:rPr>
        <w:t>or Sustainability Structuring Agent, as the case may be,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but not as a Lender) in any way</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relating to or arising out of the Loan Documents, any transaction contemplated hereby or thereby or any action taken or omitted by the Administrative Agent </w:t>
      </w:r>
      <w:r>
        <w:rPr>
          <w:rFonts w:ascii="Times New Roman" w:cs="Times New Roman" w:eastAsia="Times New Roman" w:hAnsi="Times New Roman"/>
          <w:sz w:val="20"/>
          <w:szCs w:val="20"/>
          <w:u w:val="single" w:color="auto"/>
          <w:color w:val="0070C0"/>
        </w:rPr>
        <w:t>or the Sustainability Structuring Agent</w:t>
      </w:r>
      <w:r>
        <w:rPr>
          <w:rFonts w:ascii="Times New Roman" w:cs="Times New Roman" w:eastAsia="Times New Roman" w:hAnsi="Times New Roman"/>
          <w:sz w:val="20"/>
          <w:szCs w:val="20"/>
          <w:color w:val="000000"/>
        </w:rPr>
        <w:t xml:space="preserve"> under the Loan Documents (collectively, “Indemnifiable Amounts”);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however, that no Lender shall be liable for any portion of such Indemnifiable Amounts to the extent resulting from the Administrative Agent’s </w:t>
      </w:r>
      <w:r>
        <w:rPr>
          <w:rFonts w:ascii="Times New Roman" w:cs="Times New Roman" w:eastAsia="Times New Roman" w:hAnsi="Times New Roman"/>
          <w:sz w:val="20"/>
          <w:szCs w:val="20"/>
          <w:u w:val="single" w:color="auto"/>
          <w:color w:val="0070C0"/>
        </w:rPr>
        <w:t>or Sustainability Structuring Agent’s</w:t>
      </w:r>
      <w:r>
        <w:rPr>
          <w:rFonts w:ascii="Times New Roman" w:cs="Times New Roman" w:eastAsia="Times New Roman" w:hAnsi="Times New Roman"/>
          <w:sz w:val="20"/>
          <w:szCs w:val="20"/>
          <w:color w:val="000000"/>
        </w:rPr>
        <w:t xml:space="preserve"> gross negligence or willful misconduct as determined by a court of competent jurisdiction in a final, non-appealable judgment;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xml:space="preserve">,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w:t>
      </w:r>
      <w:r>
        <w:rPr>
          <w:rFonts w:ascii="Times New Roman" w:cs="Times New Roman" w:eastAsia="Times New Roman" w:hAnsi="Times New Roman"/>
          <w:sz w:val="20"/>
          <w:szCs w:val="20"/>
          <w:color w:val="0070C0"/>
        </w:rPr>
        <w:t>and the Sustainability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0C0"/>
        </w:rPr>
        <w:t>Structuring Agent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(to the extent not reimbursed by any Borrower and without limiting the obligation of any Borrower to do so) promptly</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upon demand for its ratable share of any out-of-pocket expenses (including the reasonable fees and expenses of the counsel to the Administrative Agent </w:t>
      </w:r>
      <w:r>
        <w:rPr>
          <w:rFonts w:ascii="Times New Roman" w:cs="Times New Roman" w:eastAsia="Times New Roman" w:hAnsi="Times New Roman"/>
          <w:sz w:val="20"/>
          <w:szCs w:val="20"/>
          <w:color w:val="0070C0"/>
        </w:rPr>
        <w:t>or the Sustainability Structuring Agent</w:t>
      </w:r>
      <w:r>
        <w:rPr>
          <w:rFonts w:ascii="Times New Roman" w:cs="Times New Roman" w:eastAsia="Times New Roman" w:hAnsi="Times New Roman"/>
          <w:sz w:val="20"/>
          <w:szCs w:val="20"/>
          <w:color w:val="000000"/>
        </w:rPr>
        <w:t xml:space="preserve">) incurred by the Administrative </w:t>
      </w:r>
      <w:r>
        <w:rPr>
          <w:rFonts w:ascii="Times New Roman" w:cs="Times New Roman" w:eastAsia="Times New Roman" w:hAnsi="Times New Roman"/>
          <w:sz w:val="20"/>
          <w:szCs w:val="20"/>
          <w:u w:val="single" w:color="auto"/>
          <w:color w:val="0070C0"/>
        </w:rPr>
        <w:t>Agent or the Sustainability Structuring</w:t>
      </w:r>
      <w:r>
        <w:rPr>
          <w:rFonts w:ascii="Times New Roman" w:cs="Times New Roman" w:eastAsia="Times New Roman" w:hAnsi="Times New Roman"/>
          <w:sz w:val="20"/>
          <w:szCs w:val="20"/>
          <w:color w:val="000000"/>
        </w:rPr>
        <w:t xml:space="preser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w:t>
      </w:r>
      <w:r>
        <w:rPr>
          <w:rFonts w:ascii="Times New Roman" w:cs="Times New Roman" w:eastAsia="Times New Roman" w:hAnsi="Times New Roman"/>
          <w:sz w:val="20"/>
          <w:szCs w:val="20"/>
          <w:color w:val="0070C0"/>
        </w:rPr>
        <w:t>or Sustainability Structuring Agent</w:t>
      </w:r>
      <w:r>
        <w:rPr>
          <w:rFonts w:ascii="Times New Roman" w:cs="Times New Roman" w:eastAsia="Times New Roman" w:hAnsi="Times New Roman"/>
          <w:sz w:val="20"/>
          <w:szCs w:val="20"/>
          <w:color w:val="000000"/>
        </w:rPr>
        <w:t xml:space="preserve"> to enforce the terms of the Loan Documents and/or collect any Obligations, any “lender liability” suit or claim brought against the Administrative Agent</w:t>
      </w:r>
      <w:r>
        <w:rPr>
          <w:rFonts w:ascii="Times New Roman" w:cs="Times New Roman" w:eastAsia="Times New Roman" w:hAnsi="Times New Roman"/>
          <w:sz w:val="20"/>
          <w:szCs w:val="20"/>
          <w:u w:val="single" w:color="auto"/>
          <w:color w:val="0070C0"/>
        </w:rPr>
        <w:t>, the Sustainability Structuring Agent</w:t>
      </w:r>
      <w:r>
        <w:rPr>
          <w:rFonts w:ascii="Times New Roman" w:cs="Times New Roman" w:eastAsia="Times New Roman" w:hAnsi="Times New Roman"/>
          <w:sz w:val="20"/>
          <w:szCs w:val="20"/>
          <w:color w:val="000000"/>
        </w:rPr>
        <w:t xml:space="preserve"> and/or the Lenders, and any claim or suit brought against the Administrative Agent</w:t>
      </w:r>
      <w:r>
        <w:rPr>
          <w:rFonts w:ascii="Times New Roman" w:cs="Times New Roman" w:eastAsia="Times New Roman" w:hAnsi="Times New Roman"/>
          <w:sz w:val="20"/>
          <w:szCs w:val="20"/>
          <w:u w:val="single" w:color="auto"/>
          <w:color w:val="0070C0"/>
        </w:rPr>
        <w:t>, the Sustainability Structuring Agent</w:t>
      </w:r>
      <w:r>
        <w:rPr>
          <w:rFonts w:ascii="Times New Roman" w:cs="Times New Roman" w:eastAsia="Times New Roman" w:hAnsi="Times New Roman"/>
          <w:sz w:val="20"/>
          <w:szCs w:val="20"/>
          <w:color w:val="000000"/>
        </w:rPr>
        <w:t xml:space="preserve"> and/or the Lenders arising under any Environmental Laws. Such out-of-pocket expenses (including counsel fees) shall be advanced by the Lenders on the request of the Administrative Agent </w:t>
      </w:r>
      <w:r>
        <w:rPr>
          <w:rFonts w:ascii="Times New Roman" w:cs="Times New Roman" w:eastAsia="Times New Roman" w:hAnsi="Times New Roman"/>
          <w:sz w:val="20"/>
          <w:szCs w:val="20"/>
          <w:color w:val="0070C0"/>
        </w:rPr>
        <w:t>or Sustainability Structuring Agent, as the case may be,</w:t>
      </w:r>
      <w:r>
        <w:rPr>
          <w:rFonts w:ascii="Times New Roman" w:cs="Times New Roman" w:eastAsia="Times New Roman" w:hAnsi="Times New Roman"/>
          <w:sz w:val="20"/>
          <w:szCs w:val="20"/>
          <w:color w:val="000000"/>
        </w:rPr>
        <w:t xml:space="preserve"> notwithstanding any claim or assertion that the Administrative Agent </w:t>
      </w:r>
      <w:r>
        <w:rPr>
          <w:rFonts w:ascii="Times New Roman" w:cs="Times New Roman" w:eastAsia="Times New Roman" w:hAnsi="Times New Roman"/>
          <w:sz w:val="20"/>
          <w:szCs w:val="20"/>
          <w:color w:val="0070C0"/>
        </w:rPr>
        <w:t>or Sustainability Structuring Agent</w:t>
      </w:r>
      <w:r>
        <w:rPr>
          <w:rFonts w:ascii="Times New Roman" w:cs="Times New Roman" w:eastAsia="Times New Roman" w:hAnsi="Times New Roman"/>
          <w:sz w:val="20"/>
          <w:szCs w:val="20"/>
          <w:color w:val="000000"/>
        </w:rPr>
        <w:t xml:space="preserve"> is not entitled to indemnification hereunder upon receipt of an undertaking by the Administrative Agent </w:t>
      </w:r>
      <w:r>
        <w:rPr>
          <w:rFonts w:ascii="Times New Roman" w:cs="Times New Roman" w:eastAsia="Times New Roman" w:hAnsi="Times New Roman"/>
          <w:sz w:val="20"/>
          <w:szCs w:val="20"/>
          <w:color w:val="0070C0"/>
        </w:rPr>
        <w:t>or Sustainability Structuring Agent</w:t>
      </w:r>
      <w:r>
        <w:rPr>
          <w:rFonts w:ascii="Times New Roman" w:cs="Times New Roman" w:eastAsia="Times New Roman" w:hAnsi="Times New Roman"/>
          <w:sz w:val="20"/>
          <w:szCs w:val="20"/>
          <w:color w:val="000000"/>
        </w:rPr>
        <w:t xml:space="preserve"> that the Administrative </w:t>
      </w:r>
      <w:r>
        <w:rPr>
          <w:rFonts w:ascii="Times New Roman" w:cs="Times New Roman" w:eastAsia="Times New Roman" w:hAnsi="Times New Roman"/>
          <w:sz w:val="20"/>
          <w:szCs w:val="20"/>
          <w:u w:val="single" w:color="auto"/>
          <w:color w:val="0070C0"/>
        </w:rPr>
        <w:t>Agent or Sustainability Structuring</w:t>
      </w:r>
      <w:r>
        <w:rPr>
          <w:rFonts w:ascii="Times New Roman" w:cs="Times New Roman" w:eastAsia="Times New Roman" w:hAnsi="Times New Roman"/>
          <w:sz w:val="20"/>
          <w:szCs w:val="20"/>
          <w:color w:val="000000"/>
        </w:rPr>
        <w:t xml:space="preserve"> Agent will reimburse the Lenders if it is actually and finally determined by a court of competent jurisdiction that the Administrative Agent </w:t>
      </w:r>
      <w:r>
        <w:rPr>
          <w:rFonts w:ascii="Times New Roman" w:cs="Times New Roman" w:eastAsia="Times New Roman" w:hAnsi="Times New Roman"/>
          <w:sz w:val="20"/>
          <w:szCs w:val="20"/>
          <w:color w:val="0070C0"/>
        </w:rPr>
        <w:t>or Sustainability Structuring Agent</w:t>
      </w:r>
      <w:r>
        <w:rPr>
          <w:rFonts w:ascii="Times New Roman" w:cs="Times New Roman" w:eastAsia="Times New Roman" w:hAnsi="Times New Roman"/>
          <w:sz w:val="20"/>
          <w:szCs w:val="20"/>
          <w:color w:val="000000"/>
        </w:rPr>
        <w:t xml:space="preserve"> is not so entitled to indemnification. The agreements in this Section shall survive the payment of the Loans and all other amounts payable hereunder or under the other Loan Documents and the termination of this Agreement. If any Borrower shall reimburse the Administrative Agent </w:t>
      </w:r>
      <w:r>
        <w:rPr>
          <w:rFonts w:ascii="Times New Roman" w:cs="Times New Roman" w:eastAsia="Times New Roman" w:hAnsi="Times New Roman"/>
          <w:sz w:val="20"/>
          <w:szCs w:val="20"/>
          <w:color w:val="0070C0"/>
        </w:rPr>
        <w:t>or Sustainability Structuring Agent</w:t>
      </w:r>
      <w:r>
        <w:rPr>
          <w:rFonts w:ascii="Times New Roman" w:cs="Times New Roman" w:eastAsia="Times New Roman" w:hAnsi="Times New Roman"/>
          <w:sz w:val="20"/>
          <w:szCs w:val="20"/>
          <w:color w:val="000000"/>
        </w:rPr>
        <w:t xml:space="preserve"> for any Indemnifiable Amount following payment by any Lender to the Administrative Agent </w:t>
      </w:r>
      <w:r>
        <w:rPr>
          <w:rFonts w:ascii="Times New Roman" w:cs="Times New Roman" w:eastAsia="Times New Roman" w:hAnsi="Times New Roman"/>
          <w:sz w:val="20"/>
          <w:szCs w:val="20"/>
          <w:color w:val="0070C0"/>
        </w:rPr>
        <w:t>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0C0"/>
        </w:rPr>
        <w:t>the Sustainability Structuring Agent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in respect of such Indemnifiable Amount pursuant to this Section,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5981065</wp:posOffset>
            </wp:positionH>
            <wp:positionV relativeFrom="paragraph">
              <wp:posOffset>-2583180</wp:posOffset>
            </wp:positionV>
            <wp:extent cx="11544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154430" cy="8890"/>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-2128520</wp:posOffset>
            </wp:positionV>
            <wp:extent cx="20129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0" cy="825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-1674495</wp:posOffset>
            </wp:positionV>
            <wp:extent cx="18535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853565" cy="8255"/>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-1074420</wp:posOffset>
            </wp:positionV>
            <wp:extent cx="284861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84861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-920115</wp:posOffset>
            </wp:positionV>
            <wp:extent cx="18192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8192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-774065</wp:posOffset>
            </wp:positionV>
            <wp:extent cx="17938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79387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-619760</wp:posOffset>
            </wp:positionV>
            <wp:extent cx="18192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8192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-165735</wp:posOffset>
            </wp:positionV>
            <wp:extent cx="18192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81927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-165735</wp:posOffset>
            </wp:positionV>
            <wp:extent cx="1447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- 124 -</w:t>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Administrative Agent </w:t>
      </w:r>
      <w:r>
        <w:rPr>
          <w:rFonts w:ascii="Times New Roman" w:cs="Times New Roman" w:eastAsia="Times New Roman" w:hAnsi="Times New Roman"/>
          <w:sz w:val="20"/>
          <w:szCs w:val="20"/>
          <w:color w:val="0070C0"/>
        </w:rPr>
        <w:t>or the Sustainability Structuring Agent, as the case may be,</w:t>
      </w:r>
      <w:r>
        <w:rPr>
          <w:rFonts w:ascii="Times New Roman" w:cs="Times New Roman" w:eastAsia="Times New Roman" w:hAnsi="Times New Roman"/>
          <w:sz w:val="20"/>
          <w:szCs w:val="20"/>
          <w:color w:val="auto"/>
        </w:rPr>
        <w:t xml:space="preserve"> shall share such reimbursement on a ratable basis with each Lender making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-209550</wp:posOffset>
            </wp:positionV>
            <wp:extent cx="30073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007360" cy="8255"/>
                    </a:xfrm>
                    <a:prstGeom prst="rect">
                      <a:avLst/>
                    </a:prstGeom>
                    <a:noFill/>
                  </pic:spPr>
                </pic:pic>
              </a:graphicData>
            </a:graphic>
          </wp:anchor>
        </w:drawing>
      </w:r>
    </w:p>
    <w:p>
      <w:pPr>
        <w:spacing w:after="0" w:line="12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11.7.</w:t>
      </w:r>
      <w:r>
        <w:rPr>
          <w:sz w:val="20"/>
          <w:szCs w:val="20"/>
          <w:color w:val="auto"/>
        </w:rPr>
        <w:tab/>
      </w:r>
      <w:r>
        <w:rPr>
          <w:rFonts w:ascii="Times New Roman" w:cs="Times New Roman" w:eastAsia="Times New Roman" w:hAnsi="Times New Roman"/>
          <w:sz w:val="19"/>
          <w:szCs w:val="19"/>
          <w:b w:val="1"/>
          <w:bCs w:val="1"/>
          <w:color w:val="auto"/>
        </w:rPr>
        <w:t>Lender Credit Decision, Etc.</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Each of the Lenders and the Issuing Banks expressly acknowledges and agrees that </w:t>
      </w:r>
      <w:r>
        <w:rPr>
          <w:rFonts w:ascii="Times New Roman" w:cs="Times New Roman" w:eastAsia="Times New Roman" w:hAnsi="Times New Roman"/>
          <w:sz w:val="19"/>
          <w:szCs w:val="19"/>
          <w:color w:val="FF0000"/>
          <w:strike w:val="1"/>
        </w:rPr>
        <w:t>neither</w:t>
      </w:r>
      <w:r>
        <w:rPr>
          <w:rFonts w:ascii="Times New Roman" w:cs="Times New Roman" w:eastAsia="Times New Roman" w:hAnsi="Times New Roman"/>
          <w:sz w:val="19"/>
          <w:szCs w:val="19"/>
          <w:u w:val="single" w:color="auto"/>
          <w:color w:val="0070C0"/>
        </w:rPr>
        <w:t>none of</w:t>
      </w:r>
      <w:r>
        <w:rPr>
          <w:rFonts w:ascii="Times New Roman" w:cs="Times New Roman" w:eastAsia="Times New Roman" w:hAnsi="Times New Roman"/>
          <w:sz w:val="19"/>
          <w:szCs w:val="19"/>
          <w:color w:val="auto"/>
        </w:rPr>
        <w:t xml:space="preserve"> the Administrative Agent </w:t>
      </w:r>
      <w:r>
        <w:rPr>
          <w:rFonts w:ascii="Times New Roman" w:cs="Times New Roman" w:eastAsia="Times New Roman" w:hAnsi="Times New Roman"/>
          <w:sz w:val="19"/>
          <w:szCs w:val="19"/>
          <w:color w:val="FF0000"/>
          <w:strike w:val="1"/>
        </w:rPr>
        <w:t>nor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of its</w:t>
      </w:r>
      <w:r>
        <w:rPr>
          <w:rFonts w:ascii="Times New Roman" w:cs="Times New Roman" w:eastAsia="Times New Roman" w:hAnsi="Times New Roman"/>
          <w:sz w:val="19"/>
          <w:szCs w:val="19"/>
          <w:u w:val="single" w:color="auto"/>
          <w:color w:val="0070C0"/>
        </w:rPr>
        <w:t>, the Sustainability Structuring Agent, or any of their respective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Related Parties has made any representations or warranties to such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Issuing Bank or such Lender and that no act by the Administrative Agent </w:t>
      </w:r>
      <w:r>
        <w:rPr>
          <w:rFonts w:ascii="Times New Roman" w:cs="Times New Roman" w:eastAsia="Times New Roman" w:hAnsi="Times New Roman"/>
          <w:sz w:val="19"/>
          <w:szCs w:val="19"/>
          <w:u w:val="single" w:color="auto"/>
          <w:color w:val="0070C0"/>
        </w:rPr>
        <w:t>or the Sustainability Structuring Agent</w:t>
      </w:r>
      <w:r>
        <w:rPr>
          <w:rFonts w:ascii="Times New Roman" w:cs="Times New Roman" w:eastAsia="Times New Roman" w:hAnsi="Times New Roman"/>
          <w:sz w:val="19"/>
          <w:szCs w:val="19"/>
          <w:color w:val="000000"/>
        </w:rPr>
        <w:t xml:space="preserve"> hereafter taken, including any review of the affairs of any Borrower, any other Loan Party, any Subsidiary or other Affiliate, shall be deemed to constitute any such representation or warranty by the Administrative Agent </w:t>
      </w:r>
      <w:r>
        <w:rPr>
          <w:rFonts w:ascii="Times New Roman" w:cs="Times New Roman" w:eastAsia="Times New Roman" w:hAnsi="Times New Roman"/>
          <w:sz w:val="19"/>
          <w:szCs w:val="19"/>
          <w:u w:val="single" w:color="auto"/>
          <w:color w:val="0070C0"/>
        </w:rPr>
        <w:t>or the Sustainability Structuring Agent</w:t>
      </w:r>
      <w:r>
        <w:rPr>
          <w:rFonts w:ascii="Times New Roman" w:cs="Times New Roman" w:eastAsia="Times New Roman" w:hAnsi="Times New Roman"/>
          <w:sz w:val="19"/>
          <w:szCs w:val="19"/>
          <w:color w:val="000000"/>
        </w:rPr>
        <w:t xml:space="preserve"> to any Issuing Bank or any Lender. Each of the Lenders and the Issuing Banks acknowledges that it has made its own credit and legal analysis and decision to enter into this Agreement and the transactions contemplated hereby, independently and without reliance upon the Administrative Agent, </w:t>
      </w:r>
      <w:r>
        <w:rPr>
          <w:rFonts w:ascii="Times New Roman" w:cs="Times New Roman" w:eastAsia="Times New Roman" w:hAnsi="Times New Roman"/>
          <w:sz w:val="19"/>
          <w:szCs w:val="19"/>
          <w:u w:val="single" w:color="auto"/>
          <w:color w:val="0070C0"/>
        </w:rPr>
        <w:t>the Sustainability Structuring</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70C0"/>
        </w:rPr>
        <w:t>Agent,</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any other Lender or counsel to the Administrative Agent,</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u w:val="single" w:color="auto"/>
          <w:color w:val="0070C0"/>
        </w:rPr>
        <w:t>the Sustainability Structuring Agent</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or any of their respective Related</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 xml:space="preserve">Parties, and based on the financial statements of the Borrowers, the other Loan Parties, the other Subsidiaries and other Affiliates, and inquiries of such Persons, its independent due diligence of the business and affairs of the Borrowers, the other Loan Parties the other Subsidiaries and other Persons, its review of the Loan Documents, the legal opinions required to be delivered to it hereunder, the advice of its own counsel and such other documents and information as it has deemed appropriate. Each of the Lenders and the Issuing Banks also acknowledges that it will, independently and without reliance upon the Administrative Agent, </w:t>
      </w:r>
      <w:r>
        <w:rPr>
          <w:rFonts w:ascii="Times New Roman" w:cs="Times New Roman" w:eastAsia="Times New Roman" w:hAnsi="Times New Roman"/>
          <w:sz w:val="19"/>
          <w:szCs w:val="19"/>
          <w:u w:val="single" w:color="auto"/>
          <w:color w:val="0070C0"/>
        </w:rPr>
        <w:t>the Sustainability Structuring Agent,</w:t>
      </w:r>
      <w:r>
        <w:rPr>
          <w:rFonts w:ascii="Times New Roman" w:cs="Times New Roman" w:eastAsia="Times New Roman" w:hAnsi="Times New Roman"/>
          <w:sz w:val="19"/>
          <w:szCs w:val="19"/>
          <w:color w:val="000000"/>
        </w:rPr>
        <w:t xml:space="preserve"> any other Lender or counsel to the Administrative Agent</w:t>
      </w:r>
      <w:r>
        <w:rPr>
          <w:rFonts w:ascii="Times New Roman" w:cs="Times New Roman" w:eastAsia="Times New Roman" w:hAnsi="Times New Roman"/>
          <w:sz w:val="19"/>
          <w:szCs w:val="19"/>
          <w:u w:val="single" w:color="auto"/>
          <w:color w:val="0070C0"/>
        </w:rPr>
        <w:t>, the Sustainability Structuring Agent</w:t>
      </w:r>
      <w:r>
        <w:rPr>
          <w:rFonts w:ascii="Times New Roman" w:cs="Times New Roman" w:eastAsia="Times New Roman" w:hAnsi="Times New Roman"/>
          <w:sz w:val="19"/>
          <w:szCs w:val="19"/>
          <w:color w:val="000000"/>
        </w:rPr>
        <w:t xml:space="preserve"> or any of their respective Related Parties, and based on such review, advice, documents and information as it shall deem appropriate at the time, continue to make its own decisions in taking or not taking action under the Loan Documents.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u w:val="single" w:color="auto"/>
          <w:color w:val="0070C0"/>
        </w:rPr>
        <w:t>Neither the</w:t>
      </w:r>
      <w:r>
        <w:rPr>
          <w:rFonts w:ascii="Times New Roman" w:cs="Times New Roman" w:eastAsia="Times New Roman" w:hAnsi="Times New Roman"/>
          <w:sz w:val="19"/>
          <w:szCs w:val="19"/>
          <w:color w:val="000000"/>
        </w:rPr>
        <w:t xml:space="preserve"> Administrative Agent </w:t>
      </w:r>
      <w:r>
        <w:rPr>
          <w:rFonts w:ascii="Times New Roman" w:cs="Times New Roman" w:eastAsia="Times New Roman" w:hAnsi="Times New Roman"/>
          <w:sz w:val="19"/>
          <w:szCs w:val="19"/>
          <w:u w:val="single" w:color="auto"/>
          <w:color w:val="0070C0"/>
        </w:rPr>
        <w:t>nor the Sustainability Structuring Agent</w:t>
      </w:r>
      <w:r>
        <w:rPr>
          <w:rFonts w:ascii="Times New Roman" w:cs="Times New Roman" w:eastAsia="Times New Roman" w:hAnsi="Times New Roman"/>
          <w:sz w:val="19"/>
          <w:szCs w:val="19"/>
          <w:color w:val="000000"/>
        </w:rPr>
        <w:t xml:space="preserve"> shall </w:t>
      </w:r>
      <w:r>
        <w:rPr>
          <w:rFonts w:ascii="Times New Roman" w:cs="Times New Roman" w:eastAsia="Times New Roman" w:hAnsi="Times New Roman"/>
          <w:sz w:val="19"/>
          <w:szCs w:val="19"/>
          <w:color w:val="FF0000"/>
          <w:strike w:val="1"/>
        </w:rPr>
        <w:t>not</w:t>
      </w:r>
      <w:r>
        <w:rPr>
          <w:rFonts w:ascii="Times New Roman" w:cs="Times New Roman" w:eastAsia="Times New Roman" w:hAnsi="Times New Roman"/>
          <w:sz w:val="19"/>
          <w:szCs w:val="19"/>
          <w:color w:val="000000"/>
        </w:rPr>
        <w:t xml:space="preserve"> be required to keep itself informed as to the performance or observance by any Borrower or any other Loan Party of the Loan Documents or any other document referred to or provided for therein or to inspect the properties or books of, or make any other investigation of, any Borrower, any other Loan Party or any other Subsidiary. Except for notices, reports and other documents and information expressly required to be furnished to the Lenders and the Issuing Banks by the Administrative Agent </w:t>
      </w:r>
      <w:r>
        <w:rPr>
          <w:rFonts w:ascii="Times New Roman" w:cs="Times New Roman" w:eastAsia="Times New Roman" w:hAnsi="Times New Roman"/>
          <w:sz w:val="19"/>
          <w:szCs w:val="19"/>
          <w:color w:val="0070C0"/>
        </w:rPr>
        <w:t>or the Sustainability Structuring Agent</w:t>
      </w:r>
      <w:r>
        <w:rPr>
          <w:rFonts w:ascii="Times New Roman" w:cs="Times New Roman" w:eastAsia="Times New Roman" w:hAnsi="Times New Roman"/>
          <w:sz w:val="19"/>
          <w:szCs w:val="19"/>
          <w:color w:val="000000"/>
        </w:rPr>
        <w:t xml:space="preserve"> under this Agreement or any of the other Loan Documents, </w:t>
      </w:r>
      <w:r>
        <w:rPr>
          <w:rFonts w:ascii="Times New Roman" w:cs="Times New Roman" w:eastAsia="Times New Roman" w:hAnsi="Times New Roman"/>
          <w:sz w:val="19"/>
          <w:szCs w:val="19"/>
          <w:u w:val="single" w:color="auto"/>
          <w:color w:val="0070C0"/>
        </w:rPr>
        <w:t>neither</w:t>
      </w:r>
      <w:r>
        <w:rPr>
          <w:rFonts w:ascii="Times New Roman" w:cs="Times New Roman" w:eastAsia="Times New Roman" w:hAnsi="Times New Roman"/>
          <w:sz w:val="19"/>
          <w:szCs w:val="19"/>
          <w:color w:val="000000"/>
        </w:rPr>
        <w:t xml:space="preserve"> the Administrative Agent </w:t>
      </w:r>
      <w:r>
        <w:rPr>
          <w:rFonts w:ascii="Times New Roman" w:cs="Times New Roman" w:eastAsia="Times New Roman" w:hAnsi="Times New Roman"/>
          <w:sz w:val="19"/>
          <w:szCs w:val="19"/>
          <w:u w:val="single" w:color="auto"/>
          <w:color w:val="0070C0"/>
        </w:rPr>
        <w:t>nor the Sustainability Structuring Agent</w:t>
      </w:r>
      <w:r>
        <w:rPr>
          <w:rFonts w:ascii="Times New Roman" w:cs="Times New Roman" w:eastAsia="Times New Roman" w:hAnsi="Times New Roman"/>
          <w:sz w:val="19"/>
          <w:szCs w:val="19"/>
          <w:color w:val="000000"/>
        </w:rPr>
        <w:t xml:space="preserve"> shall have </w:t>
      </w:r>
      <w:r>
        <w:rPr>
          <w:rFonts w:ascii="Times New Roman" w:cs="Times New Roman" w:eastAsia="Times New Roman" w:hAnsi="Times New Roman"/>
          <w:sz w:val="19"/>
          <w:szCs w:val="19"/>
          <w:color w:val="FF0000"/>
          <w:strike w:val="1"/>
        </w:rPr>
        <w:t>no</w:t>
      </w:r>
      <w:r>
        <w:rPr>
          <w:rFonts w:ascii="Times New Roman" w:cs="Times New Roman" w:eastAsia="Times New Roman" w:hAnsi="Times New Roman"/>
          <w:sz w:val="19"/>
          <w:szCs w:val="19"/>
          <w:color w:val="000000"/>
        </w:rPr>
        <w:t xml:space="preserve"> duty or responsibility to provide any Lender or any Issuing Bank with any credit or other information concerning the business, operations, property, financial and other condition or creditworthiness of any Borrower, any other Loan Party or any other Affiliate thereof which may come into possession of the Administrative Agent</w:t>
      </w:r>
      <w:r>
        <w:rPr>
          <w:rFonts w:ascii="Times New Roman" w:cs="Times New Roman" w:eastAsia="Times New Roman" w:hAnsi="Times New Roman"/>
          <w:sz w:val="19"/>
          <w:szCs w:val="19"/>
          <w:u w:val="single" w:color="auto"/>
          <w:color w:val="0070C0"/>
        </w:rPr>
        <w:t>, the Sustainability Structuring Agent</w:t>
      </w:r>
      <w:r>
        <w:rPr>
          <w:rFonts w:ascii="Times New Roman" w:cs="Times New Roman" w:eastAsia="Times New Roman" w:hAnsi="Times New Roman"/>
          <w:sz w:val="19"/>
          <w:szCs w:val="19"/>
          <w:color w:val="000000"/>
        </w:rPr>
        <w:t xml:space="preserve"> or any of </w:t>
      </w:r>
      <w:r>
        <w:rPr>
          <w:rFonts w:ascii="Times New Roman" w:cs="Times New Roman" w:eastAsia="Times New Roman" w:hAnsi="Times New Roman"/>
          <w:sz w:val="19"/>
          <w:szCs w:val="19"/>
          <w:color w:val="FF0000"/>
          <w:strike w:val="1"/>
        </w:rPr>
        <w:t>its</w:t>
      </w:r>
      <w:r>
        <w:rPr>
          <w:rFonts w:ascii="Times New Roman" w:cs="Times New Roman" w:eastAsia="Times New Roman" w:hAnsi="Times New Roman"/>
          <w:sz w:val="19"/>
          <w:szCs w:val="19"/>
          <w:u w:val="single" w:color="auto"/>
          <w:color w:val="0070C0"/>
        </w:rPr>
        <w:t>their respective</w:t>
      </w:r>
      <w:r>
        <w:rPr>
          <w:rFonts w:ascii="Times New Roman" w:cs="Times New Roman" w:eastAsia="Times New Roman" w:hAnsi="Times New Roman"/>
          <w:sz w:val="19"/>
          <w:szCs w:val="19"/>
          <w:color w:val="000000"/>
        </w:rPr>
        <w:t xml:space="preserve"> Related Parties. Each of the Lenders and the Issuing Banks acknowledges that the Administrative Agent’s </w:t>
      </w:r>
      <w:r>
        <w:rPr>
          <w:rFonts w:ascii="Times New Roman" w:cs="Times New Roman" w:eastAsia="Times New Roman" w:hAnsi="Times New Roman"/>
          <w:sz w:val="19"/>
          <w:szCs w:val="19"/>
          <w:u w:val="single" w:color="auto"/>
          <w:color w:val="0070C0"/>
        </w:rPr>
        <w:t>and the Sustainability Structuring Agent’s</w:t>
      </w:r>
      <w:r>
        <w:rPr>
          <w:rFonts w:ascii="Times New Roman" w:cs="Times New Roman" w:eastAsia="Times New Roman" w:hAnsi="Times New Roman"/>
          <w:sz w:val="19"/>
          <w:szCs w:val="19"/>
          <w:color w:val="000000"/>
        </w:rPr>
        <w:t xml:space="preserve"> legal counsel in connection with the transactions contemplated by this Agreement is only acting as counsel to the Administrative Agent </w:t>
      </w:r>
      <w:r>
        <w:rPr>
          <w:rFonts w:ascii="Times New Roman" w:cs="Times New Roman" w:eastAsia="Times New Roman" w:hAnsi="Times New Roman"/>
          <w:sz w:val="19"/>
          <w:szCs w:val="19"/>
          <w:u w:val="single" w:color="auto"/>
          <w:color w:val="0070C0"/>
        </w:rPr>
        <w:t>or the Sustainability Structuring Agent, as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70C0"/>
        </w:rPr>
        <w:t>the case may be,</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and is not acting as counsel to any Lender or any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-939165</wp:posOffset>
            </wp:positionV>
            <wp:extent cx="19869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9869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11.8.</w:t>
      </w:r>
      <w:r>
        <w:rPr>
          <w:sz w:val="20"/>
          <w:szCs w:val="20"/>
          <w:color w:val="auto"/>
        </w:rPr>
        <w:tab/>
      </w:r>
      <w:r>
        <w:rPr>
          <w:rFonts w:ascii="Times New Roman" w:cs="Times New Roman" w:eastAsia="Times New Roman" w:hAnsi="Times New Roman"/>
          <w:sz w:val="19"/>
          <w:szCs w:val="19"/>
          <w:b w:val="1"/>
          <w:bCs w:val="1"/>
          <w:color w:val="auto"/>
        </w:rPr>
        <w:t xml:space="preserve">Successor Administrative Agent </w:t>
      </w:r>
      <w:r>
        <w:rPr>
          <w:rFonts w:ascii="Times New Roman" w:cs="Times New Roman" w:eastAsia="Times New Roman" w:hAnsi="Times New Roman"/>
          <w:sz w:val="19"/>
          <w:szCs w:val="19"/>
          <w:b w:val="1"/>
          <w:bCs w:val="1"/>
          <w:u w:val="single" w:color="auto"/>
          <w:color w:val="0070C0"/>
        </w:rPr>
        <w:t>and Successor Sustainability Structuring Agent</w:t>
      </w:r>
      <w:r>
        <w:rPr>
          <w:rFonts w:ascii="Times New Roman" w:cs="Times New Roman" w:eastAsia="Times New Roman" w:hAnsi="Times New Roman"/>
          <w:sz w:val="19"/>
          <w:szCs w:val="19"/>
          <w:u w:val="single" w:color="auto"/>
          <w:color w:val="0070C0"/>
        </w:rPr>
        <w:t>.</w:t>
      </w:r>
    </w:p>
    <w:p>
      <w:pPr>
        <w:spacing w:after="0" w:line="220" w:lineRule="exact"/>
        <w:rPr>
          <w:sz w:val="20"/>
          <w:szCs w:val="20"/>
          <w:color w:val="auto"/>
        </w:rPr>
      </w:pPr>
    </w:p>
    <w:p>
      <w:pPr>
        <w:jc w:val="both"/>
        <w:ind w:firstLine="656"/>
        <w:spacing w:after="0" w:line="268" w:lineRule="auto"/>
        <w:tabs>
          <w:tab w:leader="none" w:pos="1116" w:val="left"/>
        </w:tabs>
        <w:numPr>
          <w:ilvl w:val="1"/>
          <w:numId w:val="340"/>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color w:val="auto"/>
        </w:rPr>
        <w:t>The Administrative Agent may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70C0"/>
        </w:rPr>
        <w:t>i</w:t>
      </w:r>
      <w:r>
        <w:rPr>
          <w:rFonts w:ascii="Times New Roman" w:cs="Times New Roman" w:eastAsia="Times New Roman" w:hAnsi="Times New Roman"/>
          <w:sz w:val="20"/>
          <w:szCs w:val="20"/>
          <w:color w:val="auto"/>
        </w:rPr>
        <w:t>) resign at any time as Administrative Agent under the Loan Documents by giving written notice thereof to the Lenders and the Borrower Representative or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70C0"/>
        </w:rPr>
        <w:t>ii</w:t>
      </w:r>
      <w:r>
        <w:rPr>
          <w:rFonts w:ascii="Times New Roman" w:cs="Times New Roman" w:eastAsia="Times New Roman" w:hAnsi="Times New Roman"/>
          <w:sz w:val="20"/>
          <w:szCs w:val="20"/>
          <w:color w:val="auto"/>
        </w:rPr>
        <w:t>) be removed as administrative agent by all of the Lenders (other than the Lender then acting as Administrative Agent) and the Borrower Representative upon 30 days’ prior written notice if the</w:t>
      </w: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27" w:lineRule="exact"/>
        <w:rPr>
          <w:rFonts w:ascii="Times New Roman" w:cs="Times New Roman" w:eastAsia="Times New Roman" w:hAnsi="Times New Roman"/>
          <w:sz w:val="20"/>
          <w:szCs w:val="20"/>
          <w:u w:val="single" w:color="auto"/>
          <w:color w:val="0070C0"/>
        </w:rPr>
      </w:pPr>
    </w:p>
    <w:p>
      <w:pPr>
        <w:ind w:left="320" w:hanging="114"/>
        <w:spacing w:after="0"/>
        <w:tabs>
          <w:tab w:leader="none" w:pos="32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125 -</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Administrative Agent (</w:t>
      </w:r>
      <w:r>
        <w:rPr>
          <w:rFonts w:ascii="Times New Roman" w:cs="Times New Roman" w:eastAsia="Times New Roman" w:hAnsi="Times New Roman"/>
          <w:sz w:val="19"/>
          <w:szCs w:val="19"/>
          <w:color w:val="FF0000"/>
          <w:strike w:val="1"/>
        </w:rPr>
        <w:t>i</w:t>
      </w:r>
      <w:r>
        <w:rPr>
          <w:rFonts w:ascii="Times New Roman" w:cs="Times New Roman" w:eastAsia="Times New Roman" w:hAnsi="Times New Roman"/>
          <w:sz w:val="19"/>
          <w:szCs w:val="19"/>
          <w:u w:val="single" w:color="auto"/>
          <w:color w:val="0070C0"/>
        </w:rPr>
        <w:t>A</w:t>
      </w:r>
      <w:r>
        <w:rPr>
          <w:rFonts w:ascii="Times New Roman" w:cs="Times New Roman" w:eastAsia="Times New Roman" w:hAnsi="Times New Roman"/>
          <w:sz w:val="19"/>
          <w:szCs w:val="19"/>
          <w:color w:val="auto"/>
        </w:rPr>
        <w:t>) is found by a court of competent jurisdiction in a final, non-appealable judgment to have committed gross negligence or willful misconduct in the course of performing its duties hereunder or (</w:t>
      </w:r>
      <w:r>
        <w:rPr>
          <w:rFonts w:ascii="Times New Roman" w:cs="Times New Roman" w:eastAsia="Times New Roman" w:hAnsi="Times New Roman"/>
          <w:sz w:val="19"/>
          <w:szCs w:val="19"/>
          <w:color w:val="FF0000"/>
          <w:strike w:val="1"/>
        </w:rPr>
        <w:t>ii</w:t>
      </w:r>
      <w:r>
        <w:rPr>
          <w:rFonts w:ascii="Times New Roman" w:cs="Times New Roman" w:eastAsia="Times New Roman" w:hAnsi="Times New Roman"/>
          <w:sz w:val="19"/>
          <w:szCs w:val="19"/>
          <w:u w:val="single" w:color="auto"/>
          <w:color w:val="0070C0"/>
        </w:rPr>
        <w:t>B</w:t>
      </w:r>
      <w:r>
        <w:rPr>
          <w:rFonts w:ascii="Times New Roman" w:cs="Times New Roman" w:eastAsia="Times New Roman" w:hAnsi="Times New Roman"/>
          <w:sz w:val="19"/>
          <w:szCs w:val="19"/>
          <w:color w:val="auto"/>
        </w:rPr>
        <w:t>)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Upon any such resignation or removal, the Requisite Lenders shall have the right to appoint a successor Administrative Agent which appointment shall, provided no Default or Event of Default exists, be subject to the Borrower Representative’s approval, which approval shall not be unreasonably withheld or delayed (except that the Borrower Representative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w:t>
      </w:r>
      <w:r>
        <w:rPr>
          <w:rFonts w:ascii="Times New Roman" w:cs="Times New Roman" w:eastAsia="Times New Roman" w:hAnsi="Times New Roman"/>
          <w:sz w:val="19"/>
          <w:szCs w:val="19"/>
          <w:color w:val="FF0000"/>
          <w:strike w:val="1"/>
        </w:rPr>
        <w:t>a</w:t>
      </w:r>
      <w:r>
        <w:rPr>
          <w:rFonts w:ascii="Times New Roman" w:cs="Times New Roman" w:eastAsia="Times New Roman" w:hAnsi="Times New Roman"/>
          <w:sz w:val="19"/>
          <w:szCs w:val="19"/>
          <w:u w:val="single" w:color="auto"/>
          <w:color w:val="0070C0"/>
        </w:rPr>
        <w:t>I</w:t>
      </w:r>
      <w:r>
        <w:rPr>
          <w:rFonts w:ascii="Times New Roman" w:cs="Times New Roman" w:eastAsia="Times New Roman" w:hAnsi="Times New Roman"/>
          <w:sz w:val="19"/>
          <w:szCs w:val="19"/>
          <w:color w:val="auto"/>
        </w:rPr>
        <w:t>) the resigning Administrative Agent’s giving of notice of resignation, or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19"/>
          <w:szCs w:val="19"/>
          <w:u w:val="single" w:color="auto"/>
          <w:color w:val="0070C0"/>
        </w:rPr>
        <w:t>II</w:t>
      </w:r>
      <w:r>
        <w:rPr>
          <w:rFonts w:ascii="Times New Roman" w:cs="Times New Roman" w:eastAsia="Times New Roman" w:hAnsi="Times New Roman"/>
          <w:sz w:val="19"/>
          <w:szCs w:val="19"/>
          <w:color w:val="auto"/>
        </w:rPr>
        <w:t xml:space="preserve">) the Lenders’ giving of notice of removal, then the resigning or removed Administrative Agent may, on behalf of the Lender Parties, appoint a successor Administrative Agent, which shall be a Lender, if any Lender shall be willing to serve, and otherwise shall be an Eligible Assignee;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shall notify the Borrower Representative and the Lenders that no Lender or Eligible Assignee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and each Issuing Bank directly, until such time as a successor Administrative Agent has been appointed as provided for above in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such Lenders and Issuing Banks so acting directly shall be and be deemed to be protected by all indemnities and other provisions herein for the benefit and protection of the Administrative Agent as if each such Lender or such Issuing Bank were itself the Administrative Agent. Upon the acceptance of any appointment as Administrative Agent hereunder by a successor Administrative Agent, such successor Administrative Agent shall thereupon succeed to and become vested with all the rights, powers, privileges and duties of the current Administrative Agent, and the current Administrative Agent shall be discharged from its duties and obligations under the Loan Documents. Such successor Administrative Agent shall issue letters of credit in substitution for the Letters of Credit, if any, outstanding at the time of such succession or shall make other arrangements satisfactory to the current Administrative Agent, in either case, to assume effectively the obligations of the current Administrative Agent with respect to such Letters of Credit. Any resignation by the Administrative Agent shall also constitute the resignation as an Issuing Bank </w:t>
      </w:r>
      <w:r>
        <w:rPr>
          <w:rFonts w:ascii="Times New Roman" w:cs="Times New Roman" w:eastAsia="Times New Roman" w:hAnsi="Times New Roman"/>
          <w:sz w:val="19"/>
          <w:szCs w:val="19"/>
          <w:color w:val="FF0000"/>
        </w:rPr>
        <w:t>and as a Swingline Lender</w:t>
      </w:r>
      <w:r>
        <w:rPr>
          <w:rFonts w:ascii="Times New Roman" w:cs="Times New Roman" w:eastAsia="Times New Roman" w:hAnsi="Times New Roman"/>
          <w:sz w:val="19"/>
          <w:szCs w:val="19"/>
          <w:color w:val="auto"/>
        </w:rPr>
        <w:t xml:space="preserve"> by the Lender then acting as Administrative Agent (the “Resigning Lender”). Upon the acceptance of a successor’s appointment as Administrative Agent hereunder (i) the Resigning Lender shall be discharged from all duties and obligations of an Issuing Bank </w:t>
      </w:r>
      <w:r>
        <w:rPr>
          <w:rFonts w:ascii="Times New Roman" w:cs="Times New Roman" w:eastAsia="Times New Roman" w:hAnsi="Times New Roman"/>
          <w:sz w:val="19"/>
          <w:szCs w:val="19"/>
          <w:color w:val="FF0000"/>
          <w:strike w:val="1"/>
        </w:rPr>
        <w:t>and a Swingline Lender</w:t>
      </w:r>
      <w:r>
        <w:rPr>
          <w:rFonts w:ascii="Times New Roman" w:cs="Times New Roman" w:eastAsia="Times New Roman" w:hAnsi="Times New Roman"/>
          <w:sz w:val="19"/>
          <w:szCs w:val="19"/>
          <w:color w:val="auto"/>
        </w:rPr>
        <w:t xml:space="preserve"> hereunder and under the other Loan Documents and (ii) a successor Issuing Bank shall issue letters of credit in substitution for all Letters of Credit issued by the Resigning Lender as a Issuing Bank outstanding at the time of such succession (which letters of credit issued in substitutions shall be deemed to be Letters of Credit issued hereunder) or make other arrangements satisfactory to the Resigning Lender to effectively assume the obligations of the Resigning Lender with respect to such Letters of Credit. After any Administrative Agent’s resignation or removal hereunder as Administrative Agent, the provisions of this Article XI. shall continue to inure to its benefit as to any actions taken or omitted to be taken by it while it was Administrative Agent under the Loan Documents. Notwithstanding anything contained herein to the contrary, the Administrative Agent may assign its rights and duties under the Loan Documents to any of its Affiliates by giving the Borrower Representative and each Lender prior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5427345</wp:posOffset>
            </wp:positionH>
            <wp:positionV relativeFrom="paragraph">
              <wp:posOffset>-1296670</wp:posOffset>
            </wp:positionV>
            <wp:extent cx="13639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- 126 -</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189" w:lineRule="exact"/>
        <w:rPr>
          <w:sz w:val="20"/>
          <w:szCs w:val="20"/>
          <w:color w:val="auto"/>
        </w:rPr>
      </w:pPr>
    </w:p>
    <w:p>
      <w:pPr>
        <w:jc w:val="both"/>
        <w:ind w:firstLine="656"/>
        <w:spacing w:after="0" w:line="258" w:lineRule="auto"/>
        <w:tabs>
          <w:tab w:leader="none" w:pos="1144" w:val="left"/>
        </w:tabs>
        <w:numPr>
          <w:ilvl w:val="0"/>
          <w:numId w:val="341"/>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The Sustainability Structuring Agent may resign, and its engagement as such may be terminated, by giving at least 30 days prior written notice thereof to the Borrower Representative and the Lenders. The Sustainability Structuring Agent’s engagement hereunder may also be terminated by the Borrowers at any time upon not less than 30 days’ prior written notice by the Borrower Representative to the Sustainability Structuring Agent.</w:t>
      </w:r>
    </w:p>
    <w:p>
      <w:pPr>
        <w:spacing w:after="0" w:line="1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11.9.</w:t>
      </w:r>
      <w:r>
        <w:rPr>
          <w:sz w:val="20"/>
          <w:szCs w:val="20"/>
          <w:color w:val="auto"/>
        </w:rPr>
        <w:tab/>
      </w:r>
      <w:r>
        <w:rPr>
          <w:rFonts w:ascii="Times New Roman" w:cs="Times New Roman" w:eastAsia="Times New Roman" w:hAnsi="Times New Roman"/>
          <w:sz w:val="19"/>
          <w:szCs w:val="19"/>
          <w:b w:val="1"/>
          <w:bCs w:val="1"/>
          <w:color w:val="auto"/>
        </w:rPr>
        <w:t>Titled Agents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Titled Agent, in such capacity, assumes any responsibility or obligation hereunder, including, without limitation, for servicing, enforcement or collection of any of the Loans, or any duties as an agent hereunder for the Lenders. The titles given to the Titled Agents are solely honorific and imply no fiduciary responsibility on the part of the Titled Agents to the Administrative Agent, any Lender, any Issuing Bank or any Borrower or any other Loan Party and the use of such titles does not impose on the Titled Agents any duties or obligations greater than those of any other Lender.</w:t>
      </w:r>
    </w:p>
    <w:p>
      <w:pPr>
        <w:spacing w:after="0" w:line="1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11.10.</w:t>
      </w:r>
      <w:r>
        <w:rPr>
          <w:sz w:val="20"/>
          <w:szCs w:val="20"/>
          <w:color w:val="auto"/>
        </w:rPr>
        <w:tab/>
      </w:r>
      <w:r>
        <w:rPr>
          <w:rFonts w:ascii="Times New Roman" w:cs="Times New Roman" w:eastAsia="Times New Roman" w:hAnsi="Times New Roman"/>
          <w:sz w:val="19"/>
          <w:szCs w:val="19"/>
          <w:b w:val="1"/>
          <w:bCs w:val="1"/>
          <w:color w:val="auto"/>
        </w:rPr>
        <w:t>Specified Derivatives Contracts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Except as expressly provided in Section 12.6.(c), no Specified Derivatives Provider that obtains the benefits of Section 10.5. by virtue of the provisions hereof or of any Loan Document shall have any right to notice of any action or to consent to, direct or object to any action hereunder or under any other Loan Document or otherwise in respect of any Loan Document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Specified Derivatives Contracts unless the Administrative Agent has received written notice of such Specified Derivatives Contracts, together with such supporting documentation as the Administrative Agent may request, from the applicable Specified Derivatives Provider.</w:t>
      </w:r>
    </w:p>
    <w:p>
      <w:pPr>
        <w:spacing w:after="0" w:line="17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11.11.</w:t>
      </w:r>
      <w:r>
        <w:rPr>
          <w:sz w:val="20"/>
          <w:szCs w:val="20"/>
          <w:color w:val="auto"/>
        </w:rPr>
        <w:tab/>
      </w:r>
      <w:r>
        <w:rPr>
          <w:rFonts w:ascii="Times New Roman" w:cs="Times New Roman" w:eastAsia="Times New Roman" w:hAnsi="Times New Roman"/>
          <w:sz w:val="19"/>
          <w:szCs w:val="19"/>
          <w:b w:val="1"/>
          <w:bCs w:val="1"/>
          <w:color w:val="auto"/>
        </w:rPr>
        <w:t>Erroneous Payments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100" w:hanging="444"/>
        <w:spacing w:after="0"/>
        <w:tabs>
          <w:tab w:leader="none" w:pos="1100" w:val="left"/>
        </w:tabs>
        <w:numPr>
          <w:ilvl w:val="1"/>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each Issuing Bank, each Specified Derivatives Provider and any other party hereto hereby severally agrees that if</w:t>
      </w:r>
    </w:p>
    <w:p>
      <w:pPr>
        <w:spacing w:after="0" w:line="33" w:lineRule="exact"/>
        <w:rPr>
          <w:rFonts w:ascii="Times New Roman" w:cs="Times New Roman" w:eastAsia="Times New Roman" w:hAnsi="Times New Roman"/>
          <w:sz w:val="19"/>
          <w:szCs w:val="19"/>
          <w:color w:val="auto"/>
        </w:rPr>
      </w:pPr>
    </w:p>
    <w:p>
      <w:pPr>
        <w:ind w:left="260" w:hanging="252"/>
        <w:spacing w:after="0"/>
        <w:tabs>
          <w:tab w:leader="none" w:pos="260" w:val="left"/>
        </w:tabs>
        <w:numPr>
          <w:ilvl w:val="0"/>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notifies (which such notice shall be conclusive absent manifest error) such Lender or Issuing Bank or Specified</w:t>
      </w:r>
    </w:p>
    <w:p>
      <w:pPr>
        <w:spacing w:after="0" w:line="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Derivatives Provider (or any Related Party thereof) or any other Person that has received funds from the Administrative Agent or any of its Affiliates, either for its own account or on behalf of a Lender, Issuing Bank or Specified Derivatives Provider (each such recipient, a “Payment Recipient”)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11.11(a), whether received as a payment, prepayment or repayment of principal, interest, fees, distribution or otherwise; individually and collectively, an “Erroneous Payment”), then, in each case, such Payment Recipient is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- 127 -</w:t>
      </w:r>
    </w:p>
    <w:p>
      <w:pPr>
        <w:sectPr>
          <w:pgSz w:w="11900" w:h="16838" w:orient="portrait"/>
          <w:cols w:equalWidth="0" w:num="1">
            <w:col w:w="11240"/>
          </w:cols>
          <w:pgMar w:left="320" w:top="1440" w:right="339" w:bottom="1440" w:gutter="0" w:footer="0" w:header="0"/>
        </w:sectPr>
      </w:pPr>
    </w:p>
    <w:bookmarkStart w:id="464" w:name="page465"/>
    <w:bookmarkEnd w:id="46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knowledge of such error at the time of its receipt of such Erroneous Payment; provided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92" w:lineRule="exact"/>
        <w:rPr>
          <w:sz w:val="20"/>
          <w:szCs w:val="20"/>
          <w:color w:val="auto"/>
        </w:rPr>
      </w:pPr>
    </w:p>
    <w:p>
      <w:pPr>
        <w:ind w:right="20" w:firstLine="656"/>
        <w:spacing w:after="0" w:line="283" w:lineRule="auto"/>
        <w:tabs>
          <w:tab w:leader="none" w:pos="1075"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Payment Recipient agrees that, in the case of clause (a)(ii) above, it shall promptly notify the Administrative Agent in writing of such occurrence.</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99"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79" w:lineRule="exact"/>
        <w:rPr>
          <w:rFonts w:ascii="Times New Roman" w:cs="Times New Roman" w:eastAsia="Times New Roman" w:hAnsi="Times New Roman"/>
          <w:sz w:val="20"/>
          <w:szCs w:val="20"/>
          <w:color w:val="auto"/>
        </w:rPr>
      </w:pPr>
    </w:p>
    <w:p>
      <w:pPr>
        <w:jc w:val="both"/>
        <w:ind w:firstLine="656"/>
        <w:spacing w:after="0" w:line="250" w:lineRule="auto"/>
        <w:tabs>
          <w:tab w:leader="none" w:pos="1108"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“Erroneous Payment Return Deficiency”),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“Erroneous Payment Impacted Class”)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12.5 and (3) the Administrative Agent may reflect such assignments in the Register without further consent or action by any other Person.</w:t>
      </w:r>
    </w:p>
    <w:p>
      <w:pPr>
        <w:spacing w:after="0" w:line="18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53"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8"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128 -</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or distributable by the Administrative Agent to such Payment Recipient from any source, against any amount due to the Administrative Agent under this Section 11.11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76" w:lineRule="exact"/>
        <w:rPr>
          <w:sz w:val="20"/>
          <w:szCs w:val="20"/>
          <w:color w:val="auto"/>
        </w:rPr>
      </w:pPr>
    </w:p>
    <w:p>
      <w:pPr>
        <w:jc w:val="both"/>
        <w:ind w:right="20" w:firstLine="656"/>
        <w:spacing w:after="0" w:line="268" w:lineRule="auto"/>
        <w:tabs>
          <w:tab w:leader="none" w:pos="1103"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11.11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61" w:lineRule="exact"/>
        <w:rPr>
          <w:rFonts w:ascii="Times New Roman" w:cs="Times New Roman" w:eastAsia="Times New Roman" w:hAnsi="Times New Roman"/>
          <w:sz w:val="20"/>
          <w:szCs w:val="20"/>
          <w:color w:val="auto"/>
        </w:rPr>
      </w:pPr>
    </w:p>
    <w:p>
      <w:pPr>
        <w:ind w:right="20" w:firstLine="656"/>
        <w:spacing w:after="0" w:line="283" w:lineRule="auto"/>
        <w:tabs>
          <w:tab w:leader="none" w:pos="114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Section 11.11 will constitute a waiver or release of any claim of the Administrative Agent hereunder arising from any Payment Recipient’s receipt of an Erroneous Payment.</w:t>
      </w:r>
    </w:p>
    <w:p>
      <w:pPr>
        <w:spacing w:after="0" w:line="14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0070C0"/>
        </w:rPr>
        <w:t>Section 11.12.</w:t>
      </w:r>
      <w:r>
        <w:rPr>
          <w:sz w:val="20"/>
          <w:szCs w:val="20"/>
          <w:color w:val="auto"/>
        </w:rPr>
        <w:tab/>
      </w:r>
      <w:r>
        <w:rPr>
          <w:rFonts w:ascii="Times New Roman" w:cs="Times New Roman" w:eastAsia="Times New Roman" w:hAnsi="Times New Roman"/>
          <w:sz w:val="19"/>
          <w:szCs w:val="19"/>
          <w:b w:val="1"/>
          <w:bCs w:val="1"/>
          <w:color w:val="0070C0"/>
        </w:rPr>
        <w:t>Sustainability Structuring Agent</w:t>
      </w:r>
      <w:r>
        <w:rPr>
          <w:rFonts w:ascii="Times New Roman" w:cs="Times New Roman" w:eastAsia="Times New Roman" w:hAnsi="Times New Roman"/>
          <w:sz w:val="19"/>
          <w:szCs w:val="19"/>
          <w:color w:val="0070C0"/>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0070C0"/>
        </w:rPr>
        <w:t>The Sustainability Structuring Agent will (i) assist the Borrowers in determining the KPI Metrics Pricing Provisions in connection with the KPI Metrics Amendment and (ii) assist the Borrowers in preparing informational materials focused on environmental targets to be used in connection with the KPI Metrics Amendment, in each case, based upon the information provided by the Borrowers with respect to the applicable KPIs selected in accordance with Section 12.6(f); provided that the Sustainability Structuring Agent (x) shall have no duty to ascertain, inquire into or otherwise independently verify any such information and (y) shall have no responsibility for (and shall not be liable for) the completeness or accuracy of any such information.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 MISCELLANEOUS</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12.1.</w:t>
        <w:tab/>
        <w:t>Notices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otherwise provided herein (including without limitation as provided in Section 8.5.), communications provided for hereunder shall be in writing and shall be mailed, telecopied, or delivered as follows: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any Borrower:</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FF0000"/>
          <w:strike w:val="1"/>
        </w:rPr>
        <w:t>420 Lexington Avenue</w:t>
      </w:r>
      <w:r>
        <w:rPr>
          <w:rFonts w:ascii="Times New Roman" w:cs="Times New Roman" w:eastAsia="Times New Roman" w:hAnsi="Times New Roman"/>
          <w:sz w:val="20"/>
          <w:szCs w:val="20"/>
          <w:color w:val="0070C0"/>
        </w:rPr>
        <w:t>One Vanderbilt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-20320</wp:posOffset>
            </wp:positionV>
            <wp:extent cx="7639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63905" cy="8890"/>
                    </a:xfrm>
                    <a:prstGeom prst="rect">
                      <a:avLst/>
                    </a:prstGeom>
                    <a:noFill/>
                  </pic:spPr>
                </pic:pic>
              </a:graphicData>
            </a:graphic>
          </wp:anchor>
        </w:drawing>
      </w:r>
    </w:p>
    <w:p>
      <w:pPr>
        <w:ind w:left="1960"/>
        <w:spacing w:after="0"/>
        <w:rPr>
          <w:sz w:val="20"/>
          <w:szCs w:val="20"/>
          <w:color w:val="auto"/>
        </w:rPr>
      </w:pPr>
      <w:r>
        <w:rPr>
          <w:rFonts w:ascii="Times New Roman" w:cs="Times New Roman" w:eastAsia="Times New Roman" w:hAnsi="Times New Roman"/>
          <w:sz w:val="20"/>
          <w:szCs w:val="20"/>
          <w:color w:val="auto"/>
        </w:rPr>
        <w:t xml:space="preserve">New York, New York </w:t>
      </w:r>
      <w:r>
        <w:rPr>
          <w:rFonts w:ascii="Times New Roman" w:cs="Times New Roman" w:eastAsia="Times New Roman" w:hAnsi="Times New Roman"/>
          <w:sz w:val="20"/>
          <w:szCs w:val="20"/>
          <w:color w:val="FF0000"/>
          <w:strike w:val="1"/>
        </w:rPr>
        <w:t>10170</w:t>
      </w:r>
      <w:r>
        <w:rPr>
          <w:rFonts w:ascii="Times New Roman" w:cs="Times New Roman" w:eastAsia="Times New Roman" w:hAnsi="Times New Roman"/>
          <w:sz w:val="20"/>
          <w:szCs w:val="20"/>
          <w:u w:val="single" w:color="auto"/>
          <w:color w:val="0070C0"/>
        </w:rPr>
        <w:t>10017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6" w:lineRule="exact"/>
        <w:rPr>
          <w:sz w:val="20"/>
          <w:szCs w:val="20"/>
          <w:color w:val="auto"/>
        </w:rPr>
      </w:pPr>
    </w:p>
    <w:p>
      <w:pPr>
        <w:ind w:left="1960"/>
        <w:spacing w:after="0"/>
        <w:tabs>
          <w:tab w:leader="none" w:pos="3600" w:val="left"/>
        </w:tabs>
        <w:rPr>
          <w:sz w:val="20"/>
          <w:szCs w:val="20"/>
          <w:color w:val="auto"/>
        </w:rPr>
      </w:pPr>
      <w:r>
        <w:rPr>
          <w:rFonts w:ascii="Times New Roman" w:cs="Times New Roman" w:eastAsia="Times New Roman" w:hAnsi="Times New Roman"/>
          <w:sz w:val="20"/>
          <w:szCs w:val="20"/>
          <w:color w:val="auto"/>
        </w:rPr>
        <w:t>Telecopy Number:</w:t>
      </w:r>
      <w:r>
        <w:rPr>
          <w:sz w:val="20"/>
          <w:szCs w:val="20"/>
          <w:color w:val="auto"/>
        </w:rPr>
        <w:tab/>
      </w:r>
      <w:r>
        <w:rPr>
          <w:rFonts w:ascii="Times New Roman" w:cs="Times New Roman" w:eastAsia="Times New Roman" w:hAnsi="Times New Roman"/>
          <w:sz w:val="19"/>
          <w:szCs w:val="19"/>
          <w:color w:val="auto"/>
        </w:rPr>
        <w:t>(212) 356-4137</w:t>
      </w:r>
    </w:p>
    <w:p>
      <w:pPr>
        <w:spacing w:after="0" w:line="6" w:lineRule="exact"/>
        <w:rPr>
          <w:sz w:val="20"/>
          <w:szCs w:val="20"/>
          <w:color w:val="auto"/>
        </w:rPr>
      </w:pPr>
    </w:p>
    <w:p>
      <w:pPr>
        <w:ind w:left="1960"/>
        <w:spacing w:after="0"/>
        <w:tabs>
          <w:tab w:leader="none" w:pos="3700" w:val="left"/>
        </w:tabs>
        <w:rPr>
          <w:sz w:val="20"/>
          <w:szCs w:val="20"/>
          <w:color w:val="auto"/>
        </w:rPr>
      </w:pPr>
      <w:r>
        <w:rPr>
          <w:rFonts w:ascii="Times New Roman" w:cs="Times New Roman" w:eastAsia="Times New Roman" w:hAnsi="Times New Roman"/>
          <w:sz w:val="20"/>
          <w:szCs w:val="20"/>
          <w:color w:val="auto"/>
        </w:rPr>
        <w:t>Telephone Number:</w:t>
      </w:r>
      <w:r>
        <w:rPr>
          <w:sz w:val="20"/>
          <w:szCs w:val="20"/>
          <w:color w:val="auto"/>
        </w:rPr>
        <w:tab/>
      </w:r>
      <w:r>
        <w:rPr>
          <w:rFonts w:ascii="Times New Roman" w:cs="Times New Roman" w:eastAsia="Times New Roman" w:hAnsi="Times New Roman"/>
          <w:sz w:val="19"/>
          <w:szCs w:val="19"/>
          <w:color w:val="auto"/>
        </w:rPr>
        <w:t>(212) 216-2700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- 129 -</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With copies to:</w:t>
      </w:r>
    </w:p>
    <w:p>
      <w:pPr>
        <w:spacing w:after="0" w:line="2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420 Lexington Avenue</w:t>
      </w:r>
      <w:r>
        <w:rPr>
          <w:rFonts w:ascii="Times New Roman" w:cs="Times New Roman" w:eastAsia="Times New Roman" w:hAnsi="Times New Roman"/>
          <w:sz w:val="20"/>
          <w:szCs w:val="20"/>
          <w:color w:val="0070C0"/>
        </w:rPr>
        <w:t>One Vanderbilt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-24765</wp:posOffset>
            </wp:positionV>
            <wp:extent cx="7639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63905" cy="825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20"/>
          <w:szCs w:val="20"/>
          <w:color w:val="auto"/>
        </w:rPr>
        <w:t xml:space="preserve">New York, New York </w:t>
      </w:r>
      <w:r>
        <w:rPr>
          <w:rFonts w:ascii="Times New Roman" w:cs="Times New Roman" w:eastAsia="Times New Roman" w:hAnsi="Times New Roman"/>
          <w:sz w:val="20"/>
          <w:szCs w:val="20"/>
          <w:color w:val="FF0000"/>
          <w:strike w:val="1"/>
        </w:rPr>
        <w:t>10170</w:t>
      </w:r>
      <w:r>
        <w:rPr>
          <w:rFonts w:ascii="Times New Roman" w:cs="Times New Roman" w:eastAsia="Times New Roman" w:hAnsi="Times New Roman"/>
          <w:sz w:val="20"/>
          <w:szCs w:val="20"/>
          <w:u w:val="single" w:color="auto"/>
          <w:color w:val="0070C0"/>
        </w:rPr>
        <w:t>10017</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6" w:lineRule="exact"/>
        <w:rPr>
          <w:sz w:val="20"/>
          <w:szCs w:val="20"/>
          <w:color w:val="auto"/>
        </w:rPr>
      </w:pPr>
    </w:p>
    <w:p>
      <w:pPr>
        <w:ind w:left="1760"/>
        <w:spacing w:after="0"/>
        <w:tabs>
          <w:tab w:leader="none" w:pos="3400" w:val="left"/>
        </w:tabs>
        <w:rPr>
          <w:sz w:val="20"/>
          <w:szCs w:val="20"/>
          <w:color w:val="auto"/>
        </w:rPr>
      </w:pPr>
      <w:r>
        <w:rPr>
          <w:rFonts w:ascii="Times New Roman" w:cs="Times New Roman" w:eastAsia="Times New Roman" w:hAnsi="Times New Roman"/>
          <w:sz w:val="20"/>
          <w:szCs w:val="20"/>
          <w:color w:val="auto"/>
        </w:rPr>
        <w:t>Telecopy Number:</w:t>
      </w:r>
      <w:r>
        <w:rPr>
          <w:sz w:val="20"/>
          <w:szCs w:val="20"/>
          <w:color w:val="auto"/>
        </w:rPr>
        <w:tab/>
      </w:r>
      <w:r>
        <w:rPr>
          <w:rFonts w:ascii="Times New Roman" w:cs="Times New Roman" w:eastAsia="Times New Roman" w:hAnsi="Times New Roman"/>
          <w:sz w:val="19"/>
          <w:szCs w:val="19"/>
          <w:color w:val="auto"/>
        </w:rPr>
        <w:t>(212) 216-1776</w:t>
      </w:r>
    </w:p>
    <w:p>
      <w:pPr>
        <w:spacing w:after="0" w:line="13" w:lineRule="exact"/>
        <w:rPr>
          <w:sz w:val="20"/>
          <w:szCs w:val="20"/>
          <w:color w:val="auto"/>
        </w:rPr>
      </w:pPr>
    </w:p>
    <w:p>
      <w:pPr>
        <w:ind w:left="1760"/>
        <w:spacing w:after="0"/>
        <w:tabs>
          <w:tab w:leader="none" w:pos="3500" w:val="left"/>
        </w:tabs>
        <w:rPr>
          <w:sz w:val="20"/>
          <w:szCs w:val="20"/>
          <w:color w:val="auto"/>
        </w:rPr>
      </w:pPr>
      <w:r>
        <w:rPr>
          <w:rFonts w:ascii="Times New Roman" w:cs="Times New Roman" w:eastAsia="Times New Roman" w:hAnsi="Times New Roman"/>
          <w:sz w:val="20"/>
          <w:szCs w:val="20"/>
          <w:color w:val="auto"/>
        </w:rPr>
        <w:t>Telephone Number:</w:t>
      </w:r>
      <w:r>
        <w:rPr>
          <w:sz w:val="20"/>
          <w:szCs w:val="20"/>
          <w:color w:val="auto"/>
        </w:rPr>
        <w:tab/>
      </w:r>
      <w:r>
        <w:rPr>
          <w:rFonts w:ascii="Times New Roman" w:cs="Times New Roman" w:eastAsia="Times New Roman" w:hAnsi="Times New Roman"/>
          <w:sz w:val="19"/>
          <w:szCs w:val="19"/>
          <w:color w:val="auto"/>
        </w:rPr>
        <w:t>(212) 216-2700</w:t>
      </w:r>
    </w:p>
    <w:p>
      <w:pPr>
        <w:spacing w:after="0" w:line="2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SL Green Realty Corp.</w:t>
      </w: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420 Lexington Avenue</w:t>
      </w:r>
      <w:r>
        <w:rPr>
          <w:rFonts w:ascii="Times New Roman" w:cs="Times New Roman" w:eastAsia="Times New Roman" w:hAnsi="Times New Roman"/>
          <w:sz w:val="20"/>
          <w:szCs w:val="20"/>
          <w:color w:val="0070C0"/>
        </w:rPr>
        <w:t>One Vanderbilt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-24765</wp:posOffset>
            </wp:positionV>
            <wp:extent cx="7639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63905" cy="825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20"/>
          <w:szCs w:val="20"/>
          <w:color w:val="auto"/>
        </w:rPr>
        <w:t xml:space="preserve">New York, New York </w:t>
      </w:r>
      <w:r>
        <w:rPr>
          <w:rFonts w:ascii="Times New Roman" w:cs="Times New Roman" w:eastAsia="Times New Roman" w:hAnsi="Times New Roman"/>
          <w:sz w:val="20"/>
          <w:szCs w:val="20"/>
          <w:color w:val="FF0000"/>
          <w:strike w:val="1"/>
        </w:rPr>
        <w:t>10170</w:t>
      </w:r>
      <w:r>
        <w:rPr>
          <w:rFonts w:ascii="Times New Roman" w:cs="Times New Roman" w:eastAsia="Times New Roman" w:hAnsi="Times New Roman"/>
          <w:sz w:val="20"/>
          <w:szCs w:val="20"/>
          <w:u w:val="single" w:color="auto"/>
          <w:color w:val="0070C0"/>
        </w:rPr>
        <w:t>10017</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Attention: Chief Legal Officer</w:t>
      </w:r>
    </w:p>
    <w:p>
      <w:pPr>
        <w:spacing w:after="0" w:line="6" w:lineRule="exact"/>
        <w:rPr>
          <w:sz w:val="20"/>
          <w:szCs w:val="20"/>
          <w:color w:val="auto"/>
        </w:rPr>
      </w:pPr>
    </w:p>
    <w:p>
      <w:pPr>
        <w:ind w:left="1760"/>
        <w:spacing w:after="0"/>
        <w:tabs>
          <w:tab w:leader="none" w:pos="3400" w:val="left"/>
        </w:tabs>
        <w:rPr>
          <w:sz w:val="20"/>
          <w:szCs w:val="20"/>
          <w:color w:val="auto"/>
        </w:rPr>
      </w:pPr>
      <w:r>
        <w:rPr>
          <w:rFonts w:ascii="Times New Roman" w:cs="Times New Roman" w:eastAsia="Times New Roman" w:hAnsi="Times New Roman"/>
          <w:sz w:val="20"/>
          <w:szCs w:val="20"/>
          <w:color w:val="auto"/>
        </w:rPr>
        <w:t>Telecopy Number:</w:t>
      </w:r>
      <w:r>
        <w:rPr>
          <w:sz w:val="20"/>
          <w:szCs w:val="20"/>
          <w:color w:val="auto"/>
        </w:rPr>
        <w:tab/>
      </w:r>
      <w:r>
        <w:rPr>
          <w:rFonts w:ascii="Times New Roman" w:cs="Times New Roman" w:eastAsia="Times New Roman" w:hAnsi="Times New Roman"/>
          <w:sz w:val="19"/>
          <w:szCs w:val="19"/>
          <w:color w:val="auto"/>
        </w:rPr>
        <w:t>(212) 356-4135</w:t>
      </w:r>
    </w:p>
    <w:p>
      <w:pPr>
        <w:spacing w:after="0" w:line="6" w:lineRule="exact"/>
        <w:rPr>
          <w:sz w:val="20"/>
          <w:szCs w:val="20"/>
          <w:color w:val="auto"/>
        </w:rPr>
      </w:pPr>
    </w:p>
    <w:p>
      <w:pPr>
        <w:ind w:left="1760"/>
        <w:spacing w:after="0"/>
        <w:tabs>
          <w:tab w:leader="none" w:pos="3500" w:val="left"/>
        </w:tabs>
        <w:rPr>
          <w:sz w:val="20"/>
          <w:szCs w:val="20"/>
          <w:color w:val="auto"/>
        </w:rPr>
      </w:pPr>
      <w:r>
        <w:rPr>
          <w:rFonts w:ascii="Times New Roman" w:cs="Times New Roman" w:eastAsia="Times New Roman" w:hAnsi="Times New Roman"/>
          <w:sz w:val="20"/>
          <w:szCs w:val="20"/>
          <w:color w:val="auto"/>
        </w:rPr>
        <w:t>Telephone Number:</w:t>
      </w:r>
      <w:r>
        <w:rPr>
          <w:sz w:val="20"/>
          <w:szCs w:val="20"/>
          <w:color w:val="auto"/>
        </w:rPr>
        <w:tab/>
      </w:r>
      <w:r>
        <w:rPr>
          <w:rFonts w:ascii="Times New Roman" w:cs="Times New Roman" w:eastAsia="Times New Roman" w:hAnsi="Times New Roman"/>
          <w:sz w:val="19"/>
          <w:szCs w:val="19"/>
          <w:color w:val="auto"/>
        </w:rPr>
        <w:t>(212) 216-2700</w:t>
      </w:r>
    </w:p>
    <w:p>
      <w:pPr>
        <w:spacing w:after="0" w:line="2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If to the Administrative Agent:</w:t>
      </w:r>
    </w:p>
    <w:p>
      <w:pPr>
        <w:spacing w:after="0" w:line="2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4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 xml:space="preserve">550 S. Tryon Street, </w:t>
      </w:r>
      <w:r>
        <w:rPr>
          <w:rFonts w:ascii="Times New Roman" w:cs="Times New Roman" w:eastAsia="Times New Roman" w:hAnsi="Times New Roman"/>
          <w:sz w:val="20"/>
          <w:szCs w:val="20"/>
          <w:color w:val="FF0000"/>
          <w:strike w:val="1"/>
        </w:rPr>
        <w:t>14th</w:t>
      </w:r>
      <w:r>
        <w:rPr>
          <w:rFonts w:ascii="Times New Roman" w:cs="Times New Roman" w:eastAsia="Times New Roman" w:hAnsi="Times New Roman"/>
          <w:sz w:val="20"/>
          <w:szCs w:val="20"/>
          <w:u w:val="single" w:color="auto"/>
          <w:color w:val="0070C0"/>
        </w:rPr>
        <w:t>22nd</w:t>
      </w:r>
      <w:r>
        <w:rPr>
          <w:rFonts w:ascii="Times New Roman" w:cs="Times New Roman" w:eastAsia="Times New Roman" w:hAnsi="Times New Roman"/>
          <w:sz w:val="20"/>
          <w:szCs w:val="20"/>
          <w:color w:val="auto"/>
        </w:rPr>
        <w:t xml:space="preserve"> Floor</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Charlotte, North Carolina 28202</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 xml:space="preserve">Attn: </w:t>
      </w:r>
      <w:r>
        <w:rPr>
          <w:rFonts w:ascii="Times New Roman" w:cs="Times New Roman" w:eastAsia="Times New Roman" w:hAnsi="Times New Roman"/>
          <w:sz w:val="20"/>
          <w:szCs w:val="20"/>
          <w:color w:val="FF0000"/>
          <w:strike w:val="1"/>
        </w:rPr>
        <w:t>Kristen Ray</w:t>
      </w:r>
      <w:r>
        <w:rPr>
          <w:rFonts w:ascii="Times New Roman" w:cs="Times New Roman" w:eastAsia="Times New Roman" w:hAnsi="Times New Roman"/>
          <w:sz w:val="20"/>
          <w:szCs w:val="20"/>
          <w:u w:val="single" w:color="auto"/>
          <w:color w:val="0070C0"/>
        </w:rPr>
        <w:t>Peter Waschenko</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Telecopier: (704) 383 6205</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Telephone: (</w:t>
      </w:r>
      <w:r>
        <w:rPr>
          <w:rFonts w:ascii="Times New Roman" w:cs="Times New Roman" w:eastAsia="Times New Roman" w:hAnsi="Times New Roman"/>
          <w:sz w:val="19"/>
          <w:szCs w:val="19"/>
          <w:color w:val="FF0000"/>
          <w:strike w:val="1"/>
        </w:rPr>
        <w:t>704</w:t>
      </w:r>
      <w:r>
        <w:rPr>
          <w:rFonts w:ascii="Times New Roman" w:cs="Times New Roman" w:eastAsia="Times New Roman" w:hAnsi="Times New Roman"/>
          <w:sz w:val="19"/>
          <w:szCs w:val="19"/>
          <w:u w:val="single" w:color="auto"/>
          <w:color w:val="0070C0"/>
        </w:rPr>
        <w:t>914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410 1772</w:t>
      </w:r>
      <w:r>
        <w:rPr>
          <w:rFonts w:ascii="Times New Roman" w:cs="Times New Roman" w:eastAsia="Times New Roman" w:hAnsi="Times New Roman"/>
          <w:sz w:val="19"/>
          <w:szCs w:val="19"/>
          <w:u w:val="single" w:color="auto"/>
          <w:color w:val="0070C0"/>
        </w:rPr>
        <w:t>540-2168</w:t>
      </w:r>
    </w:p>
    <w:p>
      <w:pPr>
        <w:spacing w:after="0" w:line="2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With copy to:</w:t>
      </w:r>
    </w:p>
    <w:p>
      <w:pPr>
        <w:spacing w:after="0" w:line="2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00B050"/>
          <w:strike w:val="1"/>
        </w:rPr>
        <w:t>Wells Fargo Bank, National Association</w:t>
      </w:r>
    </w:p>
    <w:p>
      <w:pPr>
        <w:spacing w:after="0" w:line="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550 S. Tryon Street, 14th Floor</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Charlotte, North Carolina 28202</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Attn: Douglas Frazer</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Telecopier: (704) 383 6205</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Telephone: (704) 715 5747</w:t>
      </w:r>
    </w:p>
    <w:p>
      <w:pPr>
        <w:spacing w:after="0" w:line="21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If to the Administrative Agent under Article II.:</w:t>
      </w:r>
    </w:p>
    <w:p>
      <w:pPr>
        <w:spacing w:after="0" w:line="2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4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Minneapolis Loan Center</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MAC N9303-110</w:t>
      </w:r>
    </w:p>
    <w:p>
      <w:pPr>
        <w:ind w:left="1760"/>
        <w:spacing w:after="0" w:line="213" w:lineRule="auto"/>
        <w:rPr>
          <w:sz w:val="20"/>
          <w:szCs w:val="20"/>
          <w:color w:val="auto"/>
        </w:rPr>
      </w:pPr>
      <w:r>
        <w:rPr>
          <w:rFonts w:ascii="Times New Roman" w:cs="Times New Roman" w:eastAsia="Times New Roman" w:hAnsi="Times New Roman"/>
          <w:sz w:val="20"/>
          <w:szCs w:val="20"/>
          <w:color w:val="auto"/>
        </w:rPr>
        <w:t>600 South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8th Floor</w:t>
      </w:r>
    </w:p>
    <w:p>
      <w:pPr>
        <w:ind w:left="1760"/>
        <w:spacing w:after="0"/>
        <w:rPr>
          <w:sz w:val="20"/>
          <w:szCs w:val="20"/>
          <w:color w:val="auto"/>
        </w:rPr>
      </w:pPr>
      <w:r>
        <w:rPr>
          <w:rFonts w:ascii="Times New Roman" w:cs="Times New Roman" w:eastAsia="Times New Roman" w:hAnsi="Times New Roman"/>
          <w:sz w:val="20"/>
          <w:szCs w:val="20"/>
          <w:color w:val="auto"/>
        </w:rPr>
        <w:t>Minneapolis, Minnesota 55415</w:t>
      </w:r>
    </w:p>
    <w:p>
      <w:pPr>
        <w:ind w:left="1760"/>
        <w:spacing w:after="0"/>
        <w:rPr>
          <w:sz w:val="20"/>
          <w:szCs w:val="20"/>
          <w:color w:val="auto"/>
        </w:rPr>
      </w:pPr>
      <w:r>
        <w:rPr>
          <w:rFonts w:ascii="Times New Roman" w:cs="Times New Roman" w:eastAsia="Times New Roman" w:hAnsi="Times New Roman"/>
          <w:sz w:val="20"/>
          <w:szCs w:val="20"/>
          <w:color w:val="auto"/>
        </w:rPr>
        <w:t>Attn: Anthony Gangelhoff</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Telecopier: (877) 410-5023</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Telephone: (612) 316-0109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- 130 -</w:t>
      </w:r>
    </w:p>
    <w:p>
      <w:pPr>
        <w:sectPr>
          <w:pgSz w:w="11900" w:h="16838" w:orient="portrait"/>
          <w:cols w:equalWidth="0" w:num="1">
            <w:col w:w="9939"/>
          </w:cols>
          <w:pgMar w:left="520" w:top="1440" w:right="1440" w:bottom="1440" w:gutter="0" w:footer="0" w:header="0"/>
        </w:sectPr>
      </w:pPr>
    </w:p>
    <w:bookmarkStart w:id="467" w:name="page468"/>
    <w:bookmarkEnd w:id="467"/>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 xml:space="preserve">If to an Issuing Bank </w:t>
      </w:r>
      <w:r>
        <w:rPr>
          <w:rFonts w:ascii="Times New Roman" w:cs="Times New Roman" w:eastAsia="Times New Roman" w:hAnsi="Times New Roman"/>
          <w:sz w:val="20"/>
          <w:szCs w:val="20"/>
          <w:color w:val="FF0000"/>
          <w:strike w:val="1"/>
        </w:rPr>
        <w:t>or a Swingline Lender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Minneapolis Loan Center</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MAC N9303-110</w:t>
      </w:r>
    </w:p>
    <w:p>
      <w:pPr>
        <w:ind w:left="1760"/>
        <w:spacing w:after="0" w:line="208" w:lineRule="auto"/>
        <w:rPr>
          <w:sz w:val="20"/>
          <w:szCs w:val="20"/>
          <w:color w:val="auto"/>
        </w:rPr>
      </w:pPr>
      <w:r>
        <w:rPr>
          <w:rFonts w:ascii="Times New Roman" w:cs="Times New Roman" w:eastAsia="Times New Roman" w:hAnsi="Times New Roman"/>
          <w:sz w:val="20"/>
          <w:szCs w:val="20"/>
          <w:color w:val="auto"/>
        </w:rPr>
        <w:t>600 South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8th Floor</w:t>
      </w:r>
    </w:p>
    <w:p>
      <w:pPr>
        <w:ind w:left="1760"/>
        <w:spacing w:after="0"/>
        <w:rPr>
          <w:sz w:val="20"/>
          <w:szCs w:val="20"/>
          <w:color w:val="auto"/>
        </w:rPr>
      </w:pPr>
      <w:r>
        <w:rPr>
          <w:rFonts w:ascii="Times New Roman" w:cs="Times New Roman" w:eastAsia="Times New Roman" w:hAnsi="Times New Roman"/>
          <w:sz w:val="20"/>
          <w:szCs w:val="20"/>
          <w:color w:val="auto"/>
        </w:rPr>
        <w:t>Minneapolis, Minnesota 55415</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Attn: Treva Lee</w:t>
      </w:r>
    </w:p>
    <w:p>
      <w:pPr>
        <w:spacing w:after="0" w:line="6"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0"/>
          <w:szCs w:val="20"/>
          <w:color w:val="auto"/>
        </w:rPr>
        <w:t>Telecopier:</w:t>
      </w:r>
      <w:r>
        <w:rPr>
          <w:sz w:val="20"/>
          <w:szCs w:val="20"/>
          <w:color w:val="auto"/>
        </w:rPr>
        <w:tab/>
      </w:r>
      <w:r>
        <w:rPr>
          <w:rFonts w:ascii="Times New Roman" w:cs="Times New Roman" w:eastAsia="Times New Roman" w:hAnsi="Times New Roman"/>
          <w:sz w:val="19"/>
          <w:szCs w:val="19"/>
          <w:color w:val="auto"/>
        </w:rPr>
        <w:t>(877) 718-0796</w:t>
      </w:r>
    </w:p>
    <w:p>
      <w:pPr>
        <w:spacing w:after="0" w:line="6" w:lineRule="exact"/>
        <w:rPr>
          <w:sz w:val="20"/>
          <w:szCs w:val="20"/>
          <w:color w:val="auto"/>
        </w:rPr>
      </w:pPr>
    </w:p>
    <w:p>
      <w:pPr>
        <w:ind w:left="1760"/>
        <w:spacing w:after="0"/>
        <w:tabs>
          <w:tab w:leader="none" w:pos="280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(612) 316-4317</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Floor 04</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Bengaluru, 560 103, India</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Attn: Josemon Varghesse</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Email: josemon.varghese@jpmorgan.com</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Telephone: (+91-80) 67905385 ext.75385</w:t>
      </w:r>
    </w:p>
    <w:p>
      <w:pPr>
        <w:spacing w:after="0" w:line="2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TD Bank, N.A.</w:t>
      </w:r>
    </w:p>
    <w:p>
      <w:pPr>
        <w:ind w:left="1760"/>
        <w:spacing w:after="0" w:line="220" w:lineRule="auto"/>
        <w:rPr>
          <w:sz w:val="20"/>
          <w:szCs w:val="20"/>
          <w:color w:val="auto"/>
        </w:rPr>
      </w:pPr>
      <w:r>
        <w:rPr>
          <w:rFonts w:ascii="Times New Roman" w:cs="Times New Roman" w:eastAsia="Times New Roman" w:hAnsi="Times New Roman"/>
          <w:sz w:val="20"/>
          <w:szCs w:val="20"/>
          <w:color w:val="auto"/>
        </w:rPr>
        <w:t>One Vanderbilt Avenue,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New York, NY 10017</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Telephone: (212) 299-5702</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Deutsche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Bank</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AG New York Branch</w:t>
      </w:r>
      <w:r>
        <w:rPr>
          <w:rFonts w:ascii="Times New Roman" w:cs="Times New Roman" w:eastAsia="Times New Roman" w:hAnsi="Times New Roman"/>
          <w:sz w:val="20"/>
          <w:szCs w:val="20"/>
          <w:u w:val="single" w:color="auto"/>
          <w:color w:val="0070C0"/>
        </w:rPr>
        <w:t>of America, N.A.</w:t>
      </w:r>
    </w:p>
    <w:p>
      <w:pPr>
        <w:spacing w:after="0" w:line="2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0070C0"/>
        </w:rPr>
        <w:t>One Fleet Way</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0070C0"/>
        </w:rPr>
        <w:t>Mailcode: PA6-580-02-30</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0070C0"/>
        </w:rPr>
        <w:t>Scranton, PA 18507-1999</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strike w:val="1"/>
        </w:rPr>
        <w:t>Portfolio Management and</w:t>
      </w:r>
      <w:r>
        <w:rPr>
          <w:rFonts w:ascii="Times New Roman" w:cs="Times New Roman" w:eastAsia="Times New Roman" w:hAnsi="Times New Roman"/>
          <w:sz w:val="20"/>
          <w:szCs w:val="20"/>
          <w:u w:val="single" w:color="auto"/>
          <w:color w:val="0070C0"/>
        </w:rPr>
        <w:t>Attention: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Standby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Letter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70C0"/>
        </w:rPr>
        <w:t>Dept</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0070C0"/>
        </w:rPr>
        <w:t>Email address: scranton_standby_LC@bofa.com</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0070C0"/>
        </w:rPr>
        <w:t>Telephone: (800) 370-7519</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0070C0"/>
        </w:rPr>
        <w:t>Bank</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of</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FF0000"/>
          <w:strike w:val="1"/>
        </w:rPr>
        <w:t>Credit</w:t>
      </w:r>
      <w:r>
        <w:rPr>
          <w:rFonts w:ascii="Times New Roman" w:cs="Times New Roman" w:eastAsia="Times New Roman" w:hAnsi="Times New Roman"/>
          <w:sz w:val="20"/>
          <w:szCs w:val="20"/>
          <w:u w:val="single" w:color="auto"/>
          <w:color w:val="0070C0"/>
        </w:rPr>
        <w:t>Montreal</w:t>
      </w:r>
    </w:p>
    <w:p>
      <w:pPr>
        <w:ind w:left="1760"/>
        <w:spacing w:after="0" w:line="232" w:lineRule="auto"/>
        <w:rPr>
          <w:sz w:val="20"/>
          <w:szCs w:val="20"/>
          <w:color w:val="auto"/>
        </w:rPr>
      </w:pPr>
      <w:r>
        <w:rPr>
          <w:rFonts w:ascii="Times New Roman" w:cs="Times New Roman" w:eastAsia="Times New Roman" w:hAnsi="Times New Roman"/>
          <w:sz w:val="20"/>
          <w:szCs w:val="20"/>
          <w:color w:val="FF0000"/>
          <w:strike w:val="1"/>
        </w:rPr>
        <w:t>60 Wall</w:t>
      </w:r>
      <w:r>
        <w:rPr>
          <w:rFonts w:ascii="Times New Roman" w:cs="Times New Roman" w:eastAsia="Times New Roman" w:hAnsi="Times New Roman"/>
          <w:sz w:val="20"/>
          <w:szCs w:val="20"/>
          <w:u w:val="single" w:color="auto"/>
          <w:color w:val="0070C0"/>
        </w:rPr>
        <w:t>320 South Canal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Street,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23rd</w:t>
      </w:r>
      <w:r>
        <w:rPr>
          <w:rFonts w:ascii="Times New Roman" w:cs="Times New Roman" w:eastAsia="Times New Roman" w:hAnsi="Times New Roman"/>
          <w:sz w:val="20"/>
          <w:szCs w:val="20"/>
          <w:u w:val="single" w:color="auto"/>
          <w:color w:val="0070C0"/>
        </w:rPr>
        <w:t>4</w:t>
      </w:r>
      <w:r>
        <w:rPr>
          <w:rFonts w:ascii="Times New Roman" w:cs="Times New Roman" w:eastAsia="Times New Roman" w:hAnsi="Times New Roman"/>
          <w:sz w:val="25"/>
          <w:szCs w:val="25"/>
          <w:u w:val="single" w:color="auto"/>
          <w:color w:val="0070C0"/>
          <w:vertAlign w:val="superscript"/>
        </w:rPr>
        <w:t>th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Floor</w:t>
      </w:r>
    </w:p>
    <w:p>
      <w:pPr>
        <w:ind w:left="1760"/>
        <w:spacing w:after="0"/>
        <w:rPr>
          <w:sz w:val="20"/>
          <w:szCs w:val="20"/>
          <w:color w:val="auto"/>
        </w:rPr>
      </w:pPr>
      <w:r>
        <w:rPr>
          <w:rFonts w:ascii="Times New Roman" w:cs="Times New Roman" w:eastAsia="Times New Roman" w:hAnsi="Times New Roman"/>
          <w:sz w:val="20"/>
          <w:szCs w:val="20"/>
          <w:u w:val="single" w:color="auto"/>
          <w:color w:val="0070C0"/>
        </w:rPr>
        <w:t>Chicago, IL 60606</w:t>
      </w:r>
    </w:p>
    <w:p>
      <w:pPr>
        <w:ind w:left="1760"/>
        <w:spacing w:after="0"/>
        <w:rPr>
          <w:sz w:val="20"/>
          <w:szCs w:val="20"/>
          <w:color w:val="auto"/>
        </w:rPr>
      </w:pPr>
      <w:r>
        <w:rPr>
          <w:rFonts w:ascii="Times New Roman" w:cs="Times New Roman" w:eastAsia="Times New Roman" w:hAnsi="Times New Roman"/>
          <w:sz w:val="20"/>
          <w:szCs w:val="20"/>
          <w:u w:val="single" w:color="auto"/>
          <w:color w:val="0070C0"/>
        </w:rPr>
        <w:t>Attention: Rebecca Chabanon</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0070C0"/>
        </w:rPr>
        <w:t>Email: Rebecca.LiuChabanon@bmo.com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-20320</wp:posOffset>
            </wp:positionV>
            <wp:extent cx="20935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093595" cy="889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20"/>
          <w:szCs w:val="20"/>
          <w:color w:val="FF0000"/>
          <w:strike w:val="1"/>
        </w:rPr>
        <w:t>New York, NY 10005</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FF0000"/>
        </w:rPr>
        <w:t>Attn: Terry Greenberg,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-71755</wp:posOffset>
            </wp:positionV>
            <wp:extent cx="24028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2402840" cy="825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20"/>
          <w:szCs w:val="20"/>
          <w:color w:val="FF0000"/>
          <w:strike w:val="1"/>
        </w:rPr>
        <w:t>Telecopier: (646) 350 3183</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Telephone: (</w:t>
      </w:r>
      <w:r>
        <w:rPr>
          <w:rFonts w:ascii="Times New Roman" w:cs="Times New Roman" w:eastAsia="Times New Roman" w:hAnsi="Times New Roman"/>
          <w:sz w:val="20"/>
          <w:szCs w:val="20"/>
          <w:color w:val="FF0000"/>
          <w:strike w:val="1"/>
        </w:rPr>
        <w:t>212</w:t>
      </w:r>
      <w:r>
        <w:rPr>
          <w:rFonts w:ascii="Times New Roman" w:cs="Times New Roman" w:eastAsia="Times New Roman" w:hAnsi="Times New Roman"/>
          <w:sz w:val="20"/>
          <w:szCs w:val="20"/>
          <w:u w:val="single" w:color="auto"/>
          <w:color w:val="0070C0"/>
        </w:rPr>
        <w:t>312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250 4665</w:t>
      </w:r>
      <w:r>
        <w:rPr>
          <w:rFonts w:ascii="Times New Roman" w:cs="Times New Roman" w:eastAsia="Times New Roman" w:hAnsi="Times New Roman"/>
          <w:sz w:val="20"/>
          <w:szCs w:val="20"/>
          <w:u w:val="single" w:color="auto"/>
          <w:color w:val="0070C0"/>
        </w:rPr>
        <w:t>513-3487</w:t>
      </w:r>
    </w:p>
    <w:p>
      <w:pPr>
        <w:spacing w:after="0" w:line="2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0070C0"/>
        </w:rPr>
        <w:t>Manufacturers and Traders Trust Company</w:t>
      </w:r>
    </w:p>
    <w:p>
      <w:pPr>
        <w:ind w:left="1760"/>
        <w:spacing w:after="0" w:line="220" w:lineRule="auto"/>
        <w:rPr>
          <w:sz w:val="20"/>
          <w:szCs w:val="20"/>
          <w:color w:val="auto"/>
        </w:rPr>
      </w:pPr>
      <w:r>
        <w:rPr>
          <w:rFonts w:ascii="Times New Roman" w:cs="Times New Roman" w:eastAsia="Times New Roman" w:hAnsi="Times New Roman"/>
          <w:sz w:val="20"/>
          <w:szCs w:val="20"/>
          <w:u w:val="single" w:color="auto"/>
          <w:color w:val="0070C0"/>
        </w:rPr>
        <w:t>1 Light Street, 14</w:t>
      </w:r>
      <w:r>
        <w:rPr>
          <w:rFonts w:ascii="Times New Roman" w:cs="Times New Roman" w:eastAsia="Times New Roman" w:hAnsi="Times New Roman"/>
          <w:sz w:val="25"/>
          <w:szCs w:val="25"/>
          <w:u w:val="single" w:color="auto"/>
          <w:color w:val="0070C0"/>
          <w:vertAlign w:val="superscript"/>
        </w:rPr>
        <w:t>th</w:t>
      </w:r>
      <w:r>
        <w:rPr>
          <w:rFonts w:ascii="Times New Roman" w:cs="Times New Roman" w:eastAsia="Times New Roman" w:hAnsi="Times New Roman"/>
          <w:sz w:val="20"/>
          <w:szCs w:val="20"/>
          <w:u w:val="single" w:color="auto"/>
          <w:color w:val="0070C0"/>
        </w:rPr>
        <w:t xml:space="preserve"> Floor</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0070C0"/>
        </w:rPr>
        <w:t>Baltimore, MD 21202</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0070C0"/>
        </w:rPr>
        <w:t>Attention: Lynette Williams / Letters of Credit Participations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-20320</wp:posOffset>
            </wp:positionV>
            <wp:extent cx="30549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3054985" cy="889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9"/>
          <w:szCs w:val="19"/>
          <w:color w:val="0070C0"/>
        </w:rPr>
        <w:t>Email: lwilliams@mtb.com or lettersofcreditparticipations@mtb.com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-17780</wp:posOffset>
            </wp:positionV>
            <wp:extent cx="35007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3500755" cy="889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20"/>
          <w:szCs w:val="20"/>
          <w:u w:val="single" w:color="auto"/>
          <w:color w:val="0070C0"/>
        </w:rPr>
        <w:t>Telephone: (410) 244-4550 or (410) 244-4824</w:t>
      </w:r>
    </w:p>
    <w:p>
      <w:pPr>
        <w:sectPr>
          <w:pgSz w:w="11900" w:h="16838" w:orient="portrait"/>
          <w:cols w:equalWidth="0" w:num="1">
            <w:col w:w="9939"/>
          </w:cols>
          <w:pgMar w:left="5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- 131 -</w:t>
      </w:r>
    </w:p>
    <w:p>
      <w:pPr>
        <w:sectPr>
          <w:pgSz w:w="11900" w:h="16838" w:orient="portrait"/>
          <w:cols w:equalWidth="0" w:num="1">
            <w:col w:w="9939"/>
          </w:cols>
          <w:pgMar w:left="520" w:top="1440" w:right="1440" w:bottom="1440" w:gutter="0" w:footer="0" w:header="0"/>
          <w:type w:val="continuous"/>
        </w:sectPr>
      </w:pPr>
    </w:p>
    <w:bookmarkStart w:id="468" w:name="page469"/>
    <w:bookmarkEnd w:id="468"/>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any other Lender:</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To such Lender’s address or telecopy number as set forth in the applicable Administrative Questionnaire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or, as to each party at such other address as shall be designated by such party in a written notice to the other parties delivered in compliance with this Section; provided, a Lender or an Issuing Bank shall only be required to give notice of any such other address to the Administrative Agent and the Borrower Representative. All such notices and other communications shall be effective (i) if mailed, upon the first to occur of receipt or the expiration of three (3) days after the deposit in the United States Postal Service mail, postage prepaid and addressed to the address of the Borrower Representative or the Administrative Agent, the Issuing Banks and Lenders at the addresses specified; (ii) if telecopied, when transmitted;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any Issuing Bank or any Lender under Article II. shall be effective only when actually received. None of the Administrative Agent, any Issuing Bank or any Lender shall incur any liability to any Borrower or any other Loan Party (nor shall the Administrative Agent incur any liability to the Issuing Banks or the Lenders) for acting upon any telephonic notice referred to in this Agreement which the Administrative Agent, such Issuing Bank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12.2.</w:t>
        <w:tab/>
        <w:t>Expenses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Borrowers jointly and severally agree (a) to pay or reimburse the Administrative Agent </w:t>
      </w:r>
      <w:r>
        <w:rPr>
          <w:rFonts w:ascii="Times New Roman" w:cs="Times New Roman" w:eastAsia="Times New Roman" w:hAnsi="Times New Roman"/>
          <w:sz w:val="20"/>
          <w:szCs w:val="20"/>
          <w:u w:val="single" w:color="auto"/>
          <w:color w:val="0070C0"/>
        </w:rPr>
        <w:t>and the Sustainability Structuring Agent</w:t>
      </w:r>
      <w:r>
        <w:rPr>
          <w:rFonts w:ascii="Times New Roman" w:cs="Times New Roman" w:eastAsia="Times New Roman" w:hAnsi="Times New Roman"/>
          <w:sz w:val="20"/>
          <w:szCs w:val="20"/>
          <w:color w:val="auto"/>
        </w:rPr>
        <w:t xml:space="preserve"> for all of its reasonable out-of-pocket costs and expenses incurred in connection with the preparation, negotiation and execution of, and any amendment, supplement or modification to, any of the Loan Documents (including due diligence expense and reasonable travel expenses related to closing), and the consummation of the transactions contemplated hereby and thereby, including the reasonable fees and disbursements of counsel to the Administrative Agent and </w:t>
      </w:r>
      <w:r>
        <w:rPr>
          <w:rFonts w:ascii="Times New Roman" w:cs="Times New Roman" w:eastAsia="Times New Roman" w:hAnsi="Times New Roman"/>
          <w:sz w:val="20"/>
          <w:szCs w:val="20"/>
          <w:u w:val="single" w:color="auto"/>
          <w:color w:val="0070C0"/>
        </w:rPr>
        <w:t>Sustainability Structuring Agent and</w:t>
      </w:r>
      <w:r>
        <w:rPr>
          <w:rFonts w:ascii="Times New Roman" w:cs="Times New Roman" w:eastAsia="Times New Roman" w:hAnsi="Times New Roman"/>
          <w:sz w:val="20"/>
          <w:szCs w:val="20"/>
          <w:color w:val="auto"/>
        </w:rPr>
        <w:t xml:space="preserve"> a single local counsel to the Administrative Agent</w:t>
      </w:r>
      <w:r>
        <w:rPr>
          <w:rFonts w:ascii="Times New Roman" w:cs="Times New Roman" w:eastAsia="Times New Roman" w:hAnsi="Times New Roman"/>
          <w:sz w:val="20"/>
          <w:szCs w:val="20"/>
          <w:u w:val="single" w:color="auto"/>
          <w:color w:val="0070C0"/>
        </w:rPr>
        <w:t>, the Sustainability Structuring Agent</w:t>
      </w:r>
      <w:r>
        <w:rPr>
          <w:rFonts w:ascii="Times New Roman" w:cs="Times New Roman" w:eastAsia="Times New Roman" w:hAnsi="Times New Roman"/>
          <w:sz w:val="20"/>
          <w:szCs w:val="20"/>
          <w:color w:val="auto"/>
        </w:rPr>
        <w:t xml:space="preserve"> and the Lenders in each relevant jurisdiction and all costs and expenses of the Administrative Agent </w:t>
      </w:r>
      <w:r>
        <w:rPr>
          <w:rFonts w:ascii="Times New Roman" w:cs="Times New Roman" w:eastAsia="Times New Roman" w:hAnsi="Times New Roman"/>
          <w:sz w:val="20"/>
          <w:szCs w:val="20"/>
          <w:u w:val="single" w:color="auto"/>
          <w:color w:val="0070C0"/>
        </w:rPr>
        <w:t>and the Sustainability Structuring Agent</w:t>
      </w:r>
      <w:r>
        <w:rPr>
          <w:rFonts w:ascii="Times New Roman" w:cs="Times New Roman" w:eastAsia="Times New Roman" w:hAnsi="Times New Roman"/>
          <w:sz w:val="20"/>
          <w:szCs w:val="20"/>
          <w:color w:val="auto"/>
        </w:rPr>
        <w:t xml:space="preserve"> in connection with the use of IntraLinks, SyndTrak or other similar information transmission systems in connection with the Loan Documents, (b) to pay or reimburse the Administrative Agent, the </w:t>
      </w:r>
      <w:r>
        <w:rPr>
          <w:rFonts w:ascii="Times New Roman" w:cs="Times New Roman" w:eastAsia="Times New Roman" w:hAnsi="Times New Roman"/>
          <w:sz w:val="20"/>
          <w:szCs w:val="20"/>
          <w:u w:val="single" w:color="auto"/>
          <w:color w:val="0070C0"/>
        </w:rPr>
        <w:t>Sustainability Structuring Agent, the</w:t>
      </w:r>
      <w:r>
        <w:rPr>
          <w:rFonts w:ascii="Times New Roman" w:cs="Times New Roman" w:eastAsia="Times New Roman" w:hAnsi="Times New Roman"/>
          <w:sz w:val="20"/>
          <w:szCs w:val="20"/>
          <w:color w:val="auto"/>
        </w:rPr>
        <w:t xml:space="preserve"> Issuing Banks and the Lenders for all their reasonable costs and expenses incurred in connection with the enforcement or preservation of any rights under the Loan Documents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color w:val="auto"/>
        </w:rPr>
        <w:t xml:space="preserve"> the Fee Letters </w:t>
      </w:r>
      <w:r>
        <w:rPr>
          <w:rFonts w:ascii="Times New Roman" w:cs="Times New Roman" w:eastAsia="Times New Roman" w:hAnsi="Times New Roman"/>
          <w:sz w:val="20"/>
          <w:szCs w:val="20"/>
          <w:u w:val="single" w:color="auto"/>
          <w:color w:val="0070C0"/>
        </w:rPr>
        <w:t>and any letter relating to fees entered into with the Sustainability Structuring Agent</w:t>
      </w:r>
      <w:r>
        <w:rPr>
          <w:rFonts w:ascii="Times New Roman" w:cs="Times New Roman" w:eastAsia="Times New Roman" w:hAnsi="Times New Roman"/>
          <w:sz w:val="20"/>
          <w:szCs w:val="20"/>
          <w:color w:val="auto"/>
        </w:rPr>
        <w:t xml:space="preserve">, including the reasonable fees and disbursements of their respective counsel and any payments in indemnification or otherwise payable by the Lenders to the Administrative </w:t>
      </w:r>
      <w:r>
        <w:rPr>
          <w:rFonts w:ascii="Times New Roman" w:cs="Times New Roman" w:eastAsia="Times New Roman" w:hAnsi="Times New Roman"/>
          <w:sz w:val="20"/>
          <w:szCs w:val="20"/>
          <w:u w:val="single" w:color="auto"/>
          <w:color w:val="0070C0"/>
        </w:rPr>
        <w:t>Agent and/or the Sustainability Structuring</w:t>
      </w:r>
      <w:r>
        <w:rPr>
          <w:rFonts w:ascii="Times New Roman" w:cs="Times New Roman" w:eastAsia="Times New Roman" w:hAnsi="Times New Roman"/>
          <w:sz w:val="20"/>
          <w:szCs w:val="20"/>
          <w:color w:val="auto"/>
        </w:rPr>
        <w:t xml:space="preserve"> Agent pursuant to the Loan Documents; provided, that the Borrowers shall not be required to pay the fees and expenses of more than one counsel to the Administrative Agent, </w:t>
      </w:r>
      <w:r>
        <w:rPr>
          <w:rFonts w:ascii="Times New Roman" w:cs="Times New Roman" w:eastAsia="Times New Roman" w:hAnsi="Times New Roman"/>
          <w:sz w:val="20"/>
          <w:szCs w:val="20"/>
          <w:u w:val="single" w:color="auto"/>
          <w:color w:val="0070C0"/>
        </w:rPr>
        <w:t>one counsel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Sustainability Structuring Agent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and one separate counsel for the Lenders (in addition to fees and expenses for appropriate local or special</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counsel) in connection with such workout or enforcement or preservation unless an actual or perceived conflict of interest exists, (c) to pay, and indemnify and hold harmless the Administrative Agent, the </w:t>
      </w:r>
      <w:r>
        <w:rPr>
          <w:rFonts w:ascii="Times New Roman" w:cs="Times New Roman" w:eastAsia="Times New Roman" w:hAnsi="Times New Roman"/>
          <w:sz w:val="20"/>
          <w:szCs w:val="20"/>
          <w:u w:val="single" w:color="auto"/>
          <w:color w:val="0070C0"/>
        </w:rPr>
        <w:t>Sustainability 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- 132 -</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0070C0"/>
        </w:rPr>
        <w:t>Agent, the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Issuing Banks and the Lenders from, any and all recording and filing fees and any and all liabilities with respect to, or resulting</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(subject to the same limitations set forth in the proviso to clause (b) above) to the Administrative Agent, </w:t>
      </w:r>
      <w:r>
        <w:rPr>
          <w:rFonts w:ascii="Times New Roman" w:cs="Times New Roman" w:eastAsia="Times New Roman" w:hAnsi="Times New Roman"/>
          <w:sz w:val="20"/>
          <w:szCs w:val="20"/>
          <w:u w:val="single" w:color="auto"/>
          <w:color w:val="0070C0"/>
        </w:rPr>
        <w:t>the Sustainability Structuring Agent</w:t>
      </w:r>
      <w:r>
        <w:rPr>
          <w:rFonts w:ascii="Times New Roman" w:cs="Times New Roman" w:eastAsia="Times New Roman" w:hAnsi="Times New Roman"/>
          <w:sz w:val="20"/>
          <w:szCs w:val="20"/>
          <w:color w:val="000000"/>
        </w:rPr>
        <w:t>, any Issuing Bank and any Lender incurred in connection with the representation of the Administrative Agent</w:t>
      </w:r>
      <w:r>
        <w:rPr>
          <w:rFonts w:ascii="Times New Roman" w:cs="Times New Roman" w:eastAsia="Times New Roman" w:hAnsi="Times New Roman"/>
          <w:sz w:val="20"/>
          <w:szCs w:val="20"/>
          <w:u w:val="single" w:color="auto"/>
          <w:color w:val="0070C0"/>
        </w:rPr>
        <w:t>, the Sustainability Structuring Agent</w:t>
      </w:r>
      <w:r>
        <w:rPr>
          <w:rFonts w:ascii="Times New Roman" w:cs="Times New Roman" w:eastAsia="Times New Roman" w:hAnsi="Times New Roman"/>
          <w:sz w:val="20"/>
          <w:szCs w:val="20"/>
          <w:color w:val="000000"/>
        </w:rPr>
        <w:t xml:space="preserve">, such Issuing Bank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any Borrower or any other Loan Party, whether proposed by such Borrower, such other Loan Party, the Lenders or any other Person, and whether such fees and expenses are incurred prior to, during or after the commencement of such proceeding or the confirmation or conclusion of any such proceeding. If any Borrower shall fail to pay any amounts required to be paid by it pursuant to this Section, the Administrative Agent, </w:t>
      </w:r>
      <w:r>
        <w:rPr>
          <w:rFonts w:ascii="Times New Roman" w:cs="Times New Roman" w:eastAsia="Times New Roman" w:hAnsi="Times New Roman"/>
          <w:sz w:val="20"/>
          <w:szCs w:val="20"/>
          <w:u w:val="single" w:color="auto"/>
          <w:color w:val="0070C0"/>
        </w:rPr>
        <w:t>the Sustainability Structuring Agent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and/or the Lenders may pay such amounts on behalf of such Borrower and such amounts shall be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deemed to be Obligations owing hereunder. This Section 12.2. shall not apply to Taxes other than Taxes that represent expenses, losses and similar amounts arising from a non-Tax claim.</w:t>
      </w:r>
    </w:p>
    <w:p>
      <w:pPr>
        <w:spacing w:after="0" w:line="20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12.3.</w:t>
        <w:tab/>
        <w:t>Setoff</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Subject to Section 3.3. and in addition to any rights now or hereafter granted under Applicable Law and not by way of limitation of any such rights, each Borrower hereby authorizes the Administrative Agent, each Issuing Bank, each Lender, each Affiliate of the Administrative Agent, any Issuing Bank or any Lender, and each Participant, at any time or from time to time while an Event of Default exists, without notice to any Borrower or to any other Person, any such notice being hereby expressly waived, but in the case of an Issuing Bank, a Lender, an Affiliate of an Issuing Bank or a Lender, or a Participant,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Issuing Bank, such Lender, any Affiliate of the Administrative Agent, such Issuing Bank or such Lender, or such Participant, to or for the credit or the account of any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the Issuing Banks and the Lenders and (y) such Defaulting Lender shall provide promptly to the Administrative Agent a statement describing in reasonable detail the Obligations owing to such Defaulting Lender as to which it exercised such right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- 133 -</w:t>
      </w:r>
    </w:p>
    <w:p>
      <w:pPr>
        <w:sectPr>
          <w:pgSz w:w="11900" w:h="16838" w:orient="portrait"/>
          <w:cols w:equalWidth="0" w:num="1">
            <w:col w:w="11240"/>
          </w:cols>
          <w:pgMar w:left="320" w:top="1440" w:right="339" w:bottom="1440" w:gutter="0" w:footer="0" w:header="0"/>
        </w:sectPr>
      </w:pPr>
    </w:p>
    <w:bookmarkStart w:id="470" w:name="page471"/>
    <w:bookmarkEnd w:id="470"/>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12.4.</w:t>
      </w:r>
      <w:r>
        <w:rPr>
          <w:sz w:val="20"/>
          <w:szCs w:val="20"/>
          <w:color w:val="auto"/>
        </w:rPr>
        <w:tab/>
      </w:r>
      <w:r>
        <w:rPr>
          <w:rFonts w:ascii="Times New Roman" w:cs="Times New Roman" w:eastAsia="Times New Roman" w:hAnsi="Times New Roman"/>
          <w:sz w:val="19"/>
          <w:szCs w:val="19"/>
          <w:b w:val="1"/>
          <w:bCs w:val="1"/>
          <w:color w:val="auto"/>
        </w:rPr>
        <w:t>Litigation; Jurisdiction; Other Matters; Waivers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65" w:lineRule="auto"/>
        <w:tabs>
          <w:tab w:leader="none" w:pos="1092" w:val="left"/>
        </w:tabs>
        <w:numPr>
          <w:ilvl w:val="1"/>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ACKNOWLEDGES THAT ANY DISPUTE OR CONTROVERSY BETWEEN OR AMONG ANY OF THE BORROWERS, THE ADMINISTRATIVE </w:t>
      </w:r>
      <w:r>
        <w:rPr>
          <w:rFonts w:ascii="Times New Roman" w:cs="Times New Roman" w:eastAsia="Times New Roman" w:hAnsi="Times New Roman"/>
          <w:sz w:val="19"/>
          <w:szCs w:val="19"/>
          <w:u w:val="single" w:color="auto"/>
          <w:color w:val="0070C0"/>
        </w:rPr>
        <w:t>AGENT, THE SUSTAINABILITY STRUCTURING</w:t>
      </w:r>
      <w:r>
        <w:rPr>
          <w:rFonts w:ascii="Times New Roman" w:cs="Times New Roman" w:eastAsia="Times New Roman" w:hAnsi="Times New Roman"/>
          <w:sz w:val="19"/>
          <w:szCs w:val="19"/>
          <w:color w:val="auto"/>
        </w:rPr>
        <w:t xml:space="preserve"> AGENT, THE ISSUING BANK OR ANY OF THE LENDERS WOULD BE BASED ON DIFFICULT AND COMPLEX ISSUES OF LAW AND FACT AND WOULD RESULT IN DELAY AND EXPENSE TO THE PARTIES. ACCORDINGLY, TO THE EXTENT PERMITTED BY APPLICABLE LAW, EACH OF THE LENDERS, THE ADMINISTRATIVE AGENT, THE </w:t>
      </w:r>
      <w:r>
        <w:rPr>
          <w:rFonts w:ascii="Times New Roman" w:cs="Times New Roman" w:eastAsia="Times New Roman" w:hAnsi="Times New Roman"/>
          <w:sz w:val="19"/>
          <w:szCs w:val="19"/>
          <w:u w:val="single" w:color="auto"/>
          <w:color w:val="0070C0"/>
        </w:rPr>
        <w:t>SUSTAINABILITY STRUCTURING AGENT, THE</w:t>
      </w:r>
      <w:r>
        <w:rPr>
          <w:rFonts w:ascii="Times New Roman" w:cs="Times New Roman" w:eastAsia="Times New Roman" w:hAnsi="Times New Roman"/>
          <w:sz w:val="19"/>
          <w:szCs w:val="19"/>
          <w:color w:val="auto"/>
        </w:rPr>
        <w:t xml:space="preserve"> ISSUING BANK AND EACH BORROWER HEREBY WAIVES ITS RIGHT TO A TRIAL BY JURY IN ANY ACTION OR PROCEEDING OF ANY KIND OR NATURE IN ANY COURT OR TRIBUNAL IN WHICH AN ACTION MAY BE COMMENCED BY OR AGAINST ANY PARTY HERETO ARISING OUT OF THIS AGREEMENT, ANY OTHER LOAN DOCUMENT OR ANY FEE LETTER OR BY REASON OF ANY OTHER SUIT, CAUSE OF ACTION OR DISPUTE WHATSOEVER BETWEEN OR AMONG ANY OF THE BORROWERS, THE ADMINISTRATIVE AGENT, THE </w:t>
      </w:r>
      <w:r>
        <w:rPr>
          <w:rFonts w:ascii="Times New Roman" w:cs="Times New Roman" w:eastAsia="Times New Roman" w:hAnsi="Times New Roman"/>
          <w:sz w:val="19"/>
          <w:szCs w:val="19"/>
          <w:u w:val="single" w:color="auto"/>
          <w:color w:val="0070C0"/>
        </w:rPr>
        <w:t>SUSTAINABILITY STRUCTURING AGENT, THE</w:t>
      </w:r>
      <w:r>
        <w:rPr>
          <w:rFonts w:ascii="Times New Roman" w:cs="Times New Roman" w:eastAsia="Times New Roman" w:hAnsi="Times New Roman"/>
          <w:sz w:val="19"/>
          <w:szCs w:val="19"/>
          <w:color w:val="auto"/>
        </w:rPr>
        <w:t xml:space="preserve"> ISSUING BANK OR ANY OF THE LENDERS OF ANY KIND OR NATURE RELATING TO ANY OF THE LOAN DOCUMENTS.</w:t>
      </w:r>
    </w:p>
    <w:p>
      <w:pPr>
        <w:spacing w:after="0" w:line="167" w:lineRule="exact"/>
        <w:rPr>
          <w:rFonts w:ascii="Times New Roman" w:cs="Times New Roman" w:eastAsia="Times New Roman" w:hAnsi="Times New Roman"/>
          <w:sz w:val="19"/>
          <w:szCs w:val="19"/>
          <w:color w:val="auto"/>
        </w:rPr>
      </w:pPr>
    </w:p>
    <w:p>
      <w:pPr>
        <w:jc w:val="both"/>
        <w:ind w:firstLine="656"/>
        <w:spacing w:after="0" w:line="250" w:lineRule="auto"/>
        <w:tabs>
          <w:tab w:leader="none" w:pos="1199"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IRREVOCABLY AND UNCONDITIONALLY AGREES THAT IT WILL NOT COMMENCE ANY ACTION, LITIGATION OR PROCEEDING OF ANY KIND OR DESCRIPTION, WHETHER AT LAW OR IN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ENFORCEMENT ACTION BY ANY PARTY HERETO TO ENFORCE ANY JUDGMENT OBTAINED IN SUCH FORUM.</w:t>
      </w:r>
    </w:p>
    <w:p>
      <w:pPr>
        <w:spacing w:after="0" w:line="179" w:lineRule="exact"/>
        <w:rPr>
          <w:rFonts w:ascii="Times New Roman" w:cs="Times New Roman" w:eastAsia="Times New Roman" w:hAnsi="Times New Roman"/>
          <w:sz w:val="20"/>
          <w:szCs w:val="20"/>
          <w:color w:val="auto"/>
        </w:rPr>
      </w:pPr>
    </w:p>
    <w:p>
      <w:pPr>
        <w:jc w:val="both"/>
        <w:ind w:firstLine="656"/>
        <w:spacing w:after="0" w:line="257" w:lineRule="auto"/>
        <w:tabs>
          <w:tab w:leader="none" w:pos="1233"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9"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134 -</w:t>
      </w:r>
    </w:p>
    <w:p>
      <w:pPr>
        <w:sectPr>
          <w:pgSz w:w="11900" w:h="16838" w:orient="portrait"/>
          <w:cols w:equalWidth="0" w:num="1">
            <w:col w:w="11240"/>
          </w:cols>
          <w:pgMar w:left="320" w:top="1409" w:right="339" w:bottom="1440" w:gutter="0" w:footer="0" w:header="0"/>
        </w:sectPr>
      </w:pPr>
    </w:p>
    <w:bookmarkStart w:id="471" w:name="page472"/>
    <w:bookmarkEnd w:id="471"/>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12.5.</w:t>
      </w:r>
      <w:r>
        <w:rPr>
          <w:sz w:val="20"/>
          <w:szCs w:val="20"/>
          <w:color w:val="auto"/>
        </w:rPr>
        <w:tab/>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49" w:lineRule="auto"/>
        <w:tabs>
          <w:tab w:leader="none" w:pos="1160" w:val="left"/>
        </w:tabs>
        <w:numPr>
          <w:ilvl w:val="1"/>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shall be binding upon and inure to the benefit of the parties hereto and their respective successors and assigns permitted hereby, except that no Borrower and no other Loan Party may assign or otherwise transfer any of its rights or obligations hereunder without the prior written consent of the Administrative Agent and each Lender (except as permitted by Section 9.3.(d)),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or grant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contemplated hereby, the Related Parties of the Administrative Agent and the Lenders) any legal or equitable right, remedy or claim under or by reason of this Agreement.</w:t>
      </w:r>
    </w:p>
    <w:p>
      <w:pPr>
        <w:spacing w:after="0" w:line="20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6" w:val="left"/>
        </w:tabs>
        <w:numPr>
          <w:ilvl w:val="1"/>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Any Lender may at any time assign to one or more Eligible Assignees all or a portion of its rights and obligations under this Agreement (including all or a portion of its Revolving Commitment and the Loans at the time owing to it); provided that (in each case with respect to a Facility) any such assignment shall be subject to the following conditions:</w:t>
      </w:r>
    </w:p>
    <w:p>
      <w:pPr>
        <w:spacing w:after="0" w:line="181"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2"/>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76" w:lineRule="auto"/>
        <w:tabs>
          <w:tab w:leader="none" w:pos="2445" w:val="left"/>
        </w:tabs>
        <w:numPr>
          <w:ilvl w:val="3"/>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assignment of the entire remaining amount of an assigning Lender’s Revolving Commitment and/or the Loans at the time owing to it (in each case with respect to a Facility) or contemporaneous assignments to related Approved Funds that equal at least the amount specified in the immediately following clause (B) in the aggregate, or in the case of an assignment to a Lender, an Affiliate of a Lender or an Approved Fund, no minimum amount need be assigned; and</w:t>
      </w:r>
    </w:p>
    <w:p>
      <w:pPr>
        <w:spacing w:after="0" w:line="156" w:lineRule="exact"/>
        <w:rPr>
          <w:rFonts w:ascii="Times New Roman" w:cs="Times New Roman" w:eastAsia="Times New Roman" w:hAnsi="Times New Roman"/>
          <w:sz w:val="19"/>
          <w:szCs w:val="19"/>
          <w:color w:val="auto"/>
        </w:rPr>
      </w:pPr>
    </w:p>
    <w:p>
      <w:pPr>
        <w:jc w:val="both"/>
        <w:ind w:left="1300" w:firstLine="652"/>
        <w:spacing w:after="0" w:line="250" w:lineRule="auto"/>
        <w:tabs>
          <w:tab w:leader="none" w:pos="2426" w:val="left"/>
        </w:tabs>
        <w:numPr>
          <w:ilvl w:val="3"/>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the immediately preceding subsection (A), the aggregate amount of the Revolving Commitment (which for this purpose includes Loans outstanding thereunder) or, if the applicable Revolving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Commitment, unless each of the Administrative Agent and, so long as no Default or Event of Default shall exist, each Borrower otherwise consents (each such consent not to be unreasonably withheld or delayed); provided, however, that if, after giving effect to such assignment, the amount of the Revolving Commitment held by such assigning Lender or the outstanding principal balance of the Loans of such assigning Lender, as applicable, would be less than $5,000,000 in the case of a Revolving Commitment, then such assigning Lender shall assign the entire amount of its Revolving Commitment and the applicable Loans at the time owing to it.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135 -</w:t>
      </w:r>
    </w:p>
    <w:p>
      <w:pPr>
        <w:sectPr>
          <w:pgSz w:w="11900" w:h="16838" w:orient="portrait"/>
          <w:cols w:equalWidth="0" w:num="1">
            <w:col w:w="11240"/>
          </w:cols>
          <w:pgMar w:left="320" w:top="1409" w:right="339" w:bottom="1440" w:gutter="0" w:footer="0" w:header="0"/>
        </w:sectPr>
      </w:pPr>
    </w:p>
    <w:bookmarkStart w:id="472" w:name="page473"/>
    <w:bookmarkEnd w:id="472"/>
    <w:p>
      <w:pPr>
        <w:spacing w:after="0" w:line="189" w:lineRule="exact"/>
        <w:rPr>
          <w:sz w:val="20"/>
          <w:szCs w:val="20"/>
          <w:color w:val="auto"/>
        </w:rPr>
      </w:pPr>
    </w:p>
    <w:p>
      <w:pPr>
        <w:ind w:left="1094" w:right="20" w:firstLine="652"/>
        <w:spacing w:after="0" w:line="283" w:lineRule="auto"/>
        <w:tabs>
          <w:tab w:leader="none" w:pos="2289" w:val="left"/>
        </w:tabs>
        <w:numPr>
          <w:ilvl w:val="2"/>
          <w:numId w:val="34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Clauses (A) and (B) of this subsection (i) shall not apply to any assignment to the Unrestricted Subsidiary permitted by this Agreement.</w:t>
      </w:r>
    </w:p>
    <w:p>
      <w:pPr>
        <w:spacing w:after="0" w:line="146" w:lineRule="exact"/>
        <w:rPr>
          <w:rFonts w:ascii="Times New Roman" w:cs="Times New Roman" w:eastAsia="Times New Roman" w:hAnsi="Times New Roman"/>
          <w:sz w:val="20"/>
          <w:szCs w:val="20"/>
          <w:color w:val="FF0000"/>
          <w:strike w:val="1"/>
        </w:rPr>
      </w:pPr>
    </w:p>
    <w:p>
      <w:pPr>
        <w:jc w:val="both"/>
        <w:ind w:left="454" w:firstLine="644"/>
        <w:spacing w:after="0" w:line="258" w:lineRule="auto"/>
        <w:tabs>
          <w:tab w:leader="none" w:pos="1636" w:val="left"/>
        </w:tabs>
        <w:numPr>
          <w:ilvl w:val="1"/>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Revolving Commitment assigned, except that this clause (ii) shall not (x) apply to rights in respect of a Bid Rate Loan or (y) prohibit any Lender from assigning all or a portion of its rights and obligations among separate Facilities on a non-pro rata basis.</w:t>
      </w:r>
    </w:p>
    <w:p>
      <w:pPr>
        <w:spacing w:after="0" w:line="185" w:lineRule="exact"/>
        <w:rPr>
          <w:rFonts w:ascii="Times New Roman" w:cs="Times New Roman" w:eastAsia="Times New Roman" w:hAnsi="Times New Roman"/>
          <w:sz w:val="20"/>
          <w:szCs w:val="20"/>
          <w:color w:val="auto"/>
        </w:rPr>
      </w:pPr>
    </w:p>
    <w:p>
      <w:pPr>
        <w:ind w:left="454" w:firstLine="644"/>
        <w:spacing w:after="0" w:line="269" w:lineRule="auto"/>
        <w:tabs>
          <w:tab w:leader="none" w:pos="1624" w:val="left"/>
        </w:tabs>
        <w:numPr>
          <w:ilvl w:val="1"/>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clause (i)(B) of this subsection (b) and, in addition:</w:t>
      </w:r>
    </w:p>
    <w:p>
      <w:pPr>
        <w:spacing w:after="0" w:line="172" w:lineRule="exact"/>
        <w:rPr>
          <w:rFonts w:ascii="Times New Roman" w:cs="Times New Roman" w:eastAsia="Times New Roman" w:hAnsi="Times New Roman"/>
          <w:sz w:val="20"/>
          <w:szCs w:val="20"/>
          <w:color w:val="auto"/>
        </w:rPr>
      </w:pPr>
    </w:p>
    <w:p>
      <w:pPr>
        <w:jc w:val="both"/>
        <w:ind w:left="1094" w:firstLine="652"/>
        <w:spacing w:after="0" w:line="251" w:lineRule="auto"/>
        <w:tabs>
          <w:tab w:leader="none" w:pos="2226" w:val="left"/>
        </w:tabs>
        <w:numPr>
          <w:ilvl w:val="2"/>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Representative (such consent not to be unreasonably withheld or delayed) shall be required unless (x) a Default or Event of Default shall exist at the time of such assignment or (y) such assignment is to (I) a Revolving Lender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color w:val="auto"/>
        </w:rPr>
        <w:t xml:space="preserve"> an Affiliate of a Revolving </w:t>
      </w:r>
      <w:r>
        <w:rPr>
          <w:rFonts w:ascii="Times New Roman" w:cs="Times New Roman" w:eastAsia="Times New Roman" w:hAnsi="Times New Roman"/>
          <w:sz w:val="20"/>
          <w:szCs w:val="20"/>
          <w:u w:val="single" w:color="auto"/>
          <w:color w:val="0070C0"/>
        </w:rPr>
        <w:t>Lender or an Approved Fund with respect to a Revolving Lender</w:t>
      </w:r>
      <w:r>
        <w:rPr>
          <w:rFonts w:ascii="Times New Roman" w:cs="Times New Roman" w:eastAsia="Times New Roman" w:hAnsi="Times New Roman"/>
          <w:sz w:val="20"/>
          <w:szCs w:val="20"/>
          <w:color w:val="auto"/>
        </w:rPr>
        <w:t xml:space="preserve"> in the case of assignments under the Revolving Credit Facility or (II) to a Lender or an Affiliate of a Lender in the case of assignments under the Term A Loan Facility or the Term B Loan Facility; provided, that the Borrower Representative shall be deemed to have consented to any such assignment unless it shall object thereto by written notice to the Administrative Agent within 10 Business Days after having received notice thereof;</w:t>
      </w:r>
    </w:p>
    <w:p>
      <w:pPr>
        <w:spacing w:after="0" w:line="192" w:lineRule="exact"/>
        <w:rPr>
          <w:rFonts w:ascii="Times New Roman" w:cs="Times New Roman" w:eastAsia="Times New Roman" w:hAnsi="Times New Roman"/>
          <w:sz w:val="20"/>
          <w:szCs w:val="20"/>
          <w:color w:val="auto"/>
        </w:rPr>
      </w:pPr>
    </w:p>
    <w:p>
      <w:pPr>
        <w:jc w:val="both"/>
        <w:ind w:left="1094" w:firstLine="652"/>
        <w:spacing w:after="0" w:line="258" w:lineRule="auto"/>
        <w:tabs>
          <w:tab w:leader="none" w:pos="2269" w:val="left"/>
        </w:tabs>
        <w:numPr>
          <w:ilvl w:val="2"/>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Administrative Agent (such consent not to be unreasonably withheld or delayed) shall be required for assignments in respect of a Revolving Commitment if such assignment is to a Person that is not already a Lender with a Revolving Commitment, an Affiliate of such a Lender or an Approved Fund with respect to such a Lender </w:t>
      </w:r>
      <w:r>
        <w:rPr>
          <w:rFonts w:ascii="Times New Roman" w:cs="Times New Roman" w:eastAsia="Times New Roman" w:hAnsi="Times New Roman"/>
          <w:sz w:val="20"/>
          <w:szCs w:val="20"/>
          <w:color w:val="FF0000"/>
          <w:strike w:val="1"/>
        </w:rPr>
        <w:t>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Unrestricted Subsidiary</w:t>
      </w:r>
      <w:r>
        <w:rPr>
          <w:rFonts w:ascii="Times New Roman" w:cs="Times New Roman" w:eastAsia="Times New Roman" w:hAnsi="Times New Roman"/>
          <w:sz w:val="20"/>
          <w:szCs w:val="20"/>
          <w:color w:val="000000"/>
        </w:rPr>
        <w:t>; and</w:t>
      </w:r>
    </w:p>
    <w:p>
      <w:pPr>
        <w:spacing w:after="0" w:line="172" w:lineRule="exact"/>
        <w:rPr>
          <w:rFonts w:ascii="Times New Roman" w:cs="Times New Roman" w:eastAsia="Times New Roman" w:hAnsi="Times New Roman"/>
          <w:sz w:val="20"/>
          <w:szCs w:val="20"/>
          <w:color w:val="auto"/>
        </w:rPr>
      </w:pPr>
    </w:p>
    <w:p>
      <w:pPr>
        <w:ind w:left="1094" w:right="20" w:firstLine="652"/>
        <w:spacing w:after="0" w:line="283" w:lineRule="auto"/>
        <w:tabs>
          <w:tab w:leader="none" w:pos="2231" w:val="left"/>
        </w:tabs>
        <w:numPr>
          <w:ilvl w:val="2"/>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Issuing Banks </w:t>
      </w:r>
      <w:r>
        <w:rPr>
          <w:rFonts w:ascii="Times New Roman" w:cs="Times New Roman" w:eastAsia="Times New Roman" w:hAnsi="Times New Roman"/>
          <w:sz w:val="20"/>
          <w:szCs w:val="20"/>
          <w:color w:val="FF0000"/>
          <w:strike w:val="1"/>
        </w:rPr>
        <w:t>and the Swingline Lenders</w:t>
      </w:r>
      <w:r>
        <w:rPr>
          <w:rFonts w:ascii="Times New Roman" w:cs="Times New Roman" w:eastAsia="Times New Roman" w:hAnsi="Times New Roman"/>
          <w:sz w:val="20"/>
          <w:szCs w:val="20"/>
          <w:color w:val="auto"/>
        </w:rPr>
        <w:t xml:space="preserve"> (such consent not to be unreasonably withheld or delayed) shall be required for any assignment in respect of a Revolving Commitment.</w:t>
      </w:r>
    </w:p>
    <w:p>
      <w:pPr>
        <w:spacing w:after="0" w:line="146" w:lineRule="exact"/>
        <w:rPr>
          <w:rFonts w:ascii="Times New Roman" w:cs="Times New Roman" w:eastAsia="Times New Roman" w:hAnsi="Times New Roman"/>
          <w:sz w:val="20"/>
          <w:szCs w:val="20"/>
          <w:color w:val="auto"/>
        </w:rPr>
      </w:pPr>
    </w:p>
    <w:p>
      <w:pPr>
        <w:jc w:val="both"/>
        <w:ind w:left="454" w:firstLine="644"/>
        <w:spacing w:after="0" w:line="253" w:lineRule="auto"/>
        <w:tabs>
          <w:tab w:leader="none" w:pos="1640" w:val="left"/>
        </w:tabs>
        <w:numPr>
          <w:ilvl w:val="1"/>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 Notes</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$4,500 for each assignment (which fee the Administrative Agent may, in its sole discretion, elect to waive), and the assignee, if it is not a Lender </w:t>
      </w:r>
      <w:r>
        <w:rPr>
          <w:rFonts w:ascii="Times New Roman" w:cs="Times New Roman" w:eastAsia="Times New Roman" w:hAnsi="Times New Roman"/>
          <w:sz w:val="20"/>
          <w:szCs w:val="20"/>
          <w:color w:val="FF0000"/>
        </w:rPr>
        <w:t>or the Unrestricted Subsidiary</w:t>
      </w:r>
      <w:r>
        <w:rPr>
          <w:rFonts w:ascii="Times New Roman" w:cs="Times New Roman" w:eastAsia="Times New Roman" w:hAnsi="Times New Roman"/>
          <w:sz w:val="20"/>
          <w:szCs w:val="20"/>
          <w:color w:val="auto"/>
        </w:rPr>
        <w:t>, shall deliver to the Administrative Agent an Administrative Questionnaire. If requested by the transferor Lender or the assignee, upon the consummation of any assignment, the transferor Lender, the Administrative Agent and the Borrowers shall make appropriate arrangements so that new Notes are issued to the assignee and such transferor Lender, as appropriate.</w:t>
      </w:r>
    </w:p>
    <w:p>
      <w:pPr>
        <w:spacing w:after="0" w:line="192" w:lineRule="exact"/>
        <w:rPr>
          <w:rFonts w:ascii="Times New Roman" w:cs="Times New Roman" w:eastAsia="Times New Roman" w:hAnsi="Times New Roman"/>
          <w:sz w:val="20"/>
          <w:szCs w:val="20"/>
          <w:color w:val="auto"/>
        </w:rPr>
      </w:pPr>
    </w:p>
    <w:p>
      <w:pPr>
        <w:jc w:val="both"/>
        <w:ind w:left="454" w:firstLine="644"/>
        <w:spacing w:after="0" w:line="261" w:lineRule="auto"/>
        <w:tabs>
          <w:tab w:leader="none" w:pos="1571" w:val="left"/>
        </w:tabs>
        <w:numPr>
          <w:ilvl w:val="1"/>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to (A) any Borrower or any of the Borrowers’ Affiliates or Subsidiaries </w:t>
      </w:r>
      <w:r>
        <w:rPr>
          <w:rFonts w:ascii="Times New Roman" w:cs="Times New Roman" w:eastAsia="Times New Roman" w:hAnsi="Times New Roman"/>
          <w:sz w:val="20"/>
          <w:szCs w:val="20"/>
          <w:color w:val="FF0000"/>
          <w:strike w:val="1"/>
        </w:rPr>
        <w:t>other than to the Unrestricted Subsidiary</w:t>
      </w:r>
      <w:r>
        <w:rPr>
          <w:rFonts w:ascii="Times New Roman" w:cs="Times New Roman" w:eastAsia="Times New Roman" w:hAnsi="Times New Roman"/>
          <w:sz w:val="20"/>
          <w:szCs w:val="20"/>
          <w:color w:val="auto"/>
        </w:rPr>
        <w:t xml:space="preserve"> or (B) to any Defaulting Lender or any of its Subsidiaries, or to any Person who, upon becoming a Lender hereunder, would constitute any of the foregoing Persons described in this clause (B).</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-4434205</wp:posOffset>
            </wp:positionV>
            <wp:extent cx="1447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-3242945</wp:posOffset>
            </wp:positionV>
            <wp:extent cx="400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-2059940</wp:posOffset>
            </wp:positionV>
            <wp:extent cx="15424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ectPr>
          <w:pgSz w:w="11900" w:h="16838" w:orient="portrait"/>
          <w:cols w:equalWidth="0" w:num="1">
            <w:col w:w="11034"/>
          </w:cols>
          <w:pgMar w:left="526" w:top="1440" w:right="339" w:bottom="1440" w:gutter="0" w:footer="0" w:header="0"/>
        </w:sectPr>
      </w:pPr>
    </w:p>
    <w:bookmarkStart w:id="473" w:name="page474"/>
    <w:bookmarkEnd w:id="473"/>
    <w:p>
      <w:pPr>
        <w:spacing w:after="0" w:line="189" w:lineRule="exact"/>
        <w:rPr>
          <w:sz w:val="20"/>
          <w:szCs w:val="20"/>
          <w:color w:val="auto"/>
        </w:rPr>
      </w:pPr>
    </w:p>
    <w:p>
      <w:pPr>
        <w:ind w:left="660" w:firstLine="644"/>
        <w:spacing w:after="0" w:line="283" w:lineRule="auto"/>
        <w:tabs>
          <w:tab w:leader="none" w:pos="1899"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holding company, investment vehicle or trust for, or owned and operated for the primary benefit of a natural person).</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887"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Banks, </w:t>
      </w:r>
      <w:r>
        <w:rPr>
          <w:rFonts w:ascii="Times New Roman" w:cs="Times New Roman" w:eastAsia="Times New Roman" w:hAnsi="Times New Roman"/>
          <w:sz w:val="20"/>
          <w:szCs w:val="20"/>
          <w:color w:val="FF0000"/>
        </w:rPr>
        <w:t>the Swingline Lenders</w:t>
      </w:r>
      <w:r>
        <w:rPr>
          <w:rFonts w:ascii="Times New Roman" w:cs="Times New Roman" w:eastAsia="Times New Roman" w:hAnsi="Times New Roman"/>
          <w:sz w:val="20"/>
          <w:szCs w:val="20"/>
          <w:color w:val="auto"/>
        </w:rPr>
        <w:t xml:space="preserve"> and each other Lender hereunder (and interest accrued thereon), and (y) acquire (and fund as appropriate) its full pro rata share of all Loans and, in the case of a Revolving Lender, participations in Letters of Credit </w:t>
      </w:r>
      <w:r>
        <w:rPr>
          <w:rFonts w:ascii="Times New Roman" w:cs="Times New Roman" w:eastAsia="Times New Roman" w:hAnsi="Times New Roman"/>
          <w:sz w:val="20"/>
          <w:szCs w:val="20"/>
          <w:color w:val="FF0000"/>
          <w:strike w:val="1"/>
        </w:rPr>
        <w:t>and Swingline Loans</w:t>
      </w:r>
      <w:r>
        <w:rPr>
          <w:rFonts w:ascii="Times New Roman" w:cs="Times New Roman" w:eastAsia="Times New Roman" w:hAnsi="Times New Roman"/>
          <w:sz w:val="20"/>
          <w:szCs w:val="20"/>
          <w:color w:val="auto"/>
        </w:rPr>
        <w:t xml:space="preserve">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-839470</wp:posOffset>
            </wp:positionV>
            <wp:extent cx="11931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12.9. and the other provisions of this Agreement and the other Loan Documents as provided in Section 12.10.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201" w:lineRule="exact"/>
        <w:rPr>
          <w:sz w:val="20"/>
          <w:szCs w:val="20"/>
          <w:color w:val="auto"/>
        </w:rPr>
      </w:pPr>
    </w:p>
    <w:p>
      <w:pPr>
        <w:jc w:val="both"/>
        <w:ind w:firstLine="656"/>
        <w:spacing w:after="0" w:line="253" w:lineRule="auto"/>
        <w:tabs>
          <w:tab w:leader="none" w:pos="1092"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Borrowers, shall maintain at the Principal Office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each Borrower, the Administrative Agent and the Lenders shall treat each Person whose name is recorded in the Register pursuant to the terms hereof as a Lender hereunder for all purposes of this Agreement. The Register shall be available for inspection by the Borrower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137 -</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Representative and any Lender, at any reasonable time and from time to time upon reasonable prior notice.</w:t>
      </w:r>
    </w:p>
    <w:p>
      <w:pPr>
        <w:spacing w:after="0" w:line="229" w:lineRule="exact"/>
        <w:rPr>
          <w:sz w:val="20"/>
          <w:szCs w:val="20"/>
          <w:color w:val="auto"/>
        </w:rPr>
      </w:pPr>
    </w:p>
    <w:p>
      <w:pPr>
        <w:jc w:val="both"/>
        <w:ind w:firstLine="656"/>
        <w:spacing w:after="0" w:line="248" w:lineRule="auto"/>
        <w:tabs>
          <w:tab w:leader="none" w:pos="109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xml:space="preserve">. Any Lender may at any time, without the consent of, or notice to, any Borrower or the Administrative Agent or any Issuing Bank </w:t>
      </w:r>
      <w:r>
        <w:rPr>
          <w:rFonts w:ascii="Times New Roman" w:cs="Times New Roman" w:eastAsia="Times New Roman" w:hAnsi="Times New Roman"/>
          <w:sz w:val="20"/>
          <w:szCs w:val="20"/>
          <w:color w:val="FF0000"/>
        </w:rPr>
        <w:t>or any Swingline Lender</w:t>
      </w:r>
      <w:r>
        <w:rPr>
          <w:rFonts w:ascii="Times New Roman" w:cs="Times New Roman" w:eastAsia="Times New Roman" w:hAnsi="Times New Roman"/>
          <w:sz w:val="20"/>
          <w:szCs w:val="20"/>
          <w:color w:val="auto"/>
        </w:rPr>
        <w:t>, sell participations to any Person (other than a natural Person (or holding company, investment vehicle or trust for, or owned and operated for the primary benefit of a natural person) or any Borrower or any of the Borrowers’ Affiliates or Subsidiaries) (each, a “Participant”) in all or a portion of such Lender’s rights and/or obligations under this Agreement (including all or a portion of its Commitments and/or the Loans owing to it); provided that (i) such Lender’s obligations under this Agreement shall remain unchanged, (ii) such Lender shall remain solely responsible to the other parties hereto for the performance of such obligations, and (iii) each of the Borrowers, the Administrative Agent, the Issuing Banks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(x) increase such Lender’s Revolving Commitment in which such Participant has acquired a participation, (y) extend the date fixed for the payment of principal on the Loans or portions thereof owing to such Lender in which such Participant has acquired a participation, or (z) reduce the rate at which interest is payable thereon. Subject to subsection (e) of this Section, each Borrower agrees that each Participant shall be entitled to the benefits of Sections 3.10., 4.1., 4.4. (subject to the requirements and limitations therein, including the requirements under Section 3.10.(g) (it being understood that the documentation required under Section 3.10.(g) shall be delivered to the participating Lender)) to the same extent as if it were a Lender and had acquired its interest by assignment pursuant to paragraph (b) of this Section; provided that such Participant agrees to be subject to the provisions of Section 4.6. as if it were an assignee under paragraph (b) of this Section. Each Lender that sells a participation agrees, at any Borrower’s request and expense, to use reasonable efforts to cooperate with such Borrower to effectuate the provisions of Section 4.6. with respect to any Participant. To the extent permitted by law, each Participant also shall be entitled to the benefits of Section 12.3. as though it were a Lender; provided that such Participant agrees to be subject to Section 3.3.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6"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9"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 Representative’s prior written consent or such entitlement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-5986145</wp:posOffset>
            </wp:positionV>
            <wp:extent cx="13112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5" w:name="page476"/>
    <w:bookmarkEnd w:id="47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receive a greater payment results from a Regulatory Change that occurs after such Participant acquired the applicable participation. A Participant that would be a Foreign Lender if it were a Lender shall not be entitled to the benefits of Section 3.10. unless the Borrowers are notified of the participation sold to such Participant and such Participant agrees, for the benefit of the Borrowers and the Administrative Agent, to comply with Section 3.10.(g) as though it were a Lender, and such Participant shall be deemed to be a Lender for purposes of the definition of Excluded Taxes.</w:t>
      </w:r>
    </w:p>
    <w:p>
      <w:pPr>
        <w:spacing w:after="0" w:line="192" w:lineRule="exact"/>
        <w:rPr>
          <w:sz w:val="20"/>
          <w:szCs w:val="20"/>
          <w:color w:val="auto"/>
        </w:rPr>
      </w:pPr>
    </w:p>
    <w:p>
      <w:pPr>
        <w:jc w:val="both"/>
        <w:ind w:firstLine="656"/>
        <w:spacing w:after="0" w:line="258" w:lineRule="auto"/>
        <w:tabs>
          <w:tab w:leader="none" w:pos="1098"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or grant a security interest in, all or any portion of its rights under this Agreement to secure obligations of such Lender, including any pledge or assignment, or grant of a security interest,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pledge or assignment, or grant of a security interest, shall release such Lender from any of its obligations hereunder or substitute any such pledgee or assignee or grantee for such Lender as a party hereto.</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79"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Registration</w:t>
      </w:r>
      <w:r>
        <w:rPr>
          <w:rFonts w:ascii="Times New Roman" w:cs="Times New Roman" w:eastAsia="Times New Roman" w:hAnsi="Times New Roman"/>
          <w:sz w:val="20"/>
          <w:szCs w:val="20"/>
          <w:color w:val="auto"/>
        </w:rPr>
        <w:t>. Each Lender agrees that, without the prior written consent of the Borrower Representative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85" w:lineRule="exact"/>
        <w:rPr>
          <w:rFonts w:ascii="Times New Roman" w:cs="Times New Roman" w:eastAsia="Times New Roman" w:hAnsi="Times New Roman"/>
          <w:sz w:val="20"/>
          <w:szCs w:val="20"/>
          <w:color w:val="auto"/>
        </w:rPr>
      </w:pPr>
    </w:p>
    <w:p>
      <w:pPr>
        <w:jc w:val="both"/>
        <w:ind w:firstLine="656"/>
        <w:spacing w:after="0" w:line="248" w:lineRule="auto"/>
        <w:tabs>
          <w:tab w:leader="none" w:pos="1117"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Designated Lenders</w:t>
      </w:r>
      <w:r>
        <w:rPr>
          <w:rFonts w:ascii="Times New Roman" w:cs="Times New Roman" w:eastAsia="Times New Roman" w:hAnsi="Times New Roman"/>
          <w:sz w:val="20"/>
          <w:szCs w:val="20"/>
          <w:color w:val="auto"/>
        </w:rPr>
        <w:t xml:space="preserve">. Any Revolving Lender (each, a “Designating Lender”) may at any time while one of the Borrowers has been assigned an Investment Grade Rating from either S&amp;P or Moody’s designate one Designated Lender to fund Bid Rate Loans on behalf of such Designating Lender subject to the terms of this subsection, and the provisions in the immediately preceding subsections (b) and (d) shall not apply to such designation. No Designating Lender may designate more than one Designated Lender. The parties to each such designation shall execute and deliver to the Administrative Agent for its acceptance a Designation Agreement. Upon such receipt of an appropriately completed Designation Agreement executed by a Designating Lender and a designee representing that it is a Designated Lender, the Administrative Agent will accept such Designation Agreement and give prompt notice thereof to the Borrower Representative, whereupon (i) each Borrower shall execute and deliver to the Designating Lender a Bid Rate Note payable to the Designated Lender, or its registered assignees, (ii) from and after the effective date specified in the Designation Agreement, the Designated Lender shall become a party to this Agreement with a right to make Bid Rate Loans on behalf of its Designating Lender pursuant to Section 2.3. after any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regardless of such designation and assumption by the Designated Lender, the Designating Lender shall be and remain obligated to the Borrowers, the Administrative Agent and the Lenders for each and every of the obligations of the Designating Lender and its related Designated Lender with respect to this Agreement, including, without limitation, any indemnification obligations under Section 11.6. and any sums otherwise payable to any Borrower by the Designated Lender. Each Designating Lender shall serve as the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 as agent for the Designated Lender and shall not be signed by the Designated Lender on its own behalf and shall be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139 -</w:t>
      </w:r>
    </w:p>
    <w:p>
      <w:pPr>
        <w:sectPr>
          <w:pgSz w:w="11900" w:h="16838" w:orient="portrait"/>
          <w:cols w:equalWidth="0" w:num="1">
            <w:col w:w="11240"/>
          </w:cols>
          <w:pgMar w:left="320" w:top="1440" w:right="339" w:bottom="1440" w:gutter="0" w:footer="0" w:header="0"/>
        </w:sectPr>
      </w:pPr>
    </w:p>
    <w:bookmarkStart w:id="476" w:name="page477"/>
    <w:bookmarkEnd w:id="476"/>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binding on the Designated Lender to the same extent as if signed by the Designated Lender on its own behalf. The Borrowers, the Administrative Agent 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Borrowers, the Lenders and the Administrative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 (y) the Revolving Termination Date. In connection with any such designation, the Designating Lender shall pay to the Administrative Agent an administrative fee for processing such designation in the amount of $2,000.</w:t>
      </w:r>
    </w:p>
    <w:p>
      <w:pPr>
        <w:spacing w:after="0" w:line="176" w:lineRule="exact"/>
        <w:rPr>
          <w:sz w:val="20"/>
          <w:szCs w:val="20"/>
          <w:color w:val="auto"/>
        </w:rPr>
      </w:pPr>
    </w:p>
    <w:p>
      <w:pPr>
        <w:jc w:val="both"/>
        <w:ind w:firstLine="656"/>
        <w:spacing w:after="0" w:line="268" w:lineRule="auto"/>
        <w:tabs>
          <w:tab w:leader="none" w:pos="1033" w:val="left"/>
        </w:tabs>
        <w:numPr>
          <w:ilvl w:val="1"/>
          <w:numId w:val="35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Unrestricted Subsidiary</w:t>
      </w:r>
      <w:r>
        <w:rPr>
          <w:rFonts w:ascii="Times New Roman" w:cs="Times New Roman" w:eastAsia="Times New Roman" w:hAnsi="Times New Roman"/>
          <w:sz w:val="20"/>
          <w:szCs w:val="20"/>
          <w:color w:val="FF0000"/>
          <w:strike w:val="1"/>
        </w:rPr>
        <w:t>. Notwithstanding anything to the contrary contained herein, the purchase of any portion of any Loans or</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Commitments by the Unrestricted Subsidiary, and the Unrestricted Subsidiary’s status as a “Lender” for all purposes under this Agreement or any other Loan Document, </w:t>
      </w:r>
      <w:r>
        <w:rPr>
          <w:rFonts w:ascii="Times New Roman" w:cs="Times New Roman" w:eastAsia="Times New Roman" w:hAnsi="Times New Roman"/>
          <w:sz w:val="20"/>
          <w:szCs w:val="20"/>
          <w:color w:val="00B050"/>
          <w:strike w:val="1"/>
        </w:rPr>
        <w:t>shall be subject to the</w:t>
      </w:r>
      <w:r>
        <w:rPr>
          <w:rFonts w:ascii="Times New Roman" w:cs="Times New Roman" w:eastAsia="Times New Roman" w:hAnsi="Times New Roman"/>
          <w:sz w:val="20"/>
          <w:szCs w:val="20"/>
          <w:color w:val="FF0000"/>
          <w:strike w:val="1"/>
        </w:rPr>
        <w:t xml:space="preserve"> following provisions:</w:t>
      </w:r>
    </w:p>
    <w:p>
      <w:pPr>
        <w:spacing w:after="0" w:line="161" w:lineRule="exact"/>
        <w:rPr>
          <w:rFonts w:ascii="Times New Roman" w:cs="Times New Roman" w:eastAsia="Times New Roman" w:hAnsi="Times New Roman"/>
          <w:sz w:val="20"/>
          <w:szCs w:val="20"/>
          <w:color w:val="FF0000"/>
          <w:strike w:val="1"/>
        </w:rPr>
      </w:pPr>
    </w:p>
    <w:p>
      <w:pPr>
        <w:jc w:val="both"/>
        <w:ind w:left="660" w:firstLine="644"/>
        <w:spacing w:after="0" w:line="250" w:lineRule="auto"/>
        <w:tabs>
          <w:tab w:leader="none" w:pos="1828" w:val="left"/>
        </w:tabs>
        <w:numPr>
          <w:ilvl w:val="2"/>
          <w:numId w:val="35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Voting Rights; Communication</w:t>
      </w:r>
      <w:r>
        <w:rPr>
          <w:rFonts w:ascii="Times New Roman" w:cs="Times New Roman" w:eastAsia="Times New Roman" w:hAnsi="Times New Roman"/>
          <w:sz w:val="20"/>
          <w:szCs w:val="20"/>
          <w:color w:val="FF0000"/>
          <w:strike w:val="1"/>
        </w:rPr>
        <w:t>. For purposes of any proposed amendment, consent, waiver or other modification</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hereunder or under any other Loan Document, or any other vote, consent, request, demand, authorization or direction hereunder (including, without limitation, any vote, consent, request, demand, authorization or direction with respect to any of the matters set forth in Section 12.6.) or under any other Loan Document, the Unrestricted Subsidiary shall be deemed at all times to be a Defaulting Lender (solely with respect to the Unrestricted Subsidiary’s right to vote on matters described herein), and the Unrestricted Subsidiary shall not have any right to participate in the administration of the Loans, this Agreement or the other Loan Documents. The Unrestricted Subsidiary shall not be permitted, entitled or have any rights to (x) attend or participate in any formal or informal meetings of the other Lenders, (y) receive or participate in any communications between or among the Administrative Agent and/or the other Lenders or (z) receive, or rely upon, any information, whether written or oral, disseminated during, or relating to, any such meetings or communications, or receive any reports, analyses, opinions or other work product prepared by any consultant, agent or attorney for the Administrative Agent or any other Lender, and the Unrestricted Subsidiary’s sole entitlement to receive any information is limited exclusively to information prepared by any Borrower and made available to the Administrative Agent and the other Lenders; provided, that this clause (i) shall not in any way limit the Unrestricted Subsidiary’s ability or right to receive or rely upon information that is available to the public.</w:t>
      </w:r>
    </w:p>
    <w:p>
      <w:pPr>
        <w:spacing w:after="0" w:line="183" w:lineRule="exact"/>
        <w:rPr>
          <w:rFonts w:ascii="Times New Roman" w:cs="Times New Roman" w:eastAsia="Times New Roman" w:hAnsi="Times New Roman"/>
          <w:sz w:val="20"/>
          <w:szCs w:val="20"/>
          <w:color w:val="FF0000"/>
          <w:strike w:val="1"/>
        </w:rPr>
      </w:pPr>
    </w:p>
    <w:p>
      <w:pPr>
        <w:jc w:val="both"/>
        <w:ind w:left="660" w:firstLine="644"/>
        <w:spacing w:after="0" w:line="253" w:lineRule="auto"/>
        <w:tabs>
          <w:tab w:leader="none" w:pos="1830" w:val="left"/>
        </w:tabs>
        <w:numPr>
          <w:ilvl w:val="2"/>
          <w:numId w:val="35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Extinguishment of Unrestricted Subsidiary Loan upon an Event of Default. Immediately upon the occurrence of an Event of Default or a default under any of the provisions set forth on Annex 2 to each Unrestricted Subsidiary Assignment Agreement, the outstanding principal amount of all Unrestricted Subsidiary Loans shall be immediately and without further action extinguished and retired (an “Unrestricted Subsidiary Loan Retirement”) and the Unrestricted Subsidiary shall thereafter not have any further rights as a Lender under the Loan Documents with respect to any Unrestricted Subsidiary Loans that are the subject of an Unrestricted Subsidiary Loan Retirement (the “Retired Loans”), subject to the following:</w:t>
      </w:r>
    </w:p>
    <w:p>
      <w:pPr>
        <w:spacing w:after="0" w:line="192" w:lineRule="exact"/>
        <w:rPr>
          <w:rFonts w:ascii="Times New Roman" w:cs="Times New Roman" w:eastAsia="Times New Roman" w:hAnsi="Times New Roman"/>
          <w:sz w:val="20"/>
          <w:szCs w:val="20"/>
          <w:color w:val="FF0000"/>
          <w:strike w:val="1"/>
        </w:rPr>
      </w:pPr>
    </w:p>
    <w:p>
      <w:pPr>
        <w:ind w:left="1300" w:right="20" w:firstLine="652"/>
        <w:spacing w:after="0" w:line="283" w:lineRule="auto"/>
        <w:tabs>
          <w:tab w:leader="none" w:pos="2496" w:val="left"/>
        </w:tabs>
        <w:numPr>
          <w:ilvl w:val="3"/>
          <w:numId w:val="35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all Commitments and Letter of Credit Liabilities associated with Retired Loans and all obligations of the Unrestricted Subsidiary in connection with such Retired</w:t>
      </w:r>
    </w:p>
    <w:p>
      <w:pPr>
        <w:spacing w:after="0" w:line="200" w:lineRule="exact"/>
        <w:rPr>
          <w:rFonts w:ascii="Times New Roman" w:cs="Times New Roman" w:eastAsia="Times New Roman" w:hAnsi="Times New Roman"/>
          <w:sz w:val="20"/>
          <w:szCs w:val="20"/>
          <w:color w:val="FF0000"/>
          <w:strike w:val="1"/>
        </w:rPr>
      </w:pPr>
    </w:p>
    <w:p>
      <w:pPr>
        <w:spacing w:after="0" w:line="200" w:lineRule="exact"/>
        <w:rPr>
          <w:rFonts w:ascii="Times New Roman" w:cs="Times New Roman" w:eastAsia="Times New Roman" w:hAnsi="Times New Roman"/>
          <w:sz w:val="20"/>
          <w:szCs w:val="20"/>
          <w:color w:val="FF0000"/>
          <w:strike w:val="1"/>
        </w:rPr>
      </w:pPr>
    </w:p>
    <w:p>
      <w:pPr>
        <w:spacing w:after="0" w:line="200" w:lineRule="exact"/>
        <w:rPr>
          <w:rFonts w:ascii="Times New Roman" w:cs="Times New Roman" w:eastAsia="Times New Roman" w:hAnsi="Times New Roman"/>
          <w:sz w:val="20"/>
          <w:szCs w:val="20"/>
          <w:color w:val="FF0000"/>
          <w:strike w:val="1"/>
        </w:rPr>
      </w:pPr>
    </w:p>
    <w:p>
      <w:pPr>
        <w:spacing w:after="0" w:line="200" w:lineRule="exact"/>
        <w:rPr>
          <w:rFonts w:ascii="Times New Roman" w:cs="Times New Roman" w:eastAsia="Times New Roman" w:hAnsi="Times New Roman"/>
          <w:sz w:val="20"/>
          <w:szCs w:val="20"/>
          <w:color w:val="FF0000"/>
          <w:strike w:val="1"/>
        </w:rPr>
      </w:pPr>
    </w:p>
    <w:p>
      <w:pPr>
        <w:spacing w:after="0" w:line="200" w:lineRule="exact"/>
        <w:rPr>
          <w:rFonts w:ascii="Times New Roman" w:cs="Times New Roman" w:eastAsia="Times New Roman" w:hAnsi="Times New Roman"/>
          <w:sz w:val="20"/>
          <w:szCs w:val="20"/>
          <w:color w:val="FF0000"/>
          <w:strike w:val="1"/>
        </w:rPr>
      </w:pPr>
    </w:p>
    <w:p>
      <w:pPr>
        <w:spacing w:after="0" w:line="212" w:lineRule="exact"/>
        <w:rPr>
          <w:rFonts w:ascii="Times New Roman" w:cs="Times New Roman" w:eastAsia="Times New Roman" w:hAnsi="Times New Roman"/>
          <w:sz w:val="20"/>
          <w:szCs w:val="20"/>
          <w:color w:val="FF0000"/>
          <w:strike w:val="1"/>
        </w:rPr>
      </w:pPr>
    </w:p>
    <w:p>
      <w:pPr>
        <w:ind w:left="320" w:hanging="114"/>
        <w:spacing w:after="0"/>
        <w:tabs>
          <w:tab w:leader="none" w:pos="32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140 -</w:t>
      </w:r>
    </w:p>
    <w:p>
      <w:pPr>
        <w:sectPr>
          <w:pgSz w:w="11900" w:h="16838" w:orient="portrait"/>
          <w:cols w:equalWidth="0" w:num="1">
            <w:col w:w="11240"/>
          </w:cols>
          <w:pgMar w:left="320" w:top="1440" w:right="339" w:bottom="1440" w:gutter="0" w:footer="0" w:header="0"/>
        </w:sectPr>
      </w:pPr>
    </w:p>
    <w:bookmarkStart w:id="477" w:name="page478"/>
    <w:bookmarkEnd w:id="477"/>
    <w:p>
      <w:pPr>
        <w:spacing w:after="0" w:line="189" w:lineRule="exact"/>
        <w:rPr>
          <w:sz w:val="20"/>
          <w:szCs w:val="20"/>
          <w:color w:val="auto"/>
        </w:rPr>
      </w:pPr>
    </w:p>
    <w:p>
      <w:pPr>
        <w:jc w:val="both"/>
        <w:ind w:left="1094"/>
        <w:spacing w:after="0" w:line="258" w:lineRule="auto"/>
        <w:rPr>
          <w:sz w:val="20"/>
          <w:szCs w:val="20"/>
          <w:color w:val="auto"/>
        </w:rPr>
      </w:pPr>
      <w:r>
        <w:rPr>
          <w:rFonts w:ascii="Times New Roman" w:cs="Times New Roman" w:eastAsia="Times New Roman" w:hAnsi="Times New Roman"/>
          <w:sz w:val="20"/>
          <w:szCs w:val="20"/>
          <w:color w:val="FF0000"/>
          <w:strike w:val="1"/>
        </w:rPr>
        <w:t xml:space="preserve">Loans shall remain in full force and effect after an Unrestricted Subsidiary Loan Retirement; provided, that no subsequent funding made by the Unrestricted Subsidiary pursuant to such Commitments and Letter of Credit Liabilities </w:t>
      </w:r>
      <w:r>
        <w:rPr>
          <w:rFonts w:ascii="Times New Roman" w:cs="Times New Roman" w:eastAsia="Times New Roman" w:hAnsi="Times New Roman"/>
          <w:sz w:val="20"/>
          <w:szCs w:val="20"/>
          <w:color w:val="00B050"/>
          <w:strike w:val="1"/>
        </w:rPr>
        <w:t>shall be deemed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B050"/>
          <w:strike w:val="1"/>
        </w:rPr>
        <w:t xml:space="preserve">to be </w:t>
      </w:r>
      <w:r>
        <w:rPr>
          <w:rFonts w:ascii="Times New Roman" w:cs="Times New Roman" w:eastAsia="Times New Roman" w:hAnsi="Times New Roman"/>
          <w:sz w:val="20"/>
          <w:szCs w:val="20"/>
          <w:color w:val="FF0000"/>
          <w:strike w:val="1"/>
        </w:rPr>
        <w:t>a Loan for the purposes of this Agreement and any such subsequent funding and/or Obligation relating to such funding</w:t>
      </w:r>
      <w:r>
        <w:rPr>
          <w:rFonts w:ascii="Times New Roman" w:cs="Times New Roman" w:eastAsia="Times New Roman" w:hAnsi="Times New Roman"/>
          <w:sz w:val="20"/>
          <w:szCs w:val="20"/>
          <w:color w:val="00B050"/>
          <w:strike w:val="1"/>
        </w:rPr>
        <w:t xml:space="preserve"> </w:t>
      </w:r>
      <w:r>
        <w:rPr>
          <w:rFonts w:ascii="Times New Roman" w:cs="Times New Roman" w:eastAsia="Times New Roman" w:hAnsi="Times New Roman"/>
          <w:sz w:val="20"/>
          <w:szCs w:val="20"/>
          <w:color w:val="FF0000"/>
          <w:strike w:val="1"/>
        </w:rPr>
        <w:t>shall instead be deemed to be immediately extinguished and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-244475</wp:posOffset>
            </wp:positionV>
            <wp:extent cx="60559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055995" cy="8255"/>
                    </a:xfrm>
                    <a:prstGeom prst="rect">
                      <a:avLst/>
                    </a:prstGeom>
                    <a:noFill/>
                  </pic:spPr>
                </pic:pic>
              </a:graphicData>
            </a:graphic>
          </wp:anchor>
        </w:drawing>
      </w:r>
    </w:p>
    <w:p>
      <w:pPr>
        <w:spacing w:after="0" w:line="152" w:lineRule="exact"/>
        <w:rPr>
          <w:sz w:val="20"/>
          <w:szCs w:val="20"/>
          <w:color w:val="auto"/>
        </w:rPr>
      </w:pPr>
    </w:p>
    <w:p>
      <w:pPr>
        <w:jc w:val="both"/>
        <w:ind w:left="1094" w:firstLine="652"/>
        <w:spacing w:after="0" w:line="276" w:lineRule="auto"/>
        <w:tabs>
          <w:tab w:leader="none" w:pos="2182" w:val="left"/>
        </w:tabs>
        <w:numPr>
          <w:ilvl w:val="2"/>
          <w:numId w:val="355"/>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from and after the date of any Unrestricted Subsidiary Loan Retirement and subject to the terms of clause (i) of Section 12.5.(i), solely for purposes of calculating all Commitments, Letter of Credit Liabilities and Revolving Commitment Percentages of the Unrestricted Subsidiary and the other Lenders only, and for purposes of calculating the allocation of any prepayments of Revolving Loans, the principal amount of all Retired Loans shall be deemed to be outstanding; and</w:t>
      </w:r>
    </w:p>
    <w:p>
      <w:pPr>
        <w:spacing w:after="0" w:line="169" w:lineRule="exact"/>
        <w:rPr>
          <w:rFonts w:ascii="Times New Roman" w:cs="Times New Roman" w:eastAsia="Times New Roman" w:hAnsi="Times New Roman"/>
          <w:sz w:val="19"/>
          <w:szCs w:val="19"/>
          <w:color w:val="FF0000"/>
          <w:strike w:val="1"/>
        </w:rPr>
      </w:pPr>
    </w:p>
    <w:p>
      <w:pPr>
        <w:jc w:val="both"/>
        <w:ind w:left="1094" w:firstLine="652"/>
        <w:spacing w:after="0" w:line="252" w:lineRule="auto"/>
        <w:tabs>
          <w:tab w:leader="none" w:pos="2358" w:val="left"/>
        </w:tabs>
        <w:numPr>
          <w:ilvl w:val="2"/>
          <w:numId w:val="355"/>
        </w:numPr>
        <w:rPr>
          <w:rFonts w:ascii="Times New Roman" w:cs="Times New Roman" w:eastAsia="Times New Roman" w:hAnsi="Times New Roman"/>
          <w:sz w:val="20"/>
          <w:szCs w:val="20"/>
          <w:color w:val="FF0000"/>
        </w:rPr>
      </w:pPr>
      <w:r>
        <w:rPr>
          <w:rFonts w:ascii="Times New Roman" w:cs="Times New Roman" w:eastAsia="Times New Roman" w:hAnsi="Times New Roman"/>
          <w:sz w:val="20"/>
          <w:szCs w:val="20"/>
          <w:color w:val="FF0000"/>
        </w:rPr>
        <w:t xml:space="preserve">no Unrestricted Subsidiary Loan Retirement shall increase, decrease or otherwise affect the Revolving </w:t>
      </w:r>
      <w:r>
        <w:rPr>
          <w:rFonts w:ascii="Times New Roman" w:cs="Times New Roman" w:eastAsia="Times New Roman" w:hAnsi="Times New Roman"/>
          <w:sz w:val="20"/>
          <w:szCs w:val="20"/>
          <w:color w:val="FF0000"/>
          <w:strike w:val="1"/>
        </w:rPr>
        <w:t>Commitment Percentages or participation interest in any Letter of Credit or any Swingline Loan of the Unrestricted Subsidiary or any other Lender as they exist immediately prior to the applicable Unrestricted Subsidiary Loan Retirement (with respect to the Unrestricted Subsidiary and each other Lender, its “Retirement Date Commitment Percentages”) and, from and after the date of any Unrestricted Subsidiary Loan Retirement, (i) the Revolving Commitment Percentages of the Unrestricted Subsidiary shall equal the Retirement Date Revolving Commitment Percentages of the Unrestricted Subsidiary on the date immediately prior to the applicable Unrestricted Subsidiary Loan Retirement and (ii) the applicable Revolving Commitment Percentages of the other Lenders shall equal the applicable Retirement Date Commitment Percentages of such other Lenders on the date immediately prior to the applicable Unrestricted Subsidiary Loan Retirement.</w:t>
      </w:r>
    </w:p>
    <w:p>
      <w:pPr>
        <w:spacing w:after="0" w:line="175" w:lineRule="exact"/>
        <w:rPr>
          <w:rFonts w:ascii="Times New Roman" w:cs="Times New Roman" w:eastAsia="Times New Roman" w:hAnsi="Times New Roman"/>
          <w:sz w:val="20"/>
          <w:szCs w:val="20"/>
          <w:color w:val="FF0000"/>
        </w:rPr>
      </w:pPr>
    </w:p>
    <w:p>
      <w:pPr>
        <w:jc w:val="both"/>
        <w:ind w:left="454" w:firstLine="644"/>
        <w:spacing w:after="0" w:line="264" w:lineRule="auto"/>
        <w:tabs>
          <w:tab w:leader="none" w:pos="1651" w:val="left"/>
        </w:tabs>
        <w:numPr>
          <w:ilvl w:val="1"/>
          <w:numId w:val="356"/>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u w:val="single" w:color="auto"/>
          <w:color w:val="FF0000"/>
          <w:strike w:val="1"/>
        </w:rPr>
        <w:t>Subordination</w:t>
      </w:r>
      <w:r>
        <w:rPr>
          <w:rFonts w:ascii="Times New Roman" w:cs="Times New Roman" w:eastAsia="Times New Roman" w:hAnsi="Times New Roman"/>
          <w:sz w:val="19"/>
          <w:szCs w:val="19"/>
          <w:color w:val="FF0000"/>
          <w:strike w:val="1"/>
        </w:rPr>
        <w:t>. All Unrestricted Subsidiary Loans, upon the acquisition thereof by the Unrestricted Subsidiary, shall</w:t>
      </w:r>
      <w:r>
        <w:rPr>
          <w:rFonts w:ascii="Times New Roman" w:cs="Times New Roman" w:eastAsia="Times New Roman" w:hAnsi="Times New Roman"/>
          <w:sz w:val="19"/>
          <w:szCs w:val="19"/>
          <w:u w:val="single" w:color="auto"/>
          <w:color w:val="FF0000"/>
          <w:strike w:val="1"/>
        </w:rPr>
        <w:t xml:space="preserve"> </w:t>
      </w:r>
      <w:r>
        <w:rPr>
          <w:rFonts w:ascii="Times New Roman" w:cs="Times New Roman" w:eastAsia="Times New Roman" w:hAnsi="Times New Roman"/>
          <w:sz w:val="19"/>
          <w:szCs w:val="19"/>
          <w:color w:val="FF0000"/>
          <w:strike w:val="1"/>
        </w:rPr>
        <w:t>immediately and automatically become fully and completely junior and subordinate in both payment and priority to the Loans or portions thereof and all other Obligations held by the other Lenders. The Unrestricted Subsidiary shall not receive, and none of the Borrowers shall make, any payment in cash or otherwise (including principal, interest and fees) on account of any Unrestricted Subsidiary Loan until all outstanding Loans and Obligations owed to the Administrative Agent and the other Lenders have been repaid in full (other than contingent Obligations that are not then due and payable) and all Commitments (other than the Commitments of the Unrestricted Subsidiary), and this Agreement (other than with respect to the Unrestricted Subsidiary), have all been terminated in accordance with the terms hereof, and any payments received by the Unrestricted Subsidiary in contravention of the foregoing shall be held in trust for the Administrative Agent and the Lenders and delivered to the Administrative Agent promptly upon receipt; provided, however, that any Borrower may, from time to time, make “Deemed Repayments” on Unrestricted Subsidiary Loans, as defined in and in accordance with clause (vi) below. The Unrestricted Subsidiary waives any rights to a pro rata share or any other share of any payment of any amount under this Agreement or any other Loan Document to which it may otherwise be entitled and further waives any rights it may have under Sections 3.2. and 3.3. The Unrestricted Subsidiary further agrees that it shall not exercise any right of set off or recoupment it may have hereunder or under Applicable Law.</w:t>
      </w:r>
    </w:p>
    <w:p>
      <w:pPr>
        <w:spacing w:after="0" w:line="200" w:lineRule="exact"/>
        <w:rPr>
          <w:rFonts w:ascii="Times New Roman" w:cs="Times New Roman" w:eastAsia="Times New Roman" w:hAnsi="Times New Roman"/>
          <w:sz w:val="19"/>
          <w:szCs w:val="19"/>
          <w:color w:val="FF0000"/>
          <w:strike w:val="1"/>
        </w:rPr>
      </w:pPr>
    </w:p>
    <w:p>
      <w:pPr>
        <w:spacing w:after="0" w:line="200" w:lineRule="exact"/>
        <w:rPr>
          <w:rFonts w:ascii="Times New Roman" w:cs="Times New Roman" w:eastAsia="Times New Roman" w:hAnsi="Times New Roman"/>
          <w:sz w:val="19"/>
          <w:szCs w:val="19"/>
          <w:color w:val="FF0000"/>
          <w:strike w:val="1"/>
        </w:rPr>
      </w:pPr>
    </w:p>
    <w:p>
      <w:pPr>
        <w:spacing w:after="0" w:line="200" w:lineRule="exact"/>
        <w:rPr>
          <w:rFonts w:ascii="Times New Roman" w:cs="Times New Roman" w:eastAsia="Times New Roman" w:hAnsi="Times New Roman"/>
          <w:sz w:val="19"/>
          <w:szCs w:val="19"/>
          <w:color w:val="FF0000"/>
          <w:strike w:val="1"/>
        </w:rPr>
      </w:pPr>
    </w:p>
    <w:p>
      <w:pPr>
        <w:spacing w:after="0" w:line="200" w:lineRule="exact"/>
        <w:rPr>
          <w:rFonts w:ascii="Times New Roman" w:cs="Times New Roman" w:eastAsia="Times New Roman" w:hAnsi="Times New Roman"/>
          <w:sz w:val="19"/>
          <w:szCs w:val="19"/>
          <w:color w:val="FF0000"/>
          <w:strike w:val="1"/>
        </w:rPr>
      </w:pPr>
    </w:p>
    <w:p>
      <w:pPr>
        <w:spacing w:after="0" w:line="200" w:lineRule="exact"/>
        <w:rPr>
          <w:rFonts w:ascii="Times New Roman" w:cs="Times New Roman" w:eastAsia="Times New Roman" w:hAnsi="Times New Roman"/>
          <w:sz w:val="19"/>
          <w:szCs w:val="19"/>
          <w:color w:val="FF0000"/>
          <w:strike w:val="1"/>
        </w:rPr>
      </w:pPr>
    </w:p>
    <w:p>
      <w:pPr>
        <w:spacing w:after="0" w:line="238" w:lineRule="exact"/>
        <w:rPr>
          <w:rFonts w:ascii="Times New Roman" w:cs="Times New Roman" w:eastAsia="Times New Roman" w:hAnsi="Times New Roman"/>
          <w:sz w:val="19"/>
          <w:szCs w:val="19"/>
          <w:color w:val="FF0000"/>
          <w:strike w:val="1"/>
        </w:rPr>
      </w:pPr>
    </w:p>
    <w:p>
      <w:pPr>
        <w:ind w:left="114" w:hanging="114"/>
        <w:spacing w:after="0"/>
        <w:tabs>
          <w:tab w:leader="none" w:pos="114"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-4477385</wp:posOffset>
            </wp:positionV>
            <wp:extent cx="58959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5895975" cy="8255"/>
                    </a:xfrm>
                    <a:prstGeom prst="rect">
                      <a:avLst/>
                    </a:prstGeom>
                    <a:noFill/>
                  </pic:spPr>
                </pic:pic>
              </a:graphicData>
            </a:graphic>
          </wp:anchor>
        </w:drawing>
      </w:r>
    </w:p>
    <w:p>
      <w:pPr>
        <w:sectPr>
          <w:pgSz w:w="11900" w:h="16838" w:orient="portrait"/>
          <w:cols w:equalWidth="0" w:num="1">
            <w:col w:w="11034"/>
          </w:cols>
          <w:pgMar w:left="526" w:top="1440" w:right="339" w:bottom="1440" w:gutter="0" w:footer="0" w:header="0"/>
        </w:sectPr>
      </w:pPr>
    </w:p>
    <w:bookmarkStart w:id="478" w:name="page479"/>
    <w:bookmarkEnd w:id="478"/>
    <w:p>
      <w:pPr>
        <w:spacing w:after="0" w:line="189" w:lineRule="exact"/>
        <w:rPr>
          <w:sz w:val="20"/>
          <w:szCs w:val="20"/>
          <w:color w:val="auto"/>
        </w:rPr>
      </w:pPr>
    </w:p>
    <w:p>
      <w:pPr>
        <w:jc w:val="both"/>
        <w:ind w:left="460" w:firstLine="644"/>
        <w:spacing w:after="0" w:line="253" w:lineRule="auto"/>
        <w:tabs>
          <w:tab w:leader="none" w:pos="1632" w:val="left"/>
        </w:tabs>
        <w:numPr>
          <w:ilvl w:val="0"/>
          <w:numId w:val="35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Funding of Unrestricted Subsidiary Loans; Net Funding</w:t>
      </w:r>
      <w:r>
        <w:rPr>
          <w:rFonts w:ascii="Times New Roman" w:cs="Times New Roman" w:eastAsia="Times New Roman" w:hAnsi="Times New Roman"/>
          <w:sz w:val="20"/>
          <w:szCs w:val="20"/>
          <w:color w:val="FF0000"/>
          <w:strike w:val="1"/>
        </w:rPr>
        <w:t>. All Revolving Loans shall be made pursuant to Section 2.1.</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and all Term Loans shall be made pursuant to Section 2.2.; provided, however, subject to clause (v) below, (1) all fundings of Loans by Lenders under this Agreement shall be net of the pro rata share of such Loans that is required to be funded by the Unrestricted Subsidiary and (2) the Unrestricted Subsidiary shall be permitted to fund such pro rata share of each Loan directly to the Borrowers. The Unrestricted Subsidiary shall not have the right to make or offer to make any Bid Rate Loans. In no event shall any Lender be required to make any Revolving Loan in excess of its Revolving Commitment.</w:t>
      </w:r>
    </w:p>
    <w:p>
      <w:pPr>
        <w:spacing w:after="0" w:line="192" w:lineRule="exact"/>
        <w:rPr>
          <w:rFonts w:ascii="Times New Roman" w:cs="Times New Roman" w:eastAsia="Times New Roman" w:hAnsi="Times New Roman"/>
          <w:sz w:val="20"/>
          <w:szCs w:val="20"/>
          <w:color w:val="FF0000"/>
          <w:strike w:val="1"/>
        </w:rPr>
      </w:pPr>
    </w:p>
    <w:p>
      <w:pPr>
        <w:jc w:val="both"/>
        <w:ind w:left="460" w:firstLine="644"/>
        <w:spacing w:after="0" w:line="248" w:lineRule="auto"/>
        <w:tabs>
          <w:tab w:leader="none" w:pos="1604" w:val="left"/>
        </w:tabs>
        <w:numPr>
          <w:ilvl w:val="0"/>
          <w:numId w:val="35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Funding of Swingline Loans and Letters of Credit</w:t>
      </w:r>
      <w:r>
        <w:rPr>
          <w:rFonts w:ascii="Times New Roman" w:cs="Times New Roman" w:eastAsia="Times New Roman" w:hAnsi="Times New Roman"/>
          <w:sz w:val="20"/>
          <w:szCs w:val="20"/>
          <w:color w:val="FF0000"/>
          <w:strike w:val="1"/>
        </w:rPr>
        <w:t>. (a) Prior to or simultaneously with the Borrower Representative</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delivering any Notice of Swingline Borrowing under Section 2.5. or the issuance of a Letter of Credit requested by the Borrower Representative under Section 2.4., in each case subsequent to the Unrestricted Subsidiary acquiring an Unrestricted Subsidiary Loan in respect of the Revolving Credit Facility, and (b) with respect to any Swingline Loan and/or any Letter of Credit outstanding on or prior to the date the Unrestricted Subsidiary acquires an Unrestricted Subsidiary Loan in respect of the Revolving Credit Facility and as a condition to the extension or issuance of (or amendment or modification to) such Swingline Loan or Letter of Credit (and no Issuing Bank or Swingline Lender shall have any obligation to extend, issue, amend or modify any Swingline Loan or Letter of Credit until), the Unrestricted Subsidiary shall deposit with the Administrative Agent, as cash collateral for the benefit of the relevant Issuing Bank and/or Swingline Lender, as secured parties in respect of such cash collateral, all amounts that the Unrestricted Subsidiary may be required to fund as a Lender under such Sections as determined by the Administrative Agent in its reasonable discretion. On the date that any Swingline Loan is funded, or if a drawing pursuant to any Letter of Credit occurs, as applicable, the Administrative Agent is authorized to use the monies deposited pursuant to this clause (v) to fund the Unrestricted Subsidiary’s share of such Swingline Loan or drawing, or to make payment to the Administrative Agent in accordance with Section 2.4., as applicable and on such date the Unrestricted Subsidiary shall be deemed to have made Revolving Loans to the applicable Borrower in an amount equal to the amount applied by the Administrative Agent pursuant to this sentence. Notwithstanding anything to the contrary contained in any Loan Document, Lenders other than the Unrestricted Subsidiary shall not in any event be liable in any way for the Unrestricted Subsidiary’s failure to fund amounts that it is required to fund as a Lender under the Loan Documents. To the extent that any interest or other amounts shall accrue on the amounts deposited pursuant to the first sentence of this clause (v), they shall accrue for the benefit of and shall be paid to the Unrestricted Subsidiary. The Unrestricted Subsidiary shall pay to </w:t>
      </w:r>
      <w:r>
        <w:rPr>
          <w:rFonts w:ascii="Times New Roman" w:cs="Times New Roman" w:eastAsia="Times New Roman" w:hAnsi="Times New Roman"/>
          <w:sz w:val="20"/>
          <w:szCs w:val="20"/>
          <w:color w:val="00B050"/>
          <w:strike w:val="1"/>
        </w:rPr>
        <w:t>the Administrative Agent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B050"/>
          <w:strike w:val="1"/>
        </w:rPr>
        <w:t xml:space="preserve">from time to time </w:t>
      </w:r>
      <w:r>
        <w:rPr>
          <w:rFonts w:ascii="Times New Roman" w:cs="Times New Roman" w:eastAsia="Times New Roman" w:hAnsi="Times New Roman"/>
          <w:sz w:val="20"/>
          <w:szCs w:val="20"/>
          <w:color w:val="FF0000"/>
          <w:strike w:val="1"/>
        </w:rPr>
        <w:t>such fees as the Administrative Agent normally charges for similar services in connection with the Administrative</w:t>
      </w:r>
      <w:r>
        <w:rPr>
          <w:rFonts w:ascii="Times New Roman" w:cs="Times New Roman" w:eastAsia="Times New Roman" w:hAnsi="Times New Roman"/>
          <w:sz w:val="20"/>
          <w:szCs w:val="20"/>
          <w:color w:val="00B050"/>
          <w:strike w:val="1"/>
        </w:rPr>
        <w:t xml:space="preserve"> </w:t>
      </w:r>
      <w:r>
        <w:rPr>
          <w:rFonts w:ascii="Times New Roman" w:cs="Times New Roman" w:eastAsia="Times New Roman" w:hAnsi="Times New Roman"/>
          <w:sz w:val="20"/>
          <w:szCs w:val="20"/>
          <w:color w:val="FF0000"/>
          <w:strike w:val="1"/>
        </w:rPr>
        <w:t>Agent’s administration of the account into which such amounts are deposited.</w:t>
      </w:r>
    </w:p>
    <w:p>
      <w:pPr>
        <w:spacing w:after="0" w:line="207" w:lineRule="exact"/>
        <w:rPr>
          <w:sz w:val="20"/>
          <w:szCs w:val="20"/>
          <w:color w:val="auto"/>
        </w:rPr>
      </w:pPr>
    </w:p>
    <w:p>
      <w:pPr>
        <w:jc w:val="both"/>
        <w:ind w:left="460"/>
        <w:spacing w:after="0" w:line="251" w:lineRule="auto"/>
        <w:rPr>
          <w:sz w:val="20"/>
          <w:szCs w:val="20"/>
          <w:color w:val="auto"/>
        </w:rPr>
      </w:pPr>
      <w:r>
        <w:rPr>
          <w:rFonts w:ascii="Times New Roman" w:cs="Times New Roman" w:eastAsia="Times New Roman" w:hAnsi="Times New Roman"/>
          <w:sz w:val="20"/>
          <w:szCs w:val="20"/>
          <w:color w:val="FF0000"/>
          <w:strike w:val="1"/>
        </w:rPr>
        <w:t xml:space="preserve">Each Deemed Repayment shall be in an amount equal to (A) the applicable Cash Repayment, multiplied by (B) a fraction, the numerator of which is the Unrestricted Subsidiary’s Revolving Commitment Percentage in the case of Revolving Loans, or Term Loan Percentage </w:t>
      </w:r>
      <w:r>
        <w:rPr>
          <w:rFonts w:ascii="Times New Roman" w:cs="Times New Roman" w:eastAsia="Times New Roman" w:hAnsi="Times New Roman"/>
          <w:sz w:val="20"/>
          <w:szCs w:val="20"/>
          <w:color w:val="00B050"/>
          <w:strike w:val="1"/>
        </w:rPr>
        <w:t>in the case of Term</w:t>
      </w:r>
      <w:r>
        <w:rPr>
          <w:rFonts w:ascii="Times New Roman" w:cs="Times New Roman" w:eastAsia="Times New Roman" w:hAnsi="Times New Roman"/>
          <w:sz w:val="20"/>
          <w:szCs w:val="20"/>
          <w:color w:val="FF0000"/>
          <w:strike w:val="1"/>
        </w:rPr>
        <w:t xml:space="preserve"> Loans, and the denominator of which is the aggregate Revolving Commitment Percentages in the case of Revolving Loans, or Term Loan Percentages </w:t>
      </w:r>
      <w:r>
        <w:rPr>
          <w:rFonts w:ascii="Times New Roman" w:cs="Times New Roman" w:eastAsia="Times New Roman" w:hAnsi="Times New Roman"/>
          <w:sz w:val="20"/>
          <w:szCs w:val="20"/>
          <w:color w:val="00B050"/>
          <w:strike w:val="1"/>
        </w:rPr>
        <w:t>in the case of Term</w:t>
      </w:r>
      <w:r>
        <w:rPr>
          <w:rFonts w:ascii="Times New Roman" w:cs="Times New Roman" w:eastAsia="Times New Roman" w:hAnsi="Times New Roman"/>
          <w:sz w:val="20"/>
          <w:szCs w:val="20"/>
          <w:color w:val="FF0000"/>
          <w:strike w:val="1"/>
        </w:rPr>
        <w:t xml:space="preserve"> Loans, of the other Lenders. Notwithstanding anything to the contrary set forth above, if immediately prior to giving effect to any such payment or prepayment in respect of any Revolving Loans or Term Loans, the outstanding principal amount of Revolving Loans or Term Loans, as applicable, shall not be held by the Lenders (including the Unrestricted Subsidiary) pro rata in accordance with their Revolving Commitments or Term Loans, as applicable, then such payment or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- 142 -</w:t>
      </w:r>
    </w:p>
    <w:p>
      <w:pPr>
        <w:sectPr>
          <w:pgSz w:w="11900" w:h="16838" w:orient="portrait"/>
          <w:cols w:equalWidth="0" w:num="1">
            <w:col w:w="11040"/>
          </w:cols>
          <w:pgMar w:left="520" w:top="1440" w:right="339" w:bottom="1440" w:gutter="0" w:footer="0" w:header="0"/>
        </w:sectPr>
      </w:pPr>
    </w:p>
    <w:bookmarkStart w:id="479" w:name="page480"/>
    <w:bookmarkEnd w:id="479"/>
    <w:p>
      <w:pPr>
        <w:spacing w:after="0" w:line="189" w:lineRule="exact"/>
        <w:rPr>
          <w:sz w:val="20"/>
          <w:szCs w:val="20"/>
          <w:color w:val="auto"/>
        </w:rPr>
      </w:pPr>
    </w:p>
    <w:p>
      <w:pPr>
        <w:jc w:val="both"/>
        <w:ind w:left="454"/>
        <w:spacing w:after="0" w:line="253" w:lineRule="auto"/>
        <w:rPr>
          <w:sz w:val="20"/>
          <w:szCs w:val="20"/>
          <w:color w:val="auto"/>
        </w:rPr>
      </w:pPr>
      <w:r>
        <w:rPr>
          <w:rFonts w:ascii="Times New Roman" w:cs="Times New Roman" w:eastAsia="Times New Roman" w:hAnsi="Times New Roman"/>
          <w:sz w:val="20"/>
          <w:szCs w:val="20"/>
          <w:color w:val="FF0000"/>
          <w:strike w:val="1"/>
        </w:rPr>
        <w:t>shall be applied to the Revolving Loans or Term Loans of the Lenders (other than the Unrestricted Subsidiary) in such manner as shall result, as nearly as practicable, in the outstanding principal amounts of the Revolving Loans or Term Loans, as applicable, being held by such Lenders pro rata in accordance with their respective Revolving Commitments or Term Loans, as applicable; provided, however, the Unrestricted Subsidiary shall only receive Deemed Repayments and shall not receive any payments in cash until all amounts on account of Obligations then owing to the other Lenders have been paid in full and their Commitments have been terminated in accordance with the terms of this Agreement.</w:t>
      </w:r>
    </w:p>
    <w:p>
      <w:pPr>
        <w:spacing w:after="0" w:line="192" w:lineRule="exact"/>
        <w:rPr>
          <w:sz w:val="20"/>
          <w:szCs w:val="20"/>
          <w:color w:val="auto"/>
        </w:rPr>
      </w:pPr>
    </w:p>
    <w:p>
      <w:pPr>
        <w:jc w:val="both"/>
        <w:ind w:left="454" w:firstLine="644"/>
        <w:spacing w:after="0" w:line="251" w:lineRule="auto"/>
        <w:tabs>
          <w:tab w:leader="none" w:pos="1640" w:val="left"/>
        </w:tabs>
        <w:numPr>
          <w:ilvl w:val="1"/>
          <w:numId w:val="35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Optional and Mandatory Prepayments and Repayments; Application</w:t>
      </w:r>
      <w:r>
        <w:rPr>
          <w:rFonts w:ascii="Times New Roman" w:cs="Times New Roman" w:eastAsia="Times New Roman" w:hAnsi="Times New Roman"/>
          <w:sz w:val="20"/>
          <w:szCs w:val="20"/>
          <w:color w:val="FF0000"/>
          <w:strike w:val="1"/>
        </w:rPr>
        <w:t>. Any payment or repayment of the principal of</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Revolving Loans or Term Loans (including any Deemed Repayments made to the Unrestricted Subsidiary) made by any Borrower shall be applied in accordance with Section 3.2. In calculating the application of such payments and taking into account the agreement of the Unrestricted Subsidiary to subordinate its receipt of payments on the Unrestricted Subsidiary Loans, the aggregate amount of any payment or repayment of the principal amount of Loans made by any Borrower shall consist of (x) a cash component equal to the full amount paid by such Borrower to be distributed to the Lenders (other than the Unrestricted Subsidiary) on account of such Loans (the “Cash Repayment”) and (y) a deemed payment or repayment of principal of such Loans (each, a “Deemed Repayment”) held by the Unrestricted Subsidiary.</w:t>
      </w:r>
    </w:p>
    <w:p>
      <w:pPr>
        <w:spacing w:after="0" w:line="181" w:lineRule="exact"/>
        <w:rPr>
          <w:rFonts w:ascii="Times New Roman" w:cs="Times New Roman" w:eastAsia="Times New Roman" w:hAnsi="Times New Roman"/>
          <w:sz w:val="20"/>
          <w:szCs w:val="20"/>
          <w:color w:val="FF0000"/>
          <w:strike w:val="1"/>
        </w:rPr>
      </w:pPr>
    </w:p>
    <w:p>
      <w:pPr>
        <w:jc w:val="both"/>
        <w:ind w:left="454" w:firstLine="644"/>
        <w:spacing w:after="0" w:line="251" w:lineRule="auto"/>
        <w:tabs>
          <w:tab w:leader="none" w:pos="1762" w:val="left"/>
        </w:tabs>
        <w:numPr>
          <w:ilvl w:val="1"/>
          <w:numId w:val="35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Unrestricted Subsidiary Purchase Procedure</w:t>
      </w:r>
      <w:r>
        <w:rPr>
          <w:rFonts w:ascii="Times New Roman" w:cs="Times New Roman" w:eastAsia="Times New Roman" w:hAnsi="Times New Roman"/>
          <w:sz w:val="20"/>
          <w:szCs w:val="20"/>
          <w:color w:val="FF0000"/>
          <w:strike w:val="1"/>
        </w:rPr>
        <w:t>. The Unrestricted Subsidiary shall not be permitted to purchase any</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portion of any Loan or Revolving Commitment from a Lender unless (1) the Unrestricted Subsidiary shall have complied with the purchase procedures described on Exhibit P attached hereto and made a part hereof and (2) no Event of Default or any default (following the expiration of any applicable notice and cure period) of any of the covenants and agreements set forth in Annex 2 to each Unrestricted Subsidiary Assignment Agreement then exists or would result from the consummation of any such purchase. The Unrestricted Subsidiary shall not be permitted to acquire any participations in any Loan or Revolving Commitment pursuant to Section 12.5.(d). The Unrestricted Subsidiary shall be subject to the covenants and agreements set forth on Annex 2 to each Unrestricted Subsidiary Assignment Agreement.</w:t>
      </w:r>
    </w:p>
    <w:p>
      <w:pPr>
        <w:spacing w:after="0" w:line="195" w:lineRule="exact"/>
        <w:rPr>
          <w:rFonts w:ascii="Times New Roman" w:cs="Times New Roman" w:eastAsia="Times New Roman" w:hAnsi="Times New Roman"/>
          <w:sz w:val="20"/>
          <w:szCs w:val="20"/>
          <w:color w:val="FF0000"/>
          <w:strike w:val="1"/>
        </w:rPr>
      </w:pPr>
    </w:p>
    <w:p>
      <w:pPr>
        <w:jc w:val="both"/>
        <w:ind w:left="454" w:firstLine="644"/>
        <w:spacing w:after="0" w:line="251" w:lineRule="auto"/>
        <w:tabs>
          <w:tab w:leader="none" w:pos="1736" w:val="left"/>
        </w:tabs>
        <w:numPr>
          <w:ilvl w:val="1"/>
          <w:numId w:val="35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Bankruptcy Matters</w:t>
      </w:r>
      <w:r>
        <w:rPr>
          <w:rFonts w:ascii="Times New Roman" w:cs="Times New Roman" w:eastAsia="Times New Roman" w:hAnsi="Times New Roman"/>
          <w:sz w:val="20"/>
          <w:szCs w:val="20"/>
          <w:color w:val="FF0000"/>
          <w:strike w:val="1"/>
        </w:rPr>
        <w:t>. Upon the occurrence of any of the events described in Sections 10.1.(e) or 10.1.(f) (each such</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event a “Proceeding”), (1) the Unrestricted Subsidiary shall not have any enforcement rights relating to any Unrestricted Subsidiary Loan, (2) the Unrestricted Subsidiary shall be treated as a separate class of creditors for all purposes under, and during the course of, such Proceeding, subordinate to and separate and apart from </w:t>
      </w:r>
      <w:r>
        <w:rPr>
          <w:rFonts w:ascii="Times New Roman" w:cs="Times New Roman" w:eastAsia="Times New Roman" w:hAnsi="Times New Roman"/>
          <w:sz w:val="20"/>
          <w:szCs w:val="20"/>
          <w:color w:val="00B050"/>
          <w:strike w:val="1"/>
        </w:rPr>
        <w:t>the Administrative Agent and the</w:t>
      </w:r>
      <w:r>
        <w:rPr>
          <w:rFonts w:ascii="Times New Roman" w:cs="Times New Roman" w:eastAsia="Times New Roman" w:hAnsi="Times New Roman"/>
          <w:sz w:val="20"/>
          <w:szCs w:val="20"/>
          <w:color w:val="FF0000"/>
          <w:strike w:val="1"/>
        </w:rPr>
        <w:t xml:space="preserve"> other Lenders and (3) the Unrestricted Subsidiary shall not vote on any proposed plan of reorganization in any Proceeding and shall not oppose any sale or disposition of any assets of any Borrower that is supported by the Requisite Lenders and shall not support any sale of disposition of any assets of any Borrower that is opposed by the Requisite Lenders, and the Unrestricted Subsidiary shall be deemed to have either consented or withheld consent in accordance with this clause (3) under Section 363 of the Bankruptcy Code.</w:t>
      </w:r>
    </w:p>
    <w:p>
      <w:pPr>
        <w:spacing w:after="0" w:line="195" w:lineRule="exact"/>
        <w:rPr>
          <w:rFonts w:ascii="Times New Roman" w:cs="Times New Roman" w:eastAsia="Times New Roman" w:hAnsi="Times New Roman"/>
          <w:sz w:val="20"/>
          <w:szCs w:val="20"/>
          <w:color w:val="FF0000"/>
          <w:strike w:val="1"/>
        </w:rPr>
      </w:pPr>
    </w:p>
    <w:p>
      <w:pPr>
        <w:jc w:val="both"/>
        <w:ind w:left="454" w:firstLine="644"/>
        <w:spacing w:after="0" w:line="261" w:lineRule="auto"/>
        <w:tabs>
          <w:tab w:leader="none" w:pos="1613" w:val="left"/>
        </w:tabs>
        <w:numPr>
          <w:ilvl w:val="1"/>
          <w:numId w:val="35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No Resale By Unrestricted Subsidiary</w:t>
      </w:r>
      <w:r>
        <w:rPr>
          <w:rFonts w:ascii="Times New Roman" w:cs="Times New Roman" w:eastAsia="Times New Roman" w:hAnsi="Times New Roman"/>
          <w:sz w:val="20"/>
          <w:szCs w:val="20"/>
          <w:color w:val="FF0000"/>
          <w:strike w:val="1"/>
        </w:rPr>
        <w:t>. The Unrestricted Subsidiary shall not be permitted to sell, assign or otherwise</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transfer (whether by participation or otherwise) any portion of any Unrestricted Subsidiary Loans held by the Unrestricted Subsidiary or any interest therein.</w:t>
      </w:r>
    </w:p>
    <w:p>
      <w:pPr>
        <w:spacing w:after="0" w:line="200" w:lineRule="exact"/>
        <w:rPr>
          <w:rFonts w:ascii="Times New Roman" w:cs="Times New Roman" w:eastAsia="Times New Roman" w:hAnsi="Times New Roman"/>
          <w:sz w:val="20"/>
          <w:szCs w:val="20"/>
          <w:color w:val="FF0000"/>
          <w:strike w:val="1"/>
        </w:rPr>
      </w:pPr>
    </w:p>
    <w:p>
      <w:pPr>
        <w:spacing w:after="0" w:line="200" w:lineRule="exact"/>
        <w:rPr>
          <w:rFonts w:ascii="Times New Roman" w:cs="Times New Roman" w:eastAsia="Times New Roman" w:hAnsi="Times New Roman"/>
          <w:sz w:val="20"/>
          <w:szCs w:val="20"/>
          <w:color w:val="FF0000"/>
          <w:strike w:val="1"/>
        </w:rPr>
      </w:pPr>
    </w:p>
    <w:p>
      <w:pPr>
        <w:spacing w:after="0" w:line="200" w:lineRule="exact"/>
        <w:rPr>
          <w:rFonts w:ascii="Times New Roman" w:cs="Times New Roman" w:eastAsia="Times New Roman" w:hAnsi="Times New Roman"/>
          <w:sz w:val="20"/>
          <w:szCs w:val="20"/>
          <w:color w:val="FF0000"/>
          <w:strike w:val="1"/>
        </w:rPr>
      </w:pPr>
    </w:p>
    <w:p>
      <w:pPr>
        <w:spacing w:after="0" w:line="200" w:lineRule="exact"/>
        <w:rPr>
          <w:rFonts w:ascii="Times New Roman" w:cs="Times New Roman" w:eastAsia="Times New Roman" w:hAnsi="Times New Roman"/>
          <w:sz w:val="20"/>
          <w:szCs w:val="20"/>
          <w:color w:val="FF0000"/>
          <w:strike w:val="1"/>
        </w:rPr>
      </w:pPr>
    </w:p>
    <w:p>
      <w:pPr>
        <w:spacing w:after="0" w:line="200" w:lineRule="exact"/>
        <w:rPr>
          <w:rFonts w:ascii="Times New Roman" w:cs="Times New Roman" w:eastAsia="Times New Roman" w:hAnsi="Times New Roman"/>
          <w:sz w:val="20"/>
          <w:szCs w:val="20"/>
          <w:color w:val="FF0000"/>
          <w:strike w:val="1"/>
        </w:rPr>
      </w:pPr>
    </w:p>
    <w:p>
      <w:pPr>
        <w:spacing w:after="0" w:line="234" w:lineRule="exact"/>
        <w:rPr>
          <w:rFonts w:ascii="Times New Roman" w:cs="Times New Roman" w:eastAsia="Times New Roman" w:hAnsi="Times New Roman"/>
          <w:sz w:val="20"/>
          <w:szCs w:val="20"/>
          <w:color w:val="FF0000"/>
          <w:strike w:val="1"/>
        </w:rPr>
      </w:pPr>
    </w:p>
    <w:p>
      <w:pPr>
        <w:ind w:left="114" w:hanging="114"/>
        <w:spacing w:after="0"/>
        <w:tabs>
          <w:tab w:leader="none" w:pos="114"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143 -</w:t>
      </w:r>
    </w:p>
    <w:p>
      <w:pPr>
        <w:sectPr>
          <w:pgSz w:w="11900" w:h="16838" w:orient="portrait"/>
          <w:cols w:equalWidth="0" w:num="1">
            <w:col w:w="11034"/>
          </w:cols>
          <w:pgMar w:left="526" w:top="1440" w:right="339" w:bottom="1440" w:gutter="0" w:footer="0" w:header="0"/>
        </w:sectPr>
      </w:pPr>
    </w:p>
    <w:bookmarkStart w:id="480" w:name="page481"/>
    <w:bookmarkEnd w:id="480"/>
    <w:p>
      <w:pPr>
        <w:spacing w:after="0" w:line="189"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0"/>
          <w:szCs w:val="20"/>
          <w:color w:val="FF0000"/>
          <w:strike w:val="1"/>
        </w:rPr>
        <w:t>(x</w:t>
      </w:r>
      <w:r>
        <w:rPr>
          <w:rFonts w:ascii="Times New Roman" w:cs="Times New Roman" w:eastAsia="Times New Roman" w:hAnsi="Times New Roman"/>
          <w:sz w:val="20"/>
          <w:szCs w:val="20"/>
          <w:u w:val="single" w:color="auto"/>
          <w:color w:val="0070C0"/>
        </w:rPr>
        <w:t>i</w:t>
      </w:r>
      <w:r>
        <w:rPr>
          <w:rFonts w:ascii="Times New Roman" w:cs="Times New Roman" w:eastAsia="Times New Roman" w:hAnsi="Times New Roman"/>
          <w:sz w:val="20"/>
          <w:szCs w:val="20"/>
          <w:color w:val="FF0000"/>
          <w:strike w:val="1"/>
        </w:rPr>
        <w:t>)</w:t>
      </w:r>
      <w:r>
        <w:rPr>
          <w:sz w:val="20"/>
          <w:szCs w:val="20"/>
          <w:color w:val="auto"/>
        </w:rPr>
        <w:tab/>
      </w:r>
      <w:r>
        <w:rPr>
          <w:rFonts w:ascii="Times New Roman" w:cs="Times New Roman" w:eastAsia="Times New Roman" w:hAnsi="Times New Roman"/>
          <w:sz w:val="19"/>
          <w:szCs w:val="19"/>
          <w:color w:val="FF0000"/>
          <w:strike w:val="1"/>
        </w:rPr>
        <w:t>Interest. No Unrestricted Subsidiary Loan shall accrue interest</w:t>
      </w:r>
      <w:r>
        <w:rPr>
          <w:rFonts w:ascii="Times New Roman" w:cs="Times New Roman" w:eastAsia="Times New Roman" w:hAnsi="Times New Roman"/>
          <w:sz w:val="19"/>
          <w:szCs w:val="19"/>
          <w:u w:val="single" w:color="auto"/>
          <w:color w:val="0070C0"/>
          <w:strike w:val="1"/>
        </w:rPr>
        <w:t>[Reserved]</w:t>
      </w:r>
      <w:r>
        <w:rPr>
          <w:rFonts w:ascii="Times New Roman" w:cs="Times New Roman" w:eastAsia="Times New Roman" w:hAnsi="Times New Roman"/>
          <w:sz w:val="19"/>
          <w:szCs w:val="19"/>
          <w:color w:val="0070C0"/>
          <w:strike w:val="1"/>
        </w:rPr>
        <w:t>.</w:t>
      </w:r>
    </w:p>
    <w:p>
      <w:pPr>
        <w:spacing w:after="0" w:line="229" w:lineRule="exact"/>
        <w:rPr>
          <w:sz w:val="20"/>
          <w:szCs w:val="20"/>
          <w:color w:val="auto"/>
        </w:rPr>
      </w:pPr>
    </w:p>
    <w:p>
      <w:pPr>
        <w:ind w:left="660" w:firstLine="644"/>
        <w:spacing w:after="0" w:line="269" w:lineRule="auto"/>
        <w:tabs>
          <w:tab w:leader="none" w:pos="1818" w:val="left"/>
        </w:tabs>
        <w:numPr>
          <w:ilvl w:val="1"/>
          <w:numId w:val="359"/>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Compensation</w:t>
      </w:r>
      <w:r>
        <w:rPr>
          <w:rFonts w:ascii="Times New Roman" w:cs="Times New Roman" w:eastAsia="Times New Roman" w:hAnsi="Times New Roman"/>
          <w:sz w:val="20"/>
          <w:szCs w:val="20"/>
          <w:color w:val="FF0000"/>
          <w:strike w:val="1"/>
        </w:rPr>
        <w:t>. The Unrestricted Subsidiary shall not be entitled to any compensation or any other payments pursuant</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to Sections 3.10, 4.1, 4.4, 12.2 or 12.9.</w:t>
      </w:r>
    </w:p>
    <w:p>
      <w:pPr>
        <w:spacing w:after="0" w:line="172" w:lineRule="exact"/>
        <w:rPr>
          <w:rFonts w:ascii="Times New Roman" w:cs="Times New Roman" w:eastAsia="Times New Roman" w:hAnsi="Times New Roman"/>
          <w:sz w:val="20"/>
          <w:szCs w:val="20"/>
          <w:color w:val="FF0000"/>
          <w:strike w:val="1"/>
        </w:rPr>
      </w:pPr>
    </w:p>
    <w:p>
      <w:pPr>
        <w:jc w:val="both"/>
        <w:ind w:left="660" w:firstLine="644"/>
        <w:spacing w:after="0" w:line="261" w:lineRule="auto"/>
        <w:tabs>
          <w:tab w:leader="none" w:pos="1954" w:val="left"/>
        </w:tabs>
        <w:numPr>
          <w:ilvl w:val="1"/>
          <w:numId w:val="359"/>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Restriction on the Sale or Pledge of Equity Interests, etc. of Unrestricted Subsidiary</w:t>
      </w:r>
      <w:r>
        <w:rPr>
          <w:rFonts w:ascii="Times New Roman" w:cs="Times New Roman" w:eastAsia="Times New Roman" w:hAnsi="Times New Roman"/>
          <w:sz w:val="20"/>
          <w:szCs w:val="20"/>
          <w:color w:val="FF0000"/>
          <w:strike w:val="1"/>
        </w:rPr>
        <w:t>. No Borrower shall, and no</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Borrower shall permit any of its Subsidiaries to, sell, assign or otherwise dispose of, or pledge or grant any Lien on, any Equity Interests of the Unrestricted Subsidiary.</w:t>
      </w:r>
    </w:p>
    <w:p>
      <w:pPr>
        <w:spacing w:after="0" w:line="181" w:lineRule="exact"/>
        <w:rPr>
          <w:rFonts w:ascii="Times New Roman" w:cs="Times New Roman" w:eastAsia="Times New Roman" w:hAnsi="Times New Roman"/>
          <w:sz w:val="20"/>
          <w:szCs w:val="20"/>
          <w:color w:val="FF0000"/>
          <w:strike w:val="1"/>
        </w:rPr>
      </w:pPr>
    </w:p>
    <w:p>
      <w:pPr>
        <w:jc w:val="both"/>
        <w:ind w:firstLine="656"/>
        <w:spacing w:after="0" w:line="253" w:lineRule="auto"/>
        <w:tabs>
          <w:tab w:leader="none" w:pos="1087"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 Notice; Compliance</w:t>
      </w:r>
      <w:r>
        <w:rPr>
          <w:rFonts w:ascii="Times New Roman" w:cs="Times New Roman" w:eastAsia="Times New Roman" w:hAnsi="Times New Roman"/>
          <w:sz w:val="20"/>
          <w:szCs w:val="20"/>
          <w:color w:val="auto"/>
        </w:rPr>
        <w:t>. In order for the Administrative Agent to comply with “know your customer” and anti-money laundering rules and regulations, including without limitation, the Patriot Act, prior to any Lender or Participant that is organized under the laws of a jurisdiction outside of the United States of America becoming a party hereto, the Administrative Agent may request, and such Lender or Participant shall provide to the Administrative Agent, its name, address, tax identification number and/or such other identification information as shall be necessary for the Administrative Agent to comply with federal law.</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12.6.</w:t>
      </w:r>
      <w:r>
        <w:rPr>
          <w:sz w:val="20"/>
          <w:szCs w:val="20"/>
          <w:color w:val="auto"/>
        </w:rPr>
        <w:tab/>
      </w:r>
      <w:r>
        <w:rPr>
          <w:rFonts w:ascii="Times New Roman" w:cs="Times New Roman" w:eastAsia="Times New Roman" w:hAnsi="Times New Roman"/>
          <w:sz w:val="19"/>
          <w:szCs w:val="19"/>
          <w:b w:val="1"/>
          <w:bCs w:val="1"/>
          <w:color w:val="auto"/>
        </w:rPr>
        <w:t>Amendments and Waivers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0" w:lineRule="auto"/>
        <w:tabs>
          <w:tab w:leader="none" w:pos="1133" w:val="left"/>
        </w:tabs>
        <w:numPr>
          <w:ilvl w:val="1"/>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Except as otherwise expressly provided in this Agreement (including Section 4.2(b)), (i) any consent or approval required or permitted by this Agreement or any other Loan Document to be given by the Lenders may be given, (ii) any term of this Agreement or of any other Loan Document may be amended, (iii) the performance or observance by any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Subject to the immediately following subsection (b), any term of this Agreement or of any other Loan Document relating solely and directly to the rights or obligations of the Revolving Lenders, and not any other Lenders, may be amended, and the performance or observance by the Borrowers or any other Loan Party or any Subsidiary of any such terms may be waived (either generally or in a particular instance and either retroactively or prospectively) with, and only with, the written consent of the Requisite Revolving Lenders (and, in the case of an amendment to any Loan Document, the written consent of each Loan Party a party thereto). Subject to the immediately following subsection (b), any term of this Agreement or of any other Loan Document relating solely and directly to the rights or obligations of the Term Loan Lenders or any Class of Term Loan Lenders, and not any other Lenders, may be amended, and the performance or observance by the Borrower or any other Loan Party or any Subsidiary of any such terms may be waived (either generally or in a particular instance and either retroactively or prospectively) with, but only with, the written consent of the Requisite Term A Loan Lenders and/or the Requisite Term B Loan Lenders, as applicable (and, in the case of an amendment to any Loan Document, the written consent of each Loan Party a party thereto).</w:t>
      </w:r>
    </w:p>
    <w:p>
      <w:pPr>
        <w:spacing w:after="0" w:line="17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of Lenders Directly Affected</w:t>
      </w:r>
      <w:r>
        <w:rPr>
          <w:rFonts w:ascii="Times New Roman" w:cs="Times New Roman" w:eastAsia="Times New Roman" w:hAnsi="Times New Roman"/>
          <w:sz w:val="20"/>
          <w:szCs w:val="20"/>
          <w:color w:val="auto"/>
        </w:rPr>
        <w:t>. In addition to the foregoing requirements, no amendment, waiver or consent shall:</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803" w:val="left"/>
        </w:tabs>
        <w:numPr>
          <w:ilvl w:val="2"/>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(or reinstate) the Commitments of a Lender or subject a Lender to any additional obligations without the written consent of such Lender;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144 -</w:t>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189" w:lineRule="exact"/>
        <w:rPr>
          <w:sz w:val="20"/>
          <w:szCs w:val="20"/>
          <w:color w:val="auto"/>
        </w:rPr>
      </w:pPr>
    </w:p>
    <w:p>
      <w:pPr>
        <w:jc w:val="both"/>
        <w:ind w:left="652" w:firstLine="644"/>
        <w:spacing w:after="0" w:line="258" w:lineRule="auto"/>
        <w:tabs>
          <w:tab w:leader="none" w:pos="1839"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interest that has accrued or the rates of interest that will be charged on the outstanding principal amount of, any Loans or other Obligations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only the written consent of the Requisite Lenders shall be required for the waiver of interest payable at the Post-Default Rate, retraction of the imposition of interest at the Post-Default Rate and amendment of the definition of “Post-Default Rate”;</w:t>
      </w:r>
    </w:p>
    <w:p>
      <w:pPr>
        <w:spacing w:after="0" w:line="172" w:lineRule="exact"/>
        <w:rPr>
          <w:rFonts w:ascii="Times New Roman" w:cs="Times New Roman" w:eastAsia="Times New Roman" w:hAnsi="Times New Roman"/>
          <w:sz w:val="20"/>
          <w:szCs w:val="20"/>
          <w:color w:val="auto"/>
        </w:rPr>
      </w:pPr>
    </w:p>
    <w:p>
      <w:pPr>
        <w:ind w:left="1792" w:hanging="496"/>
        <w:spacing w:after="0"/>
        <w:tabs>
          <w:tab w:leader="none" w:pos="1792"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amount of any Fees payable to a Lender without the written consent of such Lender;</w:t>
      </w:r>
    </w:p>
    <w:p>
      <w:pPr>
        <w:spacing w:after="0" w:line="229" w:lineRule="exact"/>
        <w:rPr>
          <w:rFonts w:ascii="Times New Roman" w:cs="Times New Roman" w:eastAsia="Times New Roman" w:hAnsi="Times New Roman"/>
          <w:sz w:val="20"/>
          <w:szCs w:val="20"/>
          <w:color w:val="auto"/>
        </w:rPr>
      </w:pPr>
    </w:p>
    <w:p>
      <w:pPr>
        <w:jc w:val="both"/>
        <w:ind w:left="652" w:firstLine="644"/>
        <w:spacing w:after="0" w:line="276" w:lineRule="auto"/>
        <w:tabs>
          <w:tab w:leader="none" w:pos="1892" w:val="left"/>
        </w:tabs>
        <w:numPr>
          <w:ilvl w:val="0"/>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modify the definitions of “Revolving Termination Date” (except in accordance with Section 2.14.) or “Revolving Commitment Percentage”, otherwise postpone any date fixed for, or forgive, any payment of principal of, or interest on, any Revolving Loans or for the payment of Fees or any other Obligations owing to the Revolving Lenders, or extend the expiration date of any Letter of Credit beyond the Revolving Termination Date, in each case, without the written consent of each Revolving Lender;</w:t>
      </w:r>
    </w:p>
    <w:p>
      <w:pPr>
        <w:spacing w:after="0" w:line="156" w:lineRule="exact"/>
        <w:rPr>
          <w:rFonts w:ascii="Times New Roman" w:cs="Times New Roman" w:eastAsia="Times New Roman" w:hAnsi="Times New Roman"/>
          <w:sz w:val="19"/>
          <w:szCs w:val="19"/>
          <w:color w:val="auto"/>
        </w:rPr>
      </w:pPr>
    </w:p>
    <w:p>
      <w:pPr>
        <w:jc w:val="both"/>
        <w:ind w:left="652" w:firstLine="644"/>
        <w:spacing w:after="0" w:line="288" w:lineRule="auto"/>
        <w:tabs>
          <w:tab w:leader="none" w:pos="1733" w:val="left"/>
        </w:tabs>
        <w:numPr>
          <w:ilvl w:val="0"/>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modify the definitions of “Term A Loan Maturity Date”, “Term B Loan Maturity Date”, or otherwise postpone any date fixed for, or forgive, any payment of principal of, or interest on, any Term Loans or for the payment of Fees or any other Obligations owing to the Term Loan Lenders, in each case, without the written consent of each Term Loan Lender of the applicable Class;</w:t>
      </w:r>
    </w:p>
    <w:p>
      <w:pPr>
        <w:spacing w:after="0" w:line="144" w:lineRule="exact"/>
        <w:rPr>
          <w:rFonts w:ascii="Times New Roman" w:cs="Times New Roman" w:eastAsia="Times New Roman" w:hAnsi="Times New Roman"/>
          <w:sz w:val="19"/>
          <w:szCs w:val="19"/>
          <w:color w:val="auto"/>
        </w:rPr>
      </w:pPr>
    </w:p>
    <w:p>
      <w:pPr>
        <w:jc w:val="both"/>
        <w:ind w:left="652" w:firstLine="644"/>
        <w:spacing w:after="0" w:line="285" w:lineRule="auto"/>
        <w:tabs>
          <w:tab w:leader="none" w:pos="1811" w:val="left"/>
        </w:tabs>
        <w:numPr>
          <w:ilvl w:val="0"/>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while any Term A Loans or Term B Loans remain outstanding, amend, modify or waive (A) Section 5.2. or any other provision of this Agreement if the effect of such amendment, modification or waiver is to require the Revolving Lenders to make Revolving Loans when such Lenders would not otherwise be required to do so, (B) </w:t>
      </w:r>
      <w:r>
        <w:rPr>
          <w:rFonts w:ascii="Times New Roman" w:cs="Times New Roman" w:eastAsia="Times New Roman" w:hAnsi="Times New Roman"/>
          <w:sz w:val="19"/>
          <w:szCs w:val="19"/>
          <w:color w:val="FF0000"/>
          <w:strike w:val="1"/>
        </w:rPr>
        <w:t>the amount of the Swingline Commitment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0C0"/>
        </w:rPr>
        <w:t>[Reserved]</w:t>
      </w:r>
      <w:r>
        <w:rPr>
          <w:rFonts w:ascii="Times New Roman" w:cs="Times New Roman" w:eastAsia="Times New Roman" w:hAnsi="Times New Roman"/>
          <w:sz w:val="24"/>
          <w:szCs w:val="24"/>
          <w:u w:val="single" w:color="auto"/>
          <w:color w:val="0070C0"/>
          <w:vertAlign w:val="superscript"/>
        </w:rPr>
        <w:t>4</w:t>
      </w:r>
      <w:r>
        <w:rPr>
          <w:rFonts w:ascii="Times New Roman" w:cs="Times New Roman" w:eastAsia="Times New Roman" w:hAnsi="Times New Roman"/>
          <w:sz w:val="19"/>
          <w:szCs w:val="19"/>
          <w:color w:val="0070C0"/>
        </w:rPr>
        <w:t xml:space="preserve"> </w:t>
      </w:r>
      <w:r>
        <w:rPr>
          <w:rFonts w:ascii="Times New Roman" w:cs="Times New Roman" w:eastAsia="Times New Roman" w:hAnsi="Times New Roman"/>
          <w:sz w:val="19"/>
          <w:szCs w:val="19"/>
          <w:color w:val="000000"/>
        </w:rPr>
        <w:t>or (C) the L/C Commitment Amount, in each case, without the prior written consent of the Requisite Revolving Lenders;</w:t>
      </w:r>
    </w:p>
    <w:p>
      <w:pPr>
        <w:spacing w:after="0" w:line="68" w:lineRule="exact"/>
        <w:rPr>
          <w:rFonts w:ascii="Times New Roman" w:cs="Times New Roman" w:eastAsia="Times New Roman" w:hAnsi="Times New Roman"/>
          <w:sz w:val="19"/>
          <w:szCs w:val="19"/>
          <w:color w:val="auto"/>
        </w:rPr>
      </w:pPr>
    </w:p>
    <w:p>
      <w:pPr>
        <w:ind w:left="652" w:firstLine="644"/>
        <w:spacing w:after="0" w:line="269" w:lineRule="auto"/>
        <w:tabs>
          <w:tab w:leader="none" w:pos="1898"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definitions of “Pro Rata Share” or “Requisite Lenders” or amend or otherwise modify the provisions of Section 3.2. or Section 10.5 without the written consent of each Lender;</w:t>
      </w:r>
    </w:p>
    <w:p>
      <w:pPr>
        <w:spacing w:after="0" w:line="172" w:lineRule="exact"/>
        <w:rPr>
          <w:rFonts w:ascii="Times New Roman" w:cs="Times New Roman" w:eastAsia="Times New Roman" w:hAnsi="Times New Roman"/>
          <w:sz w:val="20"/>
          <w:szCs w:val="20"/>
          <w:color w:val="auto"/>
        </w:rPr>
      </w:pPr>
    </w:p>
    <w:p>
      <w:pPr>
        <w:ind w:left="652" w:firstLine="644"/>
        <w:spacing w:after="0" w:line="269" w:lineRule="auto"/>
        <w:tabs>
          <w:tab w:leader="none" w:pos="1896"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this Section or amend the definitions of the terms used in this Agreement or the other Loan Documents insofar as such definitions affect the substance of this Section without the written consent of each Lender;</w:t>
      </w:r>
    </w:p>
    <w:p>
      <w:pPr>
        <w:spacing w:after="0" w:line="172" w:lineRule="exact"/>
        <w:rPr>
          <w:rFonts w:ascii="Times New Roman" w:cs="Times New Roman" w:eastAsia="Times New Roman" w:hAnsi="Times New Roman"/>
          <w:sz w:val="20"/>
          <w:szCs w:val="20"/>
          <w:color w:val="auto"/>
        </w:rPr>
      </w:pPr>
    </w:p>
    <w:p>
      <w:pPr>
        <w:jc w:val="both"/>
        <w:ind w:left="652" w:firstLine="644"/>
        <w:spacing w:after="0" w:line="261" w:lineRule="auto"/>
        <w:tabs>
          <w:tab w:leader="none" w:pos="1915"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definition of the term “Requisite Revolving Lenders” or modify in any other manner the number or percentage of the Revolving Lenders required to make any determinations or waive any rights hereunder or to modify any provision hereof without the written consent of each Revolving Lender;</w:t>
      </w:r>
    </w:p>
    <w:p>
      <w:pPr>
        <w:spacing w:after="0" w:line="181" w:lineRule="exact"/>
        <w:rPr>
          <w:rFonts w:ascii="Times New Roman" w:cs="Times New Roman" w:eastAsia="Times New Roman" w:hAnsi="Times New Roman"/>
          <w:sz w:val="20"/>
          <w:szCs w:val="20"/>
          <w:color w:val="auto"/>
        </w:rPr>
      </w:pPr>
    </w:p>
    <w:p>
      <w:pPr>
        <w:jc w:val="both"/>
        <w:ind w:left="652" w:right="20" w:firstLine="644"/>
        <w:spacing w:after="0" w:line="261" w:lineRule="auto"/>
        <w:tabs>
          <w:tab w:leader="none" w:pos="1771"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modify the definition of the term “Requisite Term A Loan Lenders” or modify in any other manner the number or percentage of the Term A Loan Lenders required to make any determinations or waive any rights hereunder or to modify any provision hereof without the written consent of each Term A Loan Lender or (ii) modify the definition of the term “Requisite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6459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-2098675</wp:posOffset>
            </wp:positionV>
            <wp:extent cx="311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60" w:lineRule="exact"/>
        <w:rPr>
          <w:sz w:val="20"/>
          <w:szCs w:val="20"/>
          <w:color w:val="auto"/>
        </w:rPr>
      </w:pPr>
    </w:p>
    <w:p>
      <w:pPr>
        <w:ind w:left="332" w:hanging="332"/>
        <w:spacing w:after="0" w:line="229" w:lineRule="auto"/>
        <w:tabs>
          <w:tab w:leader="none" w:pos="287" w:val="left"/>
        </w:tabs>
        <w:numPr>
          <w:ilvl w:val="0"/>
          <w:numId w:val="3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0070C0"/>
        </w:rPr>
        <w:t>NTD: The deletion of this clause (vi)(B) in the First Amendment is a technical amendment and shall be deemed to be effected under Section 12.6(d) hereof.</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9" w:lineRule="exact"/>
        <w:rPr>
          <w:rFonts w:ascii="Times New Roman" w:cs="Times New Roman" w:eastAsia="Times New Roman" w:hAnsi="Times New Roman"/>
          <w:sz w:val="23"/>
          <w:szCs w:val="23"/>
          <w:color w:val="auto"/>
          <w:vertAlign w:val="superscript"/>
        </w:rPr>
      </w:pPr>
    </w:p>
    <w:p>
      <w:pPr>
        <w:ind w:left="312" w:hanging="114"/>
        <w:spacing w:after="0"/>
        <w:tabs>
          <w:tab w:leader="none" w:pos="312"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145 -</w:t>
      </w:r>
    </w:p>
    <w:p>
      <w:pPr>
        <w:sectPr>
          <w:pgSz w:w="11900" w:h="16838" w:orient="portrait"/>
          <w:cols w:equalWidth="0" w:num="1">
            <w:col w:w="11232"/>
          </w:cols>
          <w:pgMar w:left="328" w:top="1440" w:right="339" w:bottom="1440" w:gutter="0" w:footer="0" w:header="0"/>
        </w:sectPr>
      </w:pPr>
    </w:p>
    <w:bookmarkStart w:id="482" w:name="page483"/>
    <w:bookmarkEnd w:id="482"/>
    <w:p>
      <w:pPr>
        <w:spacing w:after="0" w:line="189" w:lineRule="exact"/>
        <w:rPr>
          <w:sz w:val="20"/>
          <w:szCs w:val="20"/>
          <w:color w:val="auto"/>
        </w:rPr>
      </w:pPr>
    </w:p>
    <w:p>
      <w:pPr>
        <w:jc w:val="both"/>
        <w:ind w:left="454"/>
        <w:spacing w:after="0" w:line="261" w:lineRule="auto"/>
        <w:rPr>
          <w:sz w:val="20"/>
          <w:szCs w:val="20"/>
          <w:color w:val="auto"/>
        </w:rPr>
      </w:pPr>
      <w:r>
        <w:rPr>
          <w:rFonts w:ascii="Times New Roman" w:cs="Times New Roman" w:eastAsia="Times New Roman" w:hAnsi="Times New Roman"/>
          <w:sz w:val="20"/>
          <w:szCs w:val="20"/>
          <w:color w:val="auto"/>
        </w:rPr>
        <w:t>Term B Loan Lenders” or modify in any other manner the number or percentage of the Term B Loan Lenders required to make any determinations or waive any rights hereunder or to modify any provision hereof without the written consent of each Term B Loan Lender;</w:t>
      </w:r>
    </w:p>
    <w:p>
      <w:pPr>
        <w:spacing w:after="0" w:line="181" w:lineRule="exact"/>
        <w:rPr>
          <w:sz w:val="20"/>
          <w:szCs w:val="20"/>
          <w:color w:val="auto"/>
        </w:rPr>
      </w:pPr>
    </w:p>
    <w:p>
      <w:pPr>
        <w:ind w:left="1574" w:hanging="476"/>
        <w:spacing w:after="0"/>
        <w:tabs>
          <w:tab w:leader="none" w:pos="1574" w:val="left"/>
        </w:tabs>
        <w:numPr>
          <w:ilvl w:val="2"/>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or waive the Borrower’s compliance with, Section 2.18. without the written consent of each Revolving Lender;</w:t>
      </w:r>
    </w:p>
    <w:p>
      <w:pPr>
        <w:spacing w:after="0" w:line="227" w:lineRule="exact"/>
        <w:rPr>
          <w:rFonts w:ascii="Times New Roman" w:cs="Times New Roman" w:eastAsia="Times New Roman" w:hAnsi="Times New Roman"/>
          <w:sz w:val="19"/>
          <w:szCs w:val="19"/>
          <w:color w:val="auto"/>
        </w:rPr>
      </w:pPr>
    </w:p>
    <w:p>
      <w:pPr>
        <w:ind w:left="454" w:firstLine="644"/>
        <w:spacing w:after="0" w:line="283" w:lineRule="auto"/>
        <w:tabs>
          <w:tab w:leader="none" w:pos="1697" w:val="left"/>
        </w:tabs>
        <w:numPr>
          <w:ilvl w:val="2"/>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Borrower from its obligations hereunder or under any other Loan Document except as contemplated by Section 9.3. without the consent of each Lender; or</w:t>
      </w:r>
    </w:p>
    <w:p>
      <w:pPr>
        <w:spacing w:after="0" w:line="159" w:lineRule="exact"/>
        <w:rPr>
          <w:rFonts w:ascii="Times New Roman" w:cs="Times New Roman" w:eastAsia="Times New Roman" w:hAnsi="Times New Roman"/>
          <w:sz w:val="20"/>
          <w:szCs w:val="20"/>
          <w:color w:val="auto"/>
        </w:rPr>
      </w:pPr>
    </w:p>
    <w:p>
      <w:pPr>
        <w:ind w:left="454" w:firstLine="644"/>
        <w:spacing w:after="0" w:line="269" w:lineRule="auto"/>
        <w:tabs>
          <w:tab w:leader="none" w:pos="1742" w:val="left"/>
        </w:tabs>
        <w:numPr>
          <w:ilvl w:val="2"/>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under Section 10.1.(a) without the written consent of each Lender directly and adversely affected thereby (or the Administrative Agent at the written direction of such Lenders).</w:t>
      </w:r>
    </w:p>
    <w:p>
      <w:pPr>
        <w:spacing w:after="0" w:line="172" w:lineRule="exact"/>
        <w:rPr>
          <w:rFonts w:ascii="Times New Roman" w:cs="Times New Roman" w:eastAsia="Times New Roman" w:hAnsi="Times New Roman"/>
          <w:sz w:val="20"/>
          <w:szCs w:val="20"/>
          <w:color w:val="auto"/>
        </w:rPr>
      </w:pPr>
    </w:p>
    <w:p>
      <w:pPr>
        <w:jc w:val="both"/>
        <w:ind w:left="-206" w:firstLine="656"/>
        <w:spacing w:after="0" w:line="249" w:lineRule="auto"/>
        <w:tabs>
          <w:tab w:leader="none" w:pos="954"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Administrative Agent’s Duties, Etc.</w:t>
      </w:r>
      <w:r>
        <w:rPr>
          <w:rFonts w:ascii="Times New Roman" w:cs="Times New Roman" w:eastAsia="Times New Roman" w:hAnsi="Times New Roman"/>
          <w:sz w:val="20"/>
          <w:szCs w:val="20"/>
          <w:color w:val="auto"/>
        </w:rPr>
        <w:t xml:space="preserve"> No amendment, waiver or consent unless in writing and signed by the Administrative Agent, in addition to the Lenders required hereinabove to take such action, shall affect the rights or duties of the Administrative Agent under this Agreement or any of the other Loan Documents. </w:t>
      </w:r>
      <w:r>
        <w:rPr>
          <w:rFonts w:ascii="Times New Roman" w:cs="Times New Roman" w:eastAsia="Times New Roman" w:hAnsi="Times New Roman"/>
          <w:sz w:val="20"/>
          <w:szCs w:val="20"/>
          <w:color w:val="FF0000"/>
          <w:strike w:val="1"/>
        </w:rPr>
        <w:t>Any amendment, waiver or consent relating to 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or the obligations of the Swingline Lenders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B050"/>
          <w:strike w:val="1"/>
        </w:rPr>
        <w:t>under this Agreement or any</w:t>
      </w:r>
      <w:r>
        <w:rPr>
          <w:rFonts w:ascii="Times New Roman" w:cs="Times New Roman" w:eastAsia="Times New Roman" w:hAnsi="Times New Roman"/>
          <w:sz w:val="20"/>
          <w:szCs w:val="20"/>
          <w:color w:val="FF0000"/>
        </w:rPr>
        <w:t xml:space="preserve"> other Loan Document shall, </w:t>
      </w:r>
      <w:r>
        <w:rPr>
          <w:rFonts w:ascii="Times New Roman" w:cs="Times New Roman" w:eastAsia="Times New Roman" w:hAnsi="Times New Roman"/>
          <w:sz w:val="20"/>
          <w:szCs w:val="20"/>
          <w:color w:val="00B050"/>
          <w:strike w:val="1"/>
        </w:rPr>
        <w:t>in addition to the Lenders required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B050"/>
          <w:strike w:val="1"/>
        </w:rPr>
        <w:t>hereinabove to take such action,</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color w:val="FF0000"/>
          <w:strike w:val="1"/>
        </w:rPr>
        <w:t>require the written consent of the Swingline Lenders.</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color w:val="000000"/>
        </w:rPr>
        <w:t>Any amendment, waiver or consent relating to Section</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color w:val="000000"/>
        </w:rPr>
        <w:t>2.4. or the obligations of the Issuing Banks under this Agreement or any other Loan Document shall, in addition to the Lenders required hereinabove to take such action, require the written consent of each Issuing Bank. Any amendment, waiver or consent with respect to any Loan Document that affects the rights of a Specified Derivatives Provider in a manner or to an extent materially dissimilar to that affecting the Lenders shall, in addition to the Lenders required hereinabove to take such action, require the consent of the Lender that is (or having an Affiliate that is) such Specified Derivatives Provider.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reinstated or extended without the written consent of such Defaulting Lender and (y) any waiver, amendment or modification requiring the consent of all Lenders or each affected Lender that by its terms affects any Defaulting Lender more adversely than other affected Lenders shall require the written consent of such Defaulting Lender.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Any Event of Default occurring hereunder shall continue to exist until such time as such Event of Default is waived in writing in accordance with the terms of this Section, notwithstanding any attempted cure or other action by any Borrower, any other Loan Party or any other Person subsequent to the occurrence of such Event of Default. Except as otherwise explicitly provided for herein or in any other Loan Document, no notice to or demand upon the Borrower Representative or any other Borrower or any other Loan Party shall entitle the Borrower Representative or such other Borrower or such other Loan Party to other or further notice or demand in similar or other circumstances. The Administrative Agent (and, if applicable, the Borrowers) may, without the consent of any Lender, enter into amendments or modifications to this Agreement or any of the other Loan Documents or to enter into additional Loan Documents in order to implement any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8"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-4340225</wp:posOffset>
            </wp:positionV>
            <wp:extent cx="15252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525270" cy="8890"/>
                    </a:xfrm>
                    <a:prstGeom prst="rect">
                      <a:avLst/>
                    </a:prstGeom>
                    <a:noFill/>
                  </pic:spPr>
                </pic:pic>
              </a:graphicData>
            </a:graphic>
          </wp:anchor>
        </w:drawing>
      </w:r>
    </w:p>
    <w:p>
      <w:pPr>
        <w:sectPr>
          <w:pgSz w:w="11900" w:h="16838" w:orient="portrait"/>
          <w:cols w:equalWidth="0" w:num="1">
            <w:col w:w="11034"/>
          </w:cols>
          <w:pgMar w:left="526" w:top="1440" w:right="339" w:bottom="1440" w:gutter="0" w:footer="0" w:header="0"/>
        </w:sectPr>
      </w:pPr>
    </w:p>
    <w:bookmarkStart w:id="483" w:name="page484"/>
    <w:bookmarkEnd w:id="483"/>
    <w:p>
      <w:pPr>
        <w:spacing w:after="0" w:line="18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0"/>
          <w:szCs w:val="20"/>
          <w:color w:val="auto"/>
        </w:rPr>
        <w:t>Benchmark Replacement or any Conforming Changes or otherwise effectuate the terms of Section 4.2(b) in accordance with the terms of Section 4.2(b).</w:t>
      </w:r>
      <w:r>
        <w:rPr>
          <w:rFonts w:ascii="Times New Roman" w:cs="Times New Roman" w:eastAsia="Times New Roman" w:hAnsi="Times New Roman"/>
          <w:sz w:val="25"/>
          <w:szCs w:val="25"/>
          <w:u w:val="single" w:color="auto"/>
          <w:color w:val="0070C0"/>
          <w:vertAlign w:val="superscript"/>
        </w:rPr>
        <w:t>5</w:t>
      </w:r>
    </w:p>
    <w:p>
      <w:pPr>
        <w:spacing w:after="0" w:line="76" w:lineRule="exact"/>
        <w:rPr>
          <w:sz w:val="20"/>
          <w:szCs w:val="20"/>
          <w:color w:val="auto"/>
        </w:rPr>
      </w:pPr>
    </w:p>
    <w:p>
      <w:pPr>
        <w:jc w:val="both"/>
        <w:ind w:firstLine="656"/>
        <w:spacing w:after="0" w:line="257" w:lineRule="auto"/>
        <w:tabs>
          <w:tab w:leader="none" w:pos="1144"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Technical Amendments</w:t>
      </w:r>
      <w:r>
        <w:rPr>
          <w:rFonts w:ascii="Times New Roman" w:cs="Times New Roman" w:eastAsia="Times New Roman" w:hAnsi="Times New Roman"/>
          <w:sz w:val="20"/>
          <w:szCs w:val="20"/>
          <w:color w:val="auto"/>
        </w:rPr>
        <w:t>. Notwithstanding anything to the contrary in this Section 12.6., if the Administrative Agent and the Borrowers have jointly identified a mistake or ambiguity in any provision of this Agreement, the Administrative Agent and the Borrowers shall be permitted to amend such provision to cure such ambiguity or correct such provision so long as to do so would not adversely affect the interests of the Lenders, and such amendment shall become effective without any further action or consent of any of other party to this Agreement.</w:t>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12.7.</w:t>
      </w:r>
      <w:r>
        <w:rPr>
          <w:sz w:val="20"/>
          <w:szCs w:val="20"/>
          <w:color w:val="auto"/>
        </w:rPr>
        <w:tab/>
      </w:r>
      <w:r>
        <w:rPr>
          <w:rFonts w:ascii="Times New Roman" w:cs="Times New Roman" w:eastAsia="Times New Roman" w:hAnsi="Times New Roman"/>
          <w:sz w:val="19"/>
          <w:szCs w:val="19"/>
          <w:b w:val="1"/>
          <w:bCs w:val="1"/>
          <w:color w:val="auto"/>
        </w:rPr>
        <w:t>Nonliability of Administrative Agent and Lenders; No Advisory or Fiduciary Responsibility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relationship between each Borrower, on the one hand, and the Lenders, the </w:t>
      </w:r>
      <w:r>
        <w:rPr>
          <w:rFonts w:ascii="Times New Roman" w:cs="Times New Roman" w:eastAsia="Times New Roman" w:hAnsi="Times New Roman"/>
          <w:sz w:val="20"/>
          <w:szCs w:val="20"/>
          <w:u w:val="single" w:color="auto"/>
          <w:color w:val="0070C0"/>
        </w:rPr>
        <w:t>Sustainability Structuring Agent, the</w:t>
      </w:r>
      <w:r>
        <w:rPr>
          <w:rFonts w:ascii="Times New Roman" w:cs="Times New Roman" w:eastAsia="Times New Roman" w:hAnsi="Times New Roman"/>
          <w:sz w:val="20"/>
          <w:szCs w:val="20"/>
          <w:color w:val="auto"/>
        </w:rPr>
        <w:t xml:space="preserve"> Issuing Banks and the Administrative Agent, on the other hand, shall be solely that of borrower and lender. None of the Administrative Agent</w:t>
      </w:r>
      <w:r>
        <w:rPr>
          <w:rFonts w:ascii="Times New Roman" w:cs="Times New Roman" w:eastAsia="Times New Roman" w:hAnsi="Times New Roman"/>
          <w:sz w:val="20"/>
          <w:szCs w:val="20"/>
          <w:u w:val="single" w:color="auto"/>
          <w:color w:val="0070C0"/>
        </w:rPr>
        <w:t>, any Titled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Agent</w:t>
      </w:r>
      <w:r>
        <w:rPr>
          <w:rFonts w:ascii="Times New Roman" w:cs="Times New Roman" w:eastAsia="Times New Roman" w:hAnsi="Times New Roman"/>
          <w:sz w:val="20"/>
          <w:szCs w:val="20"/>
          <w:color w:val="000000"/>
        </w:rPr>
        <w:t>, any Issuing Bank or any Lender shall have any fiduciary responsibilities to any Borrower, and no provision in this Agreement or in</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any of the other Loan Documents, and no course of dealing between or among any of the parties hereto, shall be deemed to create any fiduciary duty owing by the Administrative Agent, any </w:t>
      </w:r>
      <w:r>
        <w:rPr>
          <w:rFonts w:ascii="Times New Roman" w:cs="Times New Roman" w:eastAsia="Times New Roman" w:hAnsi="Times New Roman"/>
          <w:sz w:val="20"/>
          <w:szCs w:val="20"/>
          <w:u w:val="single" w:color="auto"/>
          <w:color w:val="0070C0"/>
        </w:rPr>
        <w:t>Titled Agent, any</w:t>
      </w:r>
      <w:r>
        <w:rPr>
          <w:rFonts w:ascii="Times New Roman" w:cs="Times New Roman" w:eastAsia="Times New Roman" w:hAnsi="Times New Roman"/>
          <w:sz w:val="20"/>
          <w:szCs w:val="20"/>
          <w:color w:val="000000"/>
        </w:rPr>
        <w:t xml:space="preserve"> Issuing Bank or any Lender to any Lender, any Borrower or any Subsidiary. None of the Administrative </w:t>
      </w:r>
      <w:r>
        <w:rPr>
          <w:rFonts w:ascii="Times New Roman" w:cs="Times New Roman" w:eastAsia="Times New Roman" w:hAnsi="Times New Roman"/>
          <w:sz w:val="20"/>
          <w:szCs w:val="20"/>
          <w:u w:val="single" w:color="auto"/>
          <w:color w:val="0070C0"/>
        </w:rPr>
        <w:t>Agent, any Titled</w:t>
      </w:r>
      <w:r>
        <w:rPr>
          <w:rFonts w:ascii="Times New Roman" w:cs="Times New Roman" w:eastAsia="Times New Roman" w:hAnsi="Times New Roman"/>
          <w:sz w:val="20"/>
          <w:szCs w:val="20"/>
          <w:color w:val="000000"/>
        </w:rPr>
        <w:t xml:space="preserve"> Agent, any Issuing Bank or any Lender undertakes any responsibility to any Borrower to review or inform such Borrower of any matter in connection with any phase of such Borrower’s business or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-179705</wp:posOffset>
            </wp:positionV>
            <wp:extent cx="482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48260" cy="8890"/>
                    </a:xfrm>
                    <a:prstGeom prst="rect">
                      <a:avLst/>
                    </a:prstGeom>
                    <a:noFill/>
                  </pic:spPr>
                </pic:pic>
              </a:graphicData>
            </a:graphic>
          </wp:anchor>
        </w:drawing>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Not in limitation of the foregoing, in connection with all aspects of each transaction contemplated hereby (including in connection with any amendment, waiver or other modification hereof or of any other Loan Document), the </w:t>
      </w:r>
      <w:r>
        <w:rPr>
          <w:rFonts w:ascii="Times New Roman" w:cs="Times New Roman" w:eastAsia="Times New Roman" w:hAnsi="Times New Roman"/>
          <w:sz w:val="20"/>
          <w:szCs w:val="20"/>
          <w:color w:val="FF0000"/>
          <w:strike w:val="1"/>
        </w:rPr>
        <w:t>Borrower acknowledges and agrees,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acknowledges its</w:t>
      </w:r>
      <w:r>
        <w:rPr>
          <w:rFonts w:ascii="Times New Roman" w:cs="Times New Roman" w:eastAsia="Times New Roman" w:hAnsi="Times New Roman"/>
          <w:sz w:val="20"/>
          <w:szCs w:val="20"/>
          <w:u w:val="single" w:color="auto"/>
          <w:color w:val="0070C0"/>
        </w:rPr>
        <w:t>Borrowers acknowledge and agree, and acknowledge their respective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Affiliates’ understanding, that: (a) (i) no fiduciary,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advisory or agency relationship between the </w:t>
      </w:r>
      <w:r>
        <w:rPr>
          <w:rFonts w:ascii="Times New Roman" w:cs="Times New Roman" w:eastAsia="Times New Roman" w:hAnsi="Times New Roman"/>
          <w:sz w:val="20"/>
          <w:szCs w:val="20"/>
          <w:color w:val="FF0000"/>
          <w:strike w:val="1"/>
        </w:rPr>
        <w:t>Borrower and its</w:t>
      </w:r>
      <w:r>
        <w:rPr>
          <w:rFonts w:ascii="Times New Roman" w:cs="Times New Roman" w:eastAsia="Times New Roman" w:hAnsi="Times New Roman"/>
          <w:sz w:val="20"/>
          <w:szCs w:val="20"/>
          <w:u w:val="single" w:color="auto"/>
          <w:color w:val="0070C0"/>
        </w:rPr>
        <w:t>Borrowers and their</w:t>
      </w:r>
      <w:r>
        <w:rPr>
          <w:rFonts w:ascii="Times New Roman" w:cs="Times New Roman" w:eastAsia="Times New Roman" w:hAnsi="Times New Roman"/>
          <w:sz w:val="20"/>
          <w:szCs w:val="20"/>
          <w:color w:val="000000"/>
        </w:rPr>
        <w:t xml:space="preserve"> Subsidiaries and any Titled Agent, the Administrative Agent, any Issuing Bank, </w:t>
      </w:r>
      <w:r>
        <w:rPr>
          <w:rFonts w:ascii="Times New Roman" w:cs="Times New Roman" w:eastAsia="Times New Roman" w:hAnsi="Times New Roman"/>
          <w:sz w:val="20"/>
          <w:szCs w:val="20"/>
          <w:color w:val="FF0000"/>
          <w:strike w:val="1"/>
        </w:rPr>
        <w:t>any Swingline Lender</w:t>
      </w:r>
      <w:r>
        <w:rPr>
          <w:rFonts w:ascii="Times New Roman" w:cs="Times New Roman" w:eastAsia="Times New Roman" w:hAnsi="Times New Roman"/>
          <w:sz w:val="20"/>
          <w:szCs w:val="20"/>
          <w:color w:val="000000"/>
        </w:rPr>
        <w:t xml:space="preserve"> or any Lender is intended to be or has been created in respect of the transactions contemplated hereby or by the other Loan Documents, irrespective of whether any Titled Agent, the Administrative Agent, any Issuing Bank</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any Swingline Lender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any Lender has advised or is advising the Borrower or any Subsidiary on other matters, (ii) the arranging and other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services regarding this Agreement provided by the Titled Agents, the Administrative Agent, the Issuing Banks</w:t>
      </w:r>
      <w:r>
        <w:rPr>
          <w:rFonts w:ascii="Times New Roman" w:cs="Times New Roman" w:eastAsia="Times New Roman" w:hAnsi="Times New Roman"/>
          <w:sz w:val="20"/>
          <w:szCs w:val="20"/>
          <w:color w:val="FF0000"/>
          <w:strike w:val="1"/>
        </w:rPr>
        <w:t>, the Swingline Lenders</w:t>
      </w:r>
      <w:r>
        <w:rPr>
          <w:rFonts w:ascii="Times New Roman" w:cs="Times New Roman" w:eastAsia="Times New Roman" w:hAnsi="Times New Roman"/>
          <w:sz w:val="20"/>
          <w:szCs w:val="20"/>
          <w:color w:val="000000"/>
        </w:rPr>
        <w:t xml:space="preserve"> and the Lenders are arm’s-length commercial transactions between the </w:t>
      </w:r>
      <w:r>
        <w:rPr>
          <w:rFonts w:ascii="Times New Roman" w:cs="Times New Roman" w:eastAsia="Times New Roman" w:hAnsi="Times New Roman"/>
          <w:sz w:val="20"/>
          <w:szCs w:val="20"/>
          <w:color w:val="FF0000"/>
          <w:strike w:val="1"/>
        </w:rPr>
        <w:t>Borrower and its</w:t>
      </w:r>
      <w:r>
        <w:rPr>
          <w:rFonts w:ascii="Times New Roman" w:cs="Times New Roman" w:eastAsia="Times New Roman" w:hAnsi="Times New Roman"/>
          <w:sz w:val="20"/>
          <w:szCs w:val="20"/>
          <w:u w:val="single" w:color="auto"/>
          <w:color w:val="0070C0"/>
        </w:rPr>
        <w:t>Borrowers and their</w:t>
      </w:r>
      <w:r>
        <w:rPr>
          <w:rFonts w:ascii="Times New Roman" w:cs="Times New Roman" w:eastAsia="Times New Roman" w:hAnsi="Times New Roman"/>
          <w:sz w:val="20"/>
          <w:szCs w:val="20"/>
          <w:color w:val="000000"/>
        </w:rPr>
        <w:t xml:space="preserve"> Affiliates, on the one hand, and the Titled Agents, the Administrative Agent, the Issuing Banks</w:t>
      </w:r>
      <w:r>
        <w:rPr>
          <w:rFonts w:ascii="Times New Roman" w:cs="Times New Roman" w:eastAsia="Times New Roman" w:hAnsi="Times New Roman"/>
          <w:sz w:val="20"/>
          <w:szCs w:val="20"/>
          <w:color w:val="FF0000"/>
          <w:strike w:val="1"/>
        </w:rPr>
        <w:t>, the Swingline Lenders</w:t>
      </w:r>
      <w:r>
        <w:rPr>
          <w:rFonts w:ascii="Times New Roman" w:cs="Times New Roman" w:eastAsia="Times New Roman" w:hAnsi="Times New Roman"/>
          <w:sz w:val="20"/>
          <w:szCs w:val="20"/>
          <w:color w:val="000000"/>
        </w:rPr>
        <w:t xml:space="preserve"> and the Lenders, on the other hand, (iii) the </w:t>
      </w:r>
      <w:r>
        <w:rPr>
          <w:rFonts w:ascii="Times New Roman" w:cs="Times New Roman" w:eastAsia="Times New Roman" w:hAnsi="Times New Roman"/>
          <w:sz w:val="20"/>
          <w:szCs w:val="20"/>
          <w:color w:val="FF0000"/>
          <w:strike w:val="1"/>
        </w:rPr>
        <w:t>Borrower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has</w:t>
      </w:r>
      <w:r>
        <w:rPr>
          <w:rFonts w:ascii="Times New Roman" w:cs="Times New Roman" w:eastAsia="Times New Roman" w:hAnsi="Times New Roman"/>
          <w:sz w:val="20"/>
          <w:szCs w:val="20"/>
          <w:u w:val="single" w:color="auto"/>
          <w:color w:val="0070C0"/>
        </w:rPr>
        <w:t>Borrowers have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consulted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its</w:t>
      </w:r>
      <w:r>
        <w:rPr>
          <w:rFonts w:ascii="Times New Roman" w:cs="Times New Roman" w:eastAsia="Times New Roman" w:hAnsi="Times New Roman"/>
          <w:sz w:val="20"/>
          <w:szCs w:val="20"/>
          <w:u w:val="single" w:color="auto"/>
          <w:color w:val="0070C0"/>
        </w:rPr>
        <w:t>their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own legal, accounting, regulatory and tax advisors to the extent that it has deemed appropriate and (iv)</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 </w:t>
      </w:r>
      <w:r>
        <w:rPr>
          <w:rFonts w:ascii="Times New Roman" w:cs="Times New Roman" w:eastAsia="Times New Roman" w:hAnsi="Times New Roman"/>
          <w:sz w:val="20"/>
          <w:szCs w:val="20"/>
          <w:color w:val="FF0000"/>
          <w:strike w:val="1"/>
        </w:rPr>
        <w:t>Borrower is</w:t>
      </w:r>
      <w:r>
        <w:rPr>
          <w:rFonts w:ascii="Times New Roman" w:cs="Times New Roman" w:eastAsia="Times New Roman" w:hAnsi="Times New Roman"/>
          <w:sz w:val="20"/>
          <w:szCs w:val="20"/>
          <w:u w:val="single" w:color="auto"/>
          <w:color w:val="0070C0"/>
        </w:rPr>
        <w:t>Borrowers are</w:t>
      </w:r>
      <w:r>
        <w:rPr>
          <w:rFonts w:ascii="Times New Roman" w:cs="Times New Roman" w:eastAsia="Times New Roman" w:hAnsi="Times New Roman"/>
          <w:sz w:val="20"/>
          <w:szCs w:val="20"/>
          <w:color w:val="000000"/>
        </w:rPr>
        <w:t xml:space="preserve"> capable of evaluating, and understands and accepts, the terms, risks and conditions of the transactions contemplated hereby and by the other Loan Documents; and (b) (i) the Titled Agents, the Administrative Agent, the Issuing Banks, </w:t>
      </w:r>
      <w:r>
        <w:rPr>
          <w:rFonts w:ascii="Times New Roman" w:cs="Times New Roman" w:eastAsia="Times New Roman" w:hAnsi="Times New Roman"/>
          <w:sz w:val="20"/>
          <w:szCs w:val="20"/>
          <w:color w:val="FF0000"/>
        </w:rPr>
        <w:t>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Swingline Lenders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 the Lenders each is and has been acting solely as a principal and, except as expressly agreed in writing by the relevant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parties, has not been, is not, and will not be acting as an advisor, agent or fiduciary for the </w:t>
      </w:r>
      <w:r>
        <w:rPr>
          <w:rFonts w:ascii="Times New Roman" w:cs="Times New Roman" w:eastAsia="Times New Roman" w:hAnsi="Times New Roman"/>
          <w:sz w:val="20"/>
          <w:szCs w:val="20"/>
          <w:color w:val="FF0000"/>
          <w:strike w:val="1"/>
        </w:rPr>
        <w:t>Borrower</w:t>
      </w:r>
      <w:r>
        <w:rPr>
          <w:rFonts w:ascii="Times New Roman" w:cs="Times New Roman" w:eastAsia="Times New Roman" w:hAnsi="Times New Roman"/>
          <w:sz w:val="20"/>
          <w:szCs w:val="20"/>
          <w:u w:val="single" w:color="auto"/>
          <w:color w:val="0070C0"/>
        </w:rPr>
        <w:t>Borrowers</w:t>
      </w:r>
      <w:r>
        <w:rPr>
          <w:rFonts w:ascii="Times New Roman" w:cs="Times New Roman" w:eastAsia="Times New Roman" w:hAnsi="Times New Roman"/>
          <w:sz w:val="20"/>
          <w:szCs w:val="20"/>
          <w:color w:val="000000"/>
        </w:rPr>
        <w:t xml:space="preserve"> or any of </w:t>
      </w:r>
      <w:r>
        <w:rPr>
          <w:rFonts w:ascii="Times New Roman" w:cs="Times New Roman" w:eastAsia="Times New Roman" w:hAnsi="Times New Roman"/>
          <w:sz w:val="20"/>
          <w:szCs w:val="20"/>
          <w:color w:val="FF0000"/>
          <w:strike w:val="1"/>
        </w:rPr>
        <w:t>its</w:t>
      </w:r>
      <w:r>
        <w:rPr>
          <w:rFonts w:ascii="Times New Roman" w:cs="Times New Roman" w:eastAsia="Times New Roman" w:hAnsi="Times New Roman"/>
          <w:sz w:val="20"/>
          <w:szCs w:val="20"/>
          <w:u w:val="single" w:color="auto"/>
          <w:color w:val="0070C0"/>
        </w:rPr>
        <w:t>their</w:t>
      </w:r>
      <w:r>
        <w:rPr>
          <w:rFonts w:ascii="Times New Roman" w:cs="Times New Roman" w:eastAsia="Times New Roman" w:hAnsi="Times New Roman"/>
          <w:sz w:val="20"/>
          <w:szCs w:val="20"/>
          <w:color w:val="000000"/>
        </w:rPr>
        <w:t xml:space="preserve"> Affiliates, or any other Person; (ii) none of the Titled Agents, the Administrative Agent, the Issuing Banks</w:t>
      </w:r>
      <w:r>
        <w:rPr>
          <w:rFonts w:ascii="Times New Roman" w:cs="Times New Roman" w:eastAsia="Times New Roman" w:hAnsi="Times New Roman"/>
          <w:sz w:val="20"/>
          <w:szCs w:val="20"/>
          <w:color w:val="FF0000"/>
          <w:strike w:val="1"/>
        </w:rPr>
        <w:t>, the Swingline Lenders</w:t>
      </w:r>
      <w:r>
        <w:rPr>
          <w:rFonts w:ascii="Times New Roman" w:cs="Times New Roman" w:eastAsia="Times New Roman" w:hAnsi="Times New Roman"/>
          <w:sz w:val="20"/>
          <w:szCs w:val="20"/>
          <w:color w:val="000000"/>
        </w:rPr>
        <w:t xml:space="preserve"> and the Lenders has any obligation to the </w:t>
      </w:r>
      <w:r>
        <w:rPr>
          <w:rFonts w:ascii="Times New Roman" w:cs="Times New Roman" w:eastAsia="Times New Roman" w:hAnsi="Times New Roman"/>
          <w:sz w:val="20"/>
          <w:szCs w:val="20"/>
          <w:color w:val="FF0000"/>
          <w:strike w:val="1"/>
        </w:rPr>
        <w:t>Borrower</w:t>
      </w:r>
      <w:r>
        <w:rPr>
          <w:rFonts w:ascii="Times New Roman" w:cs="Times New Roman" w:eastAsia="Times New Roman" w:hAnsi="Times New Roman"/>
          <w:sz w:val="20"/>
          <w:szCs w:val="20"/>
          <w:u w:val="single" w:color="auto"/>
          <w:color w:val="0070C0"/>
        </w:rPr>
        <w:t>Borrowers</w:t>
      </w:r>
      <w:r>
        <w:rPr>
          <w:rFonts w:ascii="Times New Roman" w:cs="Times New Roman" w:eastAsia="Times New Roman" w:hAnsi="Times New Roman"/>
          <w:sz w:val="20"/>
          <w:szCs w:val="20"/>
          <w:color w:val="000000"/>
        </w:rPr>
        <w:t xml:space="preserve"> or any of </w:t>
      </w:r>
      <w:r>
        <w:rPr>
          <w:rFonts w:ascii="Times New Roman" w:cs="Times New Roman" w:eastAsia="Times New Roman" w:hAnsi="Times New Roman"/>
          <w:sz w:val="20"/>
          <w:szCs w:val="20"/>
          <w:color w:val="FF0000"/>
          <w:strike w:val="1"/>
        </w:rPr>
        <w:t>its</w:t>
      </w:r>
      <w:r>
        <w:rPr>
          <w:rFonts w:ascii="Times New Roman" w:cs="Times New Roman" w:eastAsia="Times New Roman" w:hAnsi="Times New Roman"/>
          <w:sz w:val="20"/>
          <w:szCs w:val="20"/>
          <w:u w:val="single" w:color="auto"/>
          <w:color w:val="0070C0"/>
        </w:rPr>
        <w:t>their</w:t>
      </w:r>
      <w:r>
        <w:rPr>
          <w:rFonts w:ascii="Times New Roman" w:cs="Times New Roman" w:eastAsia="Times New Roman" w:hAnsi="Times New Roman"/>
          <w:sz w:val="20"/>
          <w:szCs w:val="20"/>
          <w:color w:val="000000"/>
        </w:rPr>
        <w:t xml:space="preserve"> Affiliates with respect to the transactions contemplated hereby except those obligations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6459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6929120</wp:posOffset>
            </wp:positionH>
            <wp:positionV relativeFrom="paragraph">
              <wp:posOffset>-835025</wp:posOffset>
            </wp:positionV>
            <wp:extent cx="20193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201930" cy="8890"/>
                    </a:xfrm>
                    <a:prstGeom prst="rect">
                      <a:avLst/>
                    </a:prstGeom>
                    <a:noFill/>
                  </pic:spPr>
                </pic:pic>
              </a:graphicData>
            </a:graphic>
          </wp:anchor>
        </w:drawing>
      </w:r>
    </w:p>
    <w:p>
      <w:pPr>
        <w:spacing w:after="0" w:line="280" w:lineRule="exact"/>
        <w:rPr>
          <w:sz w:val="20"/>
          <w:szCs w:val="20"/>
          <w:color w:val="auto"/>
        </w:rPr>
      </w:pPr>
    </w:p>
    <w:p>
      <w:pPr>
        <w:ind w:left="340" w:right="20" w:hanging="332"/>
        <w:spacing w:after="0" w:line="229" w:lineRule="auto"/>
        <w:tabs>
          <w:tab w:leader="none" w:pos="283" w:val="left"/>
        </w:tabs>
        <w:numPr>
          <w:ilvl w:val="0"/>
          <w:numId w:val="367"/>
        </w:numPr>
        <w:rPr>
          <w:rFonts w:ascii="Times New Roman" w:cs="Times New Roman" w:eastAsia="Times New Roman" w:hAnsi="Times New Roman"/>
          <w:sz w:val="23"/>
          <w:szCs w:val="23"/>
          <w:u w:val="single" w:color="auto"/>
          <w:color w:val="0070C0"/>
          <w:vertAlign w:val="superscript"/>
        </w:rPr>
      </w:pPr>
      <w:r>
        <w:rPr>
          <w:rFonts w:ascii="Times New Roman" w:cs="Times New Roman" w:eastAsia="Times New Roman" w:hAnsi="Times New Roman"/>
          <w:sz w:val="18"/>
          <w:szCs w:val="18"/>
          <w:color w:val="0070C0"/>
        </w:rPr>
        <w:t xml:space="preserve">NTD: The deletion of the second section of this clause (c) in the First Amendment is a technical amendment and shall be deemed to be effected under </w:t>
      </w:r>
      <w:r>
        <w:rPr>
          <w:rFonts w:ascii="Times New Roman" w:cs="Times New Roman" w:eastAsia="Times New Roman" w:hAnsi="Times New Roman"/>
          <w:sz w:val="18"/>
          <w:szCs w:val="18"/>
          <w:u w:val="single" w:color="auto"/>
          <w:color w:val="0070C0"/>
        </w:rPr>
        <w:t>Section 12.6(d) hereof.</w:t>
      </w:r>
    </w:p>
    <w:p>
      <w:pPr>
        <w:spacing w:after="0" w:line="200" w:lineRule="exact"/>
        <w:rPr>
          <w:rFonts w:ascii="Times New Roman" w:cs="Times New Roman" w:eastAsia="Times New Roman" w:hAnsi="Times New Roman"/>
          <w:sz w:val="23"/>
          <w:szCs w:val="23"/>
          <w:u w:val="single" w:color="auto"/>
          <w:color w:val="0070C0"/>
          <w:vertAlign w:val="superscript"/>
        </w:rPr>
      </w:pPr>
    </w:p>
    <w:p>
      <w:pPr>
        <w:spacing w:after="0" w:line="200" w:lineRule="exact"/>
        <w:rPr>
          <w:rFonts w:ascii="Times New Roman" w:cs="Times New Roman" w:eastAsia="Times New Roman" w:hAnsi="Times New Roman"/>
          <w:sz w:val="23"/>
          <w:szCs w:val="23"/>
          <w:u w:val="single" w:color="auto"/>
          <w:color w:val="0070C0"/>
          <w:vertAlign w:val="superscript"/>
        </w:rPr>
      </w:pPr>
    </w:p>
    <w:p>
      <w:pPr>
        <w:spacing w:after="0" w:line="200" w:lineRule="exact"/>
        <w:rPr>
          <w:rFonts w:ascii="Times New Roman" w:cs="Times New Roman" w:eastAsia="Times New Roman" w:hAnsi="Times New Roman"/>
          <w:sz w:val="23"/>
          <w:szCs w:val="23"/>
          <w:u w:val="single" w:color="auto"/>
          <w:color w:val="0070C0"/>
          <w:vertAlign w:val="superscript"/>
        </w:rPr>
      </w:pPr>
    </w:p>
    <w:p>
      <w:pPr>
        <w:spacing w:after="0" w:line="200" w:lineRule="exact"/>
        <w:rPr>
          <w:rFonts w:ascii="Times New Roman" w:cs="Times New Roman" w:eastAsia="Times New Roman" w:hAnsi="Times New Roman"/>
          <w:sz w:val="23"/>
          <w:szCs w:val="23"/>
          <w:u w:val="single" w:color="auto"/>
          <w:color w:val="0070C0"/>
          <w:vertAlign w:val="superscript"/>
        </w:rPr>
      </w:pPr>
    </w:p>
    <w:p>
      <w:pPr>
        <w:spacing w:after="0" w:line="200" w:lineRule="exact"/>
        <w:rPr>
          <w:rFonts w:ascii="Times New Roman" w:cs="Times New Roman" w:eastAsia="Times New Roman" w:hAnsi="Times New Roman"/>
          <w:sz w:val="23"/>
          <w:szCs w:val="23"/>
          <w:u w:val="single" w:color="auto"/>
          <w:color w:val="0070C0"/>
          <w:vertAlign w:val="superscript"/>
        </w:rPr>
      </w:pPr>
    </w:p>
    <w:p>
      <w:pPr>
        <w:spacing w:after="0" w:line="219" w:lineRule="exact"/>
        <w:rPr>
          <w:rFonts w:ascii="Times New Roman" w:cs="Times New Roman" w:eastAsia="Times New Roman" w:hAnsi="Times New Roman"/>
          <w:sz w:val="23"/>
          <w:szCs w:val="23"/>
          <w:u w:val="single" w:color="auto"/>
          <w:color w:val="0070C0"/>
          <w:vertAlign w:val="superscript"/>
        </w:rPr>
      </w:pPr>
    </w:p>
    <w:p>
      <w:pPr>
        <w:ind w:left="320" w:hanging="114"/>
        <w:spacing w:after="0"/>
        <w:tabs>
          <w:tab w:leader="none" w:pos="320"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-1082675</wp:posOffset>
            </wp:positionV>
            <wp:extent cx="70872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0872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4" w:name="page485"/>
    <w:bookmarkEnd w:id="484"/>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set forth herein and in the other Loan Documents; and (iii) the Titled Agents, the Administrative Agent, the Issuing Banks</w:t>
      </w:r>
      <w:r>
        <w:rPr>
          <w:rFonts w:ascii="Times New Roman" w:cs="Times New Roman" w:eastAsia="Times New Roman" w:hAnsi="Times New Roman"/>
          <w:sz w:val="20"/>
          <w:szCs w:val="20"/>
          <w:color w:val="FF0000"/>
          <w:strike w:val="1"/>
        </w:rPr>
        <w:t>, the 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Lenders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 the Lenders and their respective Affiliates may be engaged, for their own accounts or the accounts of customers, in a broad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range of transactions that involve interests that differ from those of the </w:t>
      </w:r>
      <w:r>
        <w:rPr>
          <w:rFonts w:ascii="Times New Roman" w:cs="Times New Roman" w:eastAsia="Times New Roman" w:hAnsi="Times New Roman"/>
          <w:sz w:val="20"/>
          <w:szCs w:val="20"/>
          <w:color w:val="FF0000"/>
          <w:strike w:val="1"/>
        </w:rPr>
        <w:t>Borrower and its</w:t>
      </w:r>
      <w:r>
        <w:rPr>
          <w:rFonts w:ascii="Times New Roman" w:cs="Times New Roman" w:eastAsia="Times New Roman" w:hAnsi="Times New Roman"/>
          <w:sz w:val="20"/>
          <w:szCs w:val="20"/>
          <w:u w:val="single" w:color="auto"/>
          <w:color w:val="0070C0"/>
        </w:rPr>
        <w:t>Borrowers and their</w:t>
      </w:r>
      <w:r>
        <w:rPr>
          <w:rFonts w:ascii="Times New Roman" w:cs="Times New Roman" w:eastAsia="Times New Roman" w:hAnsi="Times New Roman"/>
          <w:sz w:val="20"/>
          <w:szCs w:val="20"/>
          <w:color w:val="000000"/>
        </w:rPr>
        <w:t xml:space="preserve"> Affiliates, and none of the Titled Agents, the Administrative Agent, the Issuing Banks</w:t>
      </w:r>
      <w:r>
        <w:rPr>
          <w:rFonts w:ascii="Times New Roman" w:cs="Times New Roman" w:eastAsia="Times New Roman" w:hAnsi="Times New Roman"/>
          <w:sz w:val="20"/>
          <w:szCs w:val="20"/>
          <w:color w:val="FF0000"/>
          <w:strike w:val="1"/>
        </w:rPr>
        <w:t>, the Swingline Lenders</w:t>
      </w:r>
      <w:r>
        <w:rPr>
          <w:rFonts w:ascii="Times New Roman" w:cs="Times New Roman" w:eastAsia="Times New Roman" w:hAnsi="Times New Roman"/>
          <w:sz w:val="20"/>
          <w:szCs w:val="20"/>
          <w:color w:val="000000"/>
        </w:rPr>
        <w:t xml:space="preserve"> and the Lenders has any obligation to disclose any of such interests to the </w:t>
      </w:r>
      <w:r>
        <w:rPr>
          <w:rFonts w:ascii="Times New Roman" w:cs="Times New Roman" w:eastAsia="Times New Roman" w:hAnsi="Times New Roman"/>
          <w:sz w:val="20"/>
          <w:szCs w:val="20"/>
          <w:color w:val="FF0000"/>
          <w:strike w:val="1"/>
        </w:rPr>
        <w:t>Borrower or its</w:t>
      </w:r>
      <w:r>
        <w:rPr>
          <w:rFonts w:ascii="Times New Roman" w:cs="Times New Roman" w:eastAsia="Times New Roman" w:hAnsi="Times New Roman"/>
          <w:sz w:val="20"/>
          <w:szCs w:val="20"/>
          <w:u w:val="single" w:color="auto"/>
          <w:color w:val="0070C0"/>
        </w:rPr>
        <w:t>Borrowers or their</w:t>
      </w:r>
      <w:r>
        <w:rPr>
          <w:rFonts w:ascii="Times New Roman" w:cs="Times New Roman" w:eastAsia="Times New Roman" w:hAnsi="Times New Roman"/>
          <w:sz w:val="20"/>
          <w:szCs w:val="20"/>
          <w:color w:val="000000"/>
        </w:rPr>
        <w:t xml:space="preserve"> Affiliates. To the fullest extent permitted by Law, the </w:t>
      </w:r>
      <w:r>
        <w:rPr>
          <w:rFonts w:ascii="Times New Roman" w:cs="Times New Roman" w:eastAsia="Times New Roman" w:hAnsi="Times New Roman"/>
          <w:sz w:val="20"/>
          <w:szCs w:val="20"/>
          <w:color w:val="FF0000"/>
          <w:strike w:val="1"/>
        </w:rPr>
        <w:t>Borrower</w:t>
      </w:r>
      <w:r>
        <w:rPr>
          <w:rFonts w:ascii="Times New Roman" w:cs="Times New Roman" w:eastAsia="Times New Roman" w:hAnsi="Times New Roman"/>
          <w:sz w:val="20"/>
          <w:szCs w:val="20"/>
          <w:u w:val="single" w:color="auto"/>
          <w:color w:val="0070C0"/>
        </w:rPr>
        <w:t>Borrowers</w:t>
      </w:r>
      <w:r>
        <w:rPr>
          <w:rFonts w:ascii="Times New Roman" w:cs="Times New Roman" w:eastAsia="Times New Roman" w:hAnsi="Times New Roman"/>
          <w:sz w:val="20"/>
          <w:szCs w:val="20"/>
          <w:color w:val="000000"/>
        </w:rPr>
        <w:t xml:space="preserve"> hereby </w:t>
      </w:r>
      <w:r>
        <w:rPr>
          <w:rFonts w:ascii="Times New Roman" w:cs="Times New Roman" w:eastAsia="Times New Roman" w:hAnsi="Times New Roman"/>
          <w:sz w:val="20"/>
          <w:szCs w:val="20"/>
          <w:color w:val="FF0000"/>
          <w:strike w:val="1"/>
        </w:rPr>
        <w:t>waives</w:t>
      </w:r>
      <w:r>
        <w:rPr>
          <w:rFonts w:ascii="Times New Roman" w:cs="Times New Roman" w:eastAsia="Times New Roman" w:hAnsi="Times New Roman"/>
          <w:sz w:val="20"/>
          <w:szCs w:val="20"/>
          <w:u w:val="single" w:color="auto"/>
          <w:color w:val="0070C0"/>
        </w:rPr>
        <w:t>waive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releases</w:t>
      </w:r>
      <w:r>
        <w:rPr>
          <w:rFonts w:ascii="Times New Roman" w:cs="Times New Roman" w:eastAsia="Times New Roman" w:hAnsi="Times New Roman"/>
          <w:sz w:val="20"/>
          <w:szCs w:val="20"/>
          <w:u w:val="single" w:color="auto"/>
          <w:color w:val="0070C0"/>
        </w:rPr>
        <w:t>release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any claims that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it</w:t>
      </w:r>
      <w:r>
        <w:rPr>
          <w:rFonts w:ascii="Times New Roman" w:cs="Times New Roman" w:eastAsia="Times New Roman" w:hAnsi="Times New Roman"/>
          <w:sz w:val="20"/>
          <w:szCs w:val="20"/>
          <w:u w:val="single" w:color="auto"/>
          <w:color w:val="0070C0"/>
        </w:rPr>
        <w:t>they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may have against any of the Titled Agents, the Administrative Agent, the Issuing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Banks</w:t>
      </w:r>
      <w:r>
        <w:rPr>
          <w:rFonts w:ascii="Times New Roman" w:cs="Times New Roman" w:eastAsia="Times New Roman" w:hAnsi="Times New Roman"/>
          <w:sz w:val="20"/>
          <w:szCs w:val="20"/>
          <w:color w:val="FF0000"/>
          <w:strike w:val="1"/>
        </w:rPr>
        <w:t>, the Swingline Lenders</w:t>
      </w:r>
      <w:r>
        <w:rPr>
          <w:rFonts w:ascii="Times New Roman" w:cs="Times New Roman" w:eastAsia="Times New Roman" w:hAnsi="Times New Roman"/>
          <w:sz w:val="20"/>
          <w:szCs w:val="20"/>
          <w:color w:val="000000"/>
        </w:rPr>
        <w:t xml:space="preserve"> and the Lenders with respect to any breach or alleged breach of agency or fiduciary duty in connection with any aspect of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-786765</wp:posOffset>
            </wp:positionV>
            <wp:extent cx="311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12.8.</w:t>
        <w:tab/>
        <w:t>Confidentiality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The Administrative Agent, each Issuing Bank and each Lender shall maintain the confidentiality of all Information (as defined below) but in any event may make disclosure: (a) to its Affiliates and to its and its Affiliates’ respective partners, directors, officers, employees, agents, advisors, consultants, service providers and other representatives (it being understood that the Persons to whom such disclosure is made will be informed of the confidential nature of such Information and instructed to keep such Information confidential); (b) subject to an agreement containing provisions substantially the same as those of this Section, to (i) any actual or proposed Eligible Assignee, Participant or other transferee in connection with a potential transfer of any Revolving Commitment or participation therein as permitted hereunder, or (ii) any actual or prospective counterparty (or its advisors) to any </w:t>
      </w:r>
      <w:r>
        <w:rPr>
          <w:rFonts w:ascii="Times New Roman" w:cs="Times New Roman" w:eastAsia="Times New Roman" w:hAnsi="Times New Roman"/>
          <w:sz w:val="20"/>
          <w:szCs w:val="20"/>
          <w:u w:val="single" w:color="auto"/>
          <w:color w:val="0070C0"/>
        </w:rPr>
        <w:t>insurance,</w:t>
      </w:r>
      <w:r>
        <w:rPr>
          <w:rFonts w:ascii="Times New Roman" w:cs="Times New Roman" w:eastAsia="Times New Roman" w:hAnsi="Times New Roman"/>
          <w:sz w:val="20"/>
          <w:szCs w:val="20"/>
          <w:color w:val="auto"/>
        </w:rPr>
        <w:t xml:space="preserve"> swap or derivative transaction relating to any Borrower and its obligations; (c) as required or requested by any Governmental Authority or representative thereof or pursuant to legal process or in connection with any legal proceedings, or as otherwise required by Applicable Law (in which case, the Administrative Agent, such Issuing Bank or such Lender, as applicable, shall, to the extent such disclosure is permitted by Applicable Law, inform the Borrower Representative promptly in advance thereof to the extent reasonably practicable and, otherwise, promptly thereafter); (d) to the Administrative Agent’s, such Issuing Bank’s or such Lender’s independent auditors and other professional advisors (provided they shall be notified of the confidential nature of the information); (e) in connection with the exercise of any remedies under any Loan Document (or any Specified Derivatives Contract) or any action or proceeding relating to any Loan Document (or any such Specified Derivatives Contract) or the enforcement of rights hereunder or thereunder; (f) to the extent such Information (i) becomes publicly available other than as a result of a breach of this Section actually known by the Administrative Agent, such Issuing Bank or such Lender to be a breach of this Section or (ii) becomes available to the Administrative Agent, any Issuing Bank, any Lender or any Affiliate of the Administrative Agent, any Issuing Bank or any Lender on a nonconfidential basis from a source other than any Borrower, any other Loan Party, or any Affiliate of any Borrower or any other Loan Party, which source, to the actual knowledge of the Administrative Agent, any Issuing Bank, any Lender or any Affiliate of the Administrative Agent, any Issuing Bank or any Lender, has not disclosed or acquired such Information in breach of this Section; (g) to the extent requested by, or required to be disclosed to, any nationally recognized rating agency or any regulatory or similar authority (including any self-regulatory authority including the National Association of Insurance Commissioners) having or purporting to have jurisdiction over it (provided that, in the case of a rating agency, the Administrative Agent, such Issuing Bank or such Lender, as applicable, shall, to the extent permitted by Applicable Law, inform the Borrower Representative promptly in advance thereof); (h) to bank trade publications, such information to consist of deal terms and other information customarily found in such publications; (i) to any other party hereto; and (j) with the consent of each Borrower. Notwithstanding the foregoing, the Administrative Agent, each Issuing Bank and each Lender may disclose any such confidential information, without notice to any Borrower or any other Loan Party, to Governmental Authorities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- 148 -</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connection with any regulatory examination of the Administrative Agent, such Issuing Bank or such Lender or in accordance with the regulatory compliance policy of the Administrative Agent, such Issuing Bank or such Lender. As used in this Section, the term “Information” means all information received from the Borrower Representative, any other Borrower, any other Loan Party or any Subsidiary or Affiliate relating to any Borrower, any other Loan Party or any of their respective businesses, other than any such information that is available to the Administrative Agent, any Lender or any Issuing Bank on a nonconfidential basis prior to disclosure by any Borrower, any other Subsidiary or any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such information received from the Borrower Representative, any other Borrower any Subsidiary or any Affiliate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r>
        <w:rPr>
          <w:rFonts w:ascii="Times New Roman" w:cs="Times New Roman" w:eastAsia="Times New Roman" w:hAnsi="Times New Roman"/>
          <w:sz w:val="20"/>
          <w:szCs w:val="20"/>
          <w:color w:val="0070C0"/>
        </w:rPr>
        <w:t>For the avoidance of doubt, nothing in this Section 12.8. shall prohibit any person from voluntarily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disclosing or providing any information within the scope of this confidentiality provision to any governmental, regulatory or self-regulatory organization to the extent that any such prohibition on disclosure set forth in this confidentiality provision shall be prohibited by the laws or regulations applicable to such governmental, regulatory or self-regulatory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-487680</wp:posOffset>
            </wp:positionV>
            <wp:extent cx="54032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403215" cy="8890"/>
                    </a:xfrm>
                    <a:prstGeom prst="rect">
                      <a:avLst/>
                    </a:prstGeom>
                    <a:noFill/>
                  </pic:spPr>
                </pic:pic>
              </a:graphicData>
            </a:graphic>
          </wp:anchor>
        </w:drawing>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12.9.</w:t>
      </w:r>
      <w:r>
        <w:rPr>
          <w:sz w:val="20"/>
          <w:szCs w:val="20"/>
          <w:color w:val="auto"/>
        </w:rPr>
        <w:tab/>
      </w:r>
      <w:r>
        <w:rPr>
          <w:rFonts w:ascii="Times New Roman" w:cs="Times New Roman" w:eastAsia="Times New Roman" w:hAnsi="Times New Roman"/>
          <w:sz w:val="19"/>
          <w:szCs w:val="19"/>
          <w:b w:val="1"/>
          <w:bCs w:val="1"/>
          <w:color w:val="auto"/>
        </w:rPr>
        <w:t>Indemnification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49" w:lineRule="auto"/>
        <w:tabs>
          <w:tab w:leader="none" w:pos="1098"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and hereby jointly and severally agree to indemnify, defend and hold harmless the Administrative Agent, the Issuing Banks, the Lenders, the Titled Agents, the respective Affiliates of each of the Administrative Agent, the Issuing Banks, the Lenders and the Titled Agents, and their respective Related Parties (each referred to herein as an “Indemnified Party”) from and against any and all of the following (collectively, the “Indemnified Costs”): losses, costs, claims, penalties,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“Indemnity Proceeding”), including without limitation any Indemnity Proceeding brought by a Borrower, any other Loan Party, any Affiliate or any third party, which is in any way related directly or indirectly to: (i) this Agreement, any other Loan Document, any Fee Letter or any other agreement, letter or instrument delivered in connection with the transactions contemplated hereby and thereby; (ii) the making of any Loans or issuance of Letters of Credit hereunder; (iii) any actual or proposed use by any Borrower of the proceeds of the Loans or of the Letters of Credit; (iv) the Administrative Agent’s, any Issuing Bank’s or any Lender’s entering into this Agreement; (v) the fact that the Administrative Agent, the Issuing Banks and the Lenders have established the credit facility evidenced hereby in favor of the Borrowers; (vi) the fact that the Administrative Agent, the Issuing Banks and the Lenders are creditors of the Borrowers and have or are alleged to have information regarding the financial condition, strategic plans or business operations of the Borrowers, the other Loan Parties and the Subsidiaries; (vii) the fact that the Administrative Agent, the Issuing Banks and the Lenders are material creditors of the Borrowers and are alleged to influence directly or indirectly the business decisions or affairs of the Borrowers, the other Loan Parties and their respective Subsidiaries or their financial condition; (viii) the exercise of any right or remedy the Administrative Agent, the Issuing Banks or the Lenders may have under this Agreement, the other Loan Documents or the Fee Letters; (ix) any civil penalty or fine assessed by the OFAC against, and all costs and expenses (including counsel fees and disbursements) incurred in connection with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7"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149 -</w:t>
      </w:r>
    </w:p>
    <w:p>
      <w:pPr>
        <w:sectPr>
          <w:pgSz w:w="11900" w:h="16838" w:orient="portrait"/>
          <w:cols w:equalWidth="0" w:num="1">
            <w:col w:w="11240"/>
          </w:cols>
          <w:pgMar w:left="320" w:top="1440" w:right="339" w:bottom="1440" w:gutter="0" w:footer="0" w:header="0"/>
        </w:sectPr>
      </w:pPr>
    </w:p>
    <w:bookmarkStart w:id="486" w:name="page487"/>
    <w:bookmarkEnd w:id="486"/>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defense thereof by, the Administrative Agent, any Issuing Bank or any Lender as a result of conduct of any Borrower, any other Loan Party or any other Subsidiary that violates a sanction administered or enforced by the OFAC; or (x) any violation or non-compliance by any Borrower, any other Loan Party or any other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any Borrower or its Subsidiaries (or its respective properties) (or the Administrative Agent and/or the Lenders and/or the Issuing Banks as successors to the Borrower) to be in compliance with such Environmental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Borrower shall be obligated to indemnify any Indemnified Party (x) for any Indemnified Costs to the extent resulting from such Indemnified Party’s own gross negligence or willful misconduct or a claim brought by any Borrower against an Indemnified Party for breach in bad faith of such Indemnified Party’s obligations hereunder, in each case as determined by a court of competent jurisdiction in a final non-appealable judgment or (y) any dispute solely among Indemnified Parties other than (A) any claims against the Titled Agents in their respective capacities, as or in fulfilling their respective roles, as an administrative agent, arranger, bookrunner, syndication agent, documentation agent, issuing bank or any similar role in respect of this Agreement and the transactions contemplated hereby and (B) any claims arising out of any act or omission on the part of any of the Loan Parties or their respective Affiliates (in each case under this clause (y), as determined by a final non-appealable judgment of a court of competent jurisdiction).</w:t>
      </w:r>
    </w:p>
    <w:p>
      <w:pPr>
        <w:spacing w:after="0" w:line="201" w:lineRule="exact"/>
        <w:rPr>
          <w:sz w:val="20"/>
          <w:szCs w:val="20"/>
          <w:color w:val="auto"/>
        </w:rPr>
      </w:pPr>
    </w:p>
    <w:p>
      <w:pPr>
        <w:jc w:val="both"/>
        <w:ind w:firstLine="656"/>
        <w:spacing w:after="0" w:line="251" w:lineRule="auto"/>
        <w:tabs>
          <w:tab w:leader="none" w:pos="1174"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any Loan Party or any Subsidiary, any shareholder of any Loan Party or any Subsidiary (whether such shareholder(s) are prosecuting such Indemnity Proceeding in their individual capacity or derivatively on behalf of such Loan Party), any account debtor of any Loan Party or any Subsidiary or by any Governmental Authority.</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097"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indemnification shall apply to any Indemnity Proceeding arising during the pendency of any bankruptcy proceeding filed by or against any Loan Party and/or any Subsidiary.</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077"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out-of-pocket fees and expenses of, and all amounts paid to third-persons by, an Indemnified Party shall be advanced by the Borrowers at the request of such Indemnified Party notwithstanding any claim or assertion by any Borrower that such Indemnified Party is not entitled to indemnification hereunder upon receipt of an undertaking by such Indemnified Party that such Indemnified Party will reimburse the Borrowers if it is actually and finally determined by a court of competent jurisdiction that such Indemnified Party is not so entitled to indemnification hereunder.</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Borrowers. No action taken by legal counsel chosen by an Indemnified Party in investigating or defending against any such Indemnity Proceeding shall vitiate or in any way impair the obligations and duties of each Borrower hereunder to indemnify and hold harmless each such Indemnified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(i) the Borrowers are required to indemnify an Indemnified Party pursuant hereto and (ii)</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150 -</w:t>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Borrowers have provided evidence reasonably satisfactory to such Indemnified Party that the Borrowers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Borrowers (which consent shall not be unreasonably withheld or delayed). Notwithstanding the foregoing, an Indemnified Party may settle or compromise any such Indemnity Proceeding without the prior written consent of the Borrowers where (x) no monetary relief is sought against such Indemnified Party in such Indemnity Proceeding or (y) there is an allegation of a violation of law by such Indemnified Party.</w:t>
      </w:r>
    </w:p>
    <w:p>
      <w:pPr>
        <w:spacing w:after="0" w:line="192" w:lineRule="exact"/>
        <w:rPr>
          <w:sz w:val="20"/>
          <w:szCs w:val="20"/>
          <w:color w:val="auto"/>
        </w:rPr>
      </w:pPr>
    </w:p>
    <w:p>
      <w:pPr>
        <w:jc w:val="both"/>
        <w:ind w:firstLine="656"/>
        <w:spacing w:after="0" w:line="261" w:lineRule="auto"/>
        <w:tabs>
          <w:tab w:leader="none" w:pos="1109"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the obligations of the Borrowers under this Section are unenforceable for any reason, the Borrowers hereby agree jointly and severally to make the maximum contribution to the payment and satisfaction of such obligations which is permissible under Applicable Law.</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092"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5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12.10.</w:t>
      </w:r>
      <w:r>
        <w:rPr>
          <w:sz w:val="20"/>
          <w:szCs w:val="20"/>
          <w:color w:val="auto"/>
        </w:rPr>
        <w:tab/>
      </w:r>
      <w:r>
        <w:rPr>
          <w:rFonts w:ascii="Times New Roman" w:cs="Times New Roman" w:eastAsia="Times New Roman" w:hAnsi="Times New Roman"/>
          <w:sz w:val="19"/>
          <w:szCs w:val="19"/>
          <w:b w:val="1"/>
          <w:bCs w:val="1"/>
          <w:color w:val="auto"/>
        </w:rPr>
        <w:t>Termination; Survival</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This Agreement shall terminate at such time as (a) all of the Commitments have been terminated, (b) all Letters of Credit have terminated or expired or been canceled (other than Extended Letters of Credit in respect of which the Borrowers have satisfied the requirements to provide Cash Collateral as required in Section 2.4.(b)), (c) none of the Lenders is obligated any longer under this Agreement to make any Loans and none of the Issuing Banks is obligated any longer under this Agreement to issue Letters of Credit and (d) all Obligations (other than obligations which survive as provided in the following sentence) have been paid and satisfied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on the Revolving Termination Date or any other date the Revolving Commitments are terminated or reduced to zero (whether voluntarily, by reason of the occurrence of an Event of Default or otherwise) any Letters of Credit remain outstanding, then the provisions of this Agreement applicable to Letters of Credit, including without limitation, the terms of Section 2.15. and the Borrowers’ reimbursement obligations under Section 2.4.(d), shall remain in effect until all Letters of Credit have expired, have been cancelled or have otherwise terminated. The indemnities to which the Administrative Agent, the Issuing Banks and the Lenders are entitled under the provisions of Sections 3.10., 4.1., 4.4., 11.6., 12.2. and 12.9. and any other provision of this Agreement and the other Loan Documents, and the provisions of Section 12.4., shall continue in full force and effect and shall protect the Administrative Agent, the Issuing Banks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12.11.</w:t>
      </w:r>
      <w:r>
        <w:rPr>
          <w:sz w:val="20"/>
          <w:szCs w:val="20"/>
          <w:color w:val="auto"/>
        </w:rPr>
        <w:tab/>
      </w:r>
      <w:r>
        <w:rPr>
          <w:rFonts w:ascii="Times New Roman" w:cs="Times New Roman" w:eastAsia="Times New Roman" w:hAnsi="Times New Roman"/>
          <w:sz w:val="19"/>
          <w:szCs w:val="19"/>
          <w:b w:val="1"/>
          <w:bCs w:val="1"/>
          <w:color w:val="auto"/>
        </w:rPr>
        <w:t>Severability of Provisions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any provision of this Agreement or the other Loan Documents shall be determined by a court of competent jurisdiction to be invalid or unenforceable, that provision shall be deemed severed from the Loan Documents, and the validity, legality and enforceability of the remaining provisions shall remain in full force as though the invalid, illegal, or unenforceable provision had never been part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- 151 -</w:t>
      </w:r>
    </w:p>
    <w:p>
      <w:pPr>
        <w:sectPr>
          <w:pgSz w:w="11900" w:h="16838" w:orient="portrait"/>
          <w:cols w:equalWidth="0" w:num="1">
            <w:col w:w="11240"/>
          </w:cols>
          <w:pgMar w:left="320" w:top="1440" w:right="339" w:bottom="1440" w:gutter="0" w:footer="0" w:header="0"/>
        </w:sectPr>
      </w:pPr>
    </w:p>
    <w:bookmarkStart w:id="488" w:name="page489"/>
    <w:bookmarkEnd w:id="488"/>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12.12.</w:t>
      </w:r>
      <w:r>
        <w:rPr>
          <w:sz w:val="20"/>
          <w:szCs w:val="20"/>
          <w:color w:val="auto"/>
        </w:rPr>
        <w:tab/>
      </w: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NEW YORK APPLICABLE TO CONTRACTS EXECUTED, AND TO BE FULLY PERFORMED, IN SUCH STATE, WITHOUT REGARD TO THE CONFLICTS OF LAW PRINCIPLES THEREOF THAT WOULD REQUIRE THE APPLICATION OF LAWS OF ANOTHER JURISDICTION.</w:t>
      </w:r>
    </w:p>
    <w:p>
      <w:pPr>
        <w:spacing w:after="0" w:line="18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12.13.</w:t>
      </w:r>
      <w:r>
        <w:rPr>
          <w:sz w:val="20"/>
          <w:szCs w:val="20"/>
          <w:color w:val="auto"/>
        </w:rPr>
        <w:tab/>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17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12.14.</w:t>
      </w:r>
      <w:r>
        <w:rPr>
          <w:sz w:val="20"/>
          <w:szCs w:val="20"/>
          <w:color w:val="auto"/>
        </w:rPr>
        <w:tab/>
      </w:r>
      <w:r>
        <w:rPr>
          <w:rFonts w:ascii="Times New Roman" w:cs="Times New Roman" w:eastAsia="Times New Roman" w:hAnsi="Times New Roman"/>
          <w:sz w:val="19"/>
          <w:szCs w:val="19"/>
          <w:b w:val="1"/>
          <w:bCs w:val="1"/>
          <w:color w:val="auto"/>
        </w:rPr>
        <w:t>Obligations with Respect to Loan Parties and Subsidiaries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obligations of any Borrower to direct or prohibit the taking of certain actions by the other Loan Parties and Subsidiaries as specified herein shall be absolute and not subject to any defense such Borrower may have that such Borrower does not control such Loan Parties or Subsidiaries.</w:t>
      </w:r>
    </w:p>
    <w:p>
      <w:pPr>
        <w:spacing w:after="0" w:line="17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12.15.</w:t>
      </w:r>
      <w:r>
        <w:rPr>
          <w:sz w:val="20"/>
          <w:szCs w:val="20"/>
          <w:color w:val="auto"/>
        </w:rPr>
        <w:tab/>
      </w:r>
      <w:r>
        <w:rPr>
          <w:rFonts w:ascii="Times New Roman" w:cs="Times New Roman" w:eastAsia="Times New Roman" w:hAnsi="Times New Roman"/>
          <w:sz w:val="19"/>
          <w:szCs w:val="19"/>
          <w:b w:val="1"/>
          <w:bCs w:val="1"/>
          <w:color w:val="auto"/>
        </w:rPr>
        <w:t>Independence of Covenants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covenants hereunder shall be given in any jurisdiction independent effect so that if a particular action or condition is not permitted by any of such covenants, the fact that it would be permitted by an exception to, or be otherwise within the limitations of, another covenant shall not avoid the occurrence of a Default or an Event of Default if such action is taken or condition exists.</w:t>
      </w:r>
    </w:p>
    <w:p>
      <w:pPr>
        <w:spacing w:after="0" w:line="17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12.16.</w:t>
      </w:r>
      <w:r>
        <w:rPr>
          <w:sz w:val="20"/>
          <w:szCs w:val="20"/>
          <w:color w:val="auto"/>
        </w:rPr>
        <w:tab/>
      </w:r>
      <w:r>
        <w:rPr>
          <w:rFonts w:ascii="Times New Roman" w:cs="Times New Roman" w:eastAsia="Times New Roman" w:hAnsi="Times New Roman"/>
          <w:sz w:val="19"/>
          <w:szCs w:val="19"/>
          <w:b w:val="1"/>
          <w:bCs w:val="1"/>
          <w:color w:val="auto"/>
        </w:rPr>
        <w:t>Limitation of Liability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None of the Administrative </w:t>
      </w:r>
      <w:r>
        <w:rPr>
          <w:rFonts w:ascii="Times New Roman" w:cs="Times New Roman" w:eastAsia="Times New Roman" w:hAnsi="Times New Roman"/>
          <w:sz w:val="20"/>
          <w:szCs w:val="20"/>
          <w:u w:val="single" w:color="auto"/>
          <w:color w:val="0070C0"/>
        </w:rPr>
        <w:t>Agent, the Sustainability Structuring</w:t>
      </w:r>
      <w:r>
        <w:rPr>
          <w:rFonts w:ascii="Times New Roman" w:cs="Times New Roman" w:eastAsia="Times New Roman" w:hAnsi="Times New Roman"/>
          <w:sz w:val="20"/>
          <w:szCs w:val="20"/>
          <w:color w:val="auto"/>
        </w:rPr>
        <w:t xml:space="preserve"> Agent, any Issuing Bank or any Lender, or any Affiliate, officer, director, employee, attorney, or agent of the Administrative Agent, </w:t>
      </w:r>
      <w:r>
        <w:rPr>
          <w:rFonts w:ascii="Times New Roman" w:cs="Times New Roman" w:eastAsia="Times New Roman" w:hAnsi="Times New Roman"/>
          <w:sz w:val="20"/>
          <w:szCs w:val="20"/>
          <w:color w:val="0070C0"/>
        </w:rPr>
        <w:t>the Sustainability Structuring Agent,</w:t>
      </w:r>
      <w:r>
        <w:rPr>
          <w:rFonts w:ascii="Times New Roman" w:cs="Times New Roman" w:eastAsia="Times New Roman" w:hAnsi="Times New Roman"/>
          <w:sz w:val="20"/>
          <w:szCs w:val="20"/>
          <w:color w:val="auto"/>
        </w:rPr>
        <w:t xml:space="preserve"> any Issuing Bank or any Lender shall have any liability with respect to, and each Borrower hereby waives, releases, and agrees not to sue any of them upon, any claim for any special, indirect, incidental, or consequential damages suffered or incurred by such Borrower in connection with, arising out of, or in any way related to, this Agreement, any of the other Loan Documents or any Fee Letter, or any of the transactions contemplated by this Agreement or any of the other Loan Documents. Each Borrower hereby waives, releases, and agrees not to sue the Administrative Agent, any Issuing Bank or any Lender or any of the Administrative Agent’s, </w:t>
      </w:r>
      <w:r>
        <w:rPr>
          <w:rFonts w:ascii="Times New Roman" w:cs="Times New Roman" w:eastAsia="Times New Roman" w:hAnsi="Times New Roman"/>
          <w:sz w:val="20"/>
          <w:szCs w:val="20"/>
          <w:color w:val="FF0000"/>
          <w:strike w:val="1"/>
        </w:rPr>
        <w:t>any</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u w:val="single" w:color="auto"/>
          <w:color w:val="0070C0"/>
        </w:rPr>
        <w:t>he Sustainability Structuring Agent’s, any</w:t>
      </w:r>
      <w:r>
        <w:rPr>
          <w:rFonts w:ascii="Times New Roman" w:cs="Times New Roman" w:eastAsia="Times New Roman" w:hAnsi="Times New Roman"/>
          <w:sz w:val="20"/>
          <w:szCs w:val="20"/>
          <w:color w:val="auto"/>
        </w:rPr>
        <w:t xml:space="preserve"> Issuing Bank’s or any Lender’s Affiliates, officers, directors, employees, attorneys, or agents for punitive damages in respect of any claim in connection with, arising out of, or in any way related to, this Agreement, any of the other Loan Documents, any Fee Letter, or any of the transactions contemplated by this Agreement or financed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-1243965</wp:posOffset>
            </wp:positionV>
            <wp:extent cx="1925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925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- 152 -</w:t>
      </w:r>
    </w:p>
    <w:p>
      <w:pPr>
        <w:sectPr>
          <w:pgSz w:w="11900" w:h="16838" w:orient="portrait"/>
          <w:cols w:equalWidth="0" w:num="1">
            <w:col w:w="11240"/>
          </w:cols>
          <w:pgMar w:left="320" w:top="1408" w:right="339" w:bottom="1440" w:gutter="0" w:footer="0" w:header="0"/>
        </w:sectPr>
      </w:pPr>
    </w:p>
    <w:bookmarkStart w:id="489" w:name="page490"/>
    <w:bookmarkEnd w:id="489"/>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12.17.</w:t>
      </w:r>
      <w:r>
        <w:rPr>
          <w:sz w:val="20"/>
          <w:szCs w:val="20"/>
          <w:color w:val="auto"/>
        </w:rPr>
        <w:tab/>
      </w:r>
      <w:r>
        <w:rPr>
          <w:rFonts w:ascii="Times New Roman" w:cs="Times New Roman" w:eastAsia="Times New Roman" w:hAnsi="Times New Roman"/>
          <w:sz w:val="19"/>
          <w:szCs w:val="19"/>
          <w:b w:val="1"/>
          <w:bCs w:val="1"/>
          <w:color w:val="auto"/>
        </w:rPr>
        <w:t>Entire Agreement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8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12.18.</w:t>
      </w:r>
      <w:r>
        <w:rPr>
          <w:sz w:val="20"/>
          <w:szCs w:val="20"/>
          <w:color w:val="auto"/>
        </w:rPr>
        <w:tab/>
      </w:r>
      <w:r>
        <w:rPr>
          <w:rFonts w:ascii="Times New Roman" w:cs="Times New Roman" w:eastAsia="Times New Roman" w:hAnsi="Times New Roman"/>
          <w:sz w:val="19"/>
          <w:szCs w:val="19"/>
          <w:b w:val="1"/>
          <w:bCs w:val="1"/>
          <w:color w:val="auto"/>
        </w:rPr>
        <w:t>Construction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Administrative Agent, each Issuing Bank, each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each Issuing Bank, each Borrower and each Lender.</w:t>
      </w:r>
    </w:p>
    <w:p>
      <w:pPr>
        <w:spacing w:after="0" w:line="18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12.19.</w:t>
      </w:r>
      <w:r>
        <w:rPr>
          <w:sz w:val="20"/>
          <w:szCs w:val="20"/>
          <w:color w:val="auto"/>
        </w:rPr>
        <w:tab/>
      </w:r>
      <w:r>
        <w:rPr>
          <w:rFonts w:ascii="Times New Roman" w:cs="Times New Roman" w:eastAsia="Times New Roman" w:hAnsi="Times New Roman"/>
          <w:sz w:val="19"/>
          <w:szCs w:val="19"/>
          <w:b w:val="1"/>
          <w:bCs w:val="1"/>
          <w:color w:val="auto"/>
        </w:rPr>
        <w:t>Headings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paragraph and section headings in this Agreement are provided for convenience of reference only and shall not affect its construction or interpretation.</w:t>
      </w:r>
    </w:p>
    <w:p>
      <w:pPr>
        <w:spacing w:after="0" w:line="16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12.20.</w:t>
      </w:r>
      <w:r>
        <w:rPr>
          <w:sz w:val="20"/>
          <w:szCs w:val="20"/>
          <w:color w:val="auto"/>
        </w:rPr>
        <w:tab/>
      </w:r>
      <w:r>
        <w:rPr>
          <w:rFonts w:ascii="Times New Roman" w:cs="Times New Roman" w:eastAsia="Times New Roman" w:hAnsi="Times New Roman"/>
          <w:sz w:val="19"/>
          <w:szCs w:val="19"/>
          <w:b w:val="1"/>
          <w:bCs w:val="1"/>
          <w:color w:val="auto"/>
        </w:rPr>
        <w:t>New York Mortgages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68" w:lineRule="auto"/>
        <w:tabs>
          <w:tab w:leader="none" w:pos="1146"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parties hereto acknowledge and agree that the Administrative Agent, the Issuing Banks and the Lenders are accepting and will accept the benefits of the New York Mortgages as an accommodation to the Borrowers pursuant to the terms set forth herein.</w:t>
      </w:r>
    </w:p>
    <w:p>
      <w:pPr>
        <w:spacing w:after="0" w:line="161" w:lineRule="exact"/>
        <w:rPr>
          <w:rFonts w:ascii="Times New Roman" w:cs="Times New Roman" w:eastAsia="Times New Roman" w:hAnsi="Times New Roman"/>
          <w:sz w:val="20"/>
          <w:szCs w:val="20"/>
          <w:color w:val="auto"/>
        </w:rPr>
      </w:pPr>
    </w:p>
    <w:p>
      <w:pPr>
        <w:jc w:val="both"/>
        <w:ind w:firstLine="656"/>
        <w:spacing w:after="0" w:line="252" w:lineRule="auto"/>
        <w:tabs>
          <w:tab w:leader="none" w:pos="1117"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New York Mortgages</w:t>
      </w:r>
      <w:r>
        <w:rPr>
          <w:rFonts w:ascii="Times New Roman" w:cs="Times New Roman" w:eastAsia="Times New Roman" w:hAnsi="Times New Roman"/>
          <w:sz w:val="20"/>
          <w:szCs w:val="20"/>
          <w:color w:val="auto"/>
        </w:rPr>
        <w:t xml:space="preserve">. Notwithstanding any other provision of this Agreement or any other Loan Document to the contrary, including without limitation, Section 12.6., (i) upon the Borrower Representative’s written request and at the Borrowers’ sole cost and expense, the Administrative Agent shall release any or all of the New York Mortgages or assign any or all of the New York Mortgages to any Person requested by the Borrower Representative (any such assignment to be without recourse or warranty whatsoever) and (ii) the Administrative Agent may in its discretion, and shall at the direction of the Requisite Lenders, release any or all of the New York Mortgages so long as the Administrative Agent shall have given the Borrower Representative written notice at least 5 days’ prior to any such release;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Administrative Agent shall not be required to give any such prior notice to the Borrower Representative if the Administrative Agent, in its sole discretion, has determined that delay of such release would be detrimental to the Administrative Agent, the Issuing Banks or the Lenders.</w:t>
      </w:r>
    </w:p>
    <w:p>
      <w:pPr>
        <w:spacing w:after="0" w:line="17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9"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Not in limitation of any of the Borrowers’ obligations under Section 12.2. or 12.9., each Borrower shall and hereby jointly and severally agrees to indemnify, defend and hold harmless the Administrative Agent, each Lender and each other Indemnified Party from and against any and all losses, costs, claims,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incurred by an Indemnified Party in connection with, arising out of, or by reason of, any Indemnity Proceeding which is in any way related directly or indirectly to the failure of any Person to pay any recording tax payable pursuant to N.Y. Tax Law, Ch. 60, Art. 11, Sec. 253 et seq. or other Applicable Laws of the State of New York or any political subdivision of such State.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153 -</w:t>
      </w:r>
    </w:p>
    <w:p>
      <w:pPr>
        <w:sectPr>
          <w:pgSz w:w="11900" w:h="16838" w:orient="portrait"/>
          <w:cols w:equalWidth="0" w:num="1">
            <w:col w:w="11240"/>
          </w:cols>
          <w:pgMar w:left="320" w:top="1408" w:right="339" w:bottom="1440" w:gutter="0" w:footer="0" w:header="0"/>
        </w:sectPr>
      </w:pPr>
    </w:p>
    <w:bookmarkStart w:id="490" w:name="page491"/>
    <w:bookmarkEnd w:id="490"/>
    <w:p>
      <w:pPr>
        <w:spacing w:after="0" w:line="189" w:lineRule="exact"/>
        <w:rPr>
          <w:sz w:val="20"/>
          <w:szCs w:val="20"/>
          <w:color w:val="auto"/>
        </w:rPr>
      </w:pPr>
    </w:p>
    <w:p>
      <w:pPr>
        <w:jc w:val="both"/>
        <w:ind w:left="-206" w:firstLine="656"/>
        <w:spacing w:after="0" w:line="261" w:lineRule="auto"/>
        <w:tabs>
          <w:tab w:leader="none" w:pos="925"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of New York Mortgages</w:t>
      </w:r>
      <w:r>
        <w:rPr>
          <w:rFonts w:ascii="Times New Roman" w:cs="Times New Roman" w:eastAsia="Times New Roman" w:hAnsi="Times New Roman"/>
          <w:sz w:val="20"/>
          <w:szCs w:val="20"/>
          <w:color w:val="auto"/>
        </w:rPr>
        <w:t>. In connection with the Administrative Agent’s, each Issuing Bank’s and each Lender’s acceptance of the benefits of a New York Mortgage, the Parent shall cause to be delivered to the Administrative Agent and the Lenders each of the following, in form and substance satisfactory to the Administrative Agent:</w:t>
      </w:r>
    </w:p>
    <w:p>
      <w:pPr>
        <w:spacing w:after="0" w:line="181" w:lineRule="exact"/>
        <w:rPr>
          <w:rFonts w:ascii="Times New Roman" w:cs="Times New Roman" w:eastAsia="Times New Roman" w:hAnsi="Times New Roman"/>
          <w:sz w:val="20"/>
          <w:szCs w:val="20"/>
          <w:color w:val="auto"/>
        </w:rPr>
      </w:pPr>
    </w:p>
    <w:p>
      <w:pPr>
        <w:ind w:left="454" w:right="20" w:firstLine="644"/>
        <w:spacing w:after="0" w:line="269" w:lineRule="auto"/>
        <w:tabs>
          <w:tab w:leader="none" w:pos="1509"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of the Indebtedness secured by such New York Mortgage executed and delivered by each holder of such Indebtedness;</w:t>
      </w:r>
    </w:p>
    <w:p>
      <w:pPr>
        <w:spacing w:after="0" w:line="172" w:lineRule="exact"/>
        <w:rPr>
          <w:rFonts w:ascii="Times New Roman" w:cs="Times New Roman" w:eastAsia="Times New Roman" w:hAnsi="Times New Roman"/>
          <w:sz w:val="20"/>
          <w:szCs w:val="20"/>
          <w:color w:val="auto"/>
        </w:rPr>
      </w:pPr>
    </w:p>
    <w:p>
      <w:pPr>
        <w:ind w:left="454" w:firstLine="644"/>
        <w:spacing w:after="0" w:line="283" w:lineRule="auto"/>
        <w:tabs>
          <w:tab w:leader="none" w:pos="1653"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originals (or if not available, copies) of each outstanding promissory note evidencing such Indebtedness, duly endorsed to the Administrative Agent, or its registered assignees;</w:t>
      </w:r>
    </w:p>
    <w:p>
      <w:pPr>
        <w:spacing w:after="0" w:line="146" w:lineRule="exact"/>
        <w:rPr>
          <w:rFonts w:ascii="Times New Roman" w:cs="Times New Roman" w:eastAsia="Times New Roman" w:hAnsi="Times New Roman"/>
          <w:sz w:val="20"/>
          <w:szCs w:val="20"/>
          <w:color w:val="auto"/>
        </w:rPr>
      </w:pPr>
    </w:p>
    <w:p>
      <w:pPr>
        <w:ind w:left="454" w:firstLine="644"/>
        <w:spacing w:after="0" w:line="283" w:lineRule="auto"/>
        <w:tabs>
          <w:tab w:leader="none" w:pos="1685"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such New York Mortgage, including all amendments thereto, showing all recording information thereon certified as true, correct and complete by an authorized officer of the SLGOP;</w:t>
      </w:r>
    </w:p>
    <w:p>
      <w:pPr>
        <w:spacing w:after="0" w:line="146" w:lineRule="exact"/>
        <w:rPr>
          <w:rFonts w:ascii="Times New Roman" w:cs="Times New Roman" w:eastAsia="Times New Roman" w:hAnsi="Times New Roman"/>
          <w:sz w:val="20"/>
          <w:szCs w:val="20"/>
          <w:color w:val="auto"/>
        </w:rPr>
      </w:pPr>
    </w:p>
    <w:p>
      <w:pPr>
        <w:ind w:left="454" w:firstLine="644"/>
        <w:spacing w:after="0" w:line="283" w:lineRule="auto"/>
        <w:tabs>
          <w:tab w:leader="none" w:pos="1673"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of such New York Mortgage executed by each holder of such Indebtedness (or an authorized agent acting on behalf of each such holder);</w:t>
      </w:r>
    </w:p>
    <w:p>
      <w:pPr>
        <w:spacing w:after="0" w:line="159" w:lineRule="exact"/>
        <w:rPr>
          <w:rFonts w:ascii="Times New Roman" w:cs="Times New Roman" w:eastAsia="Times New Roman" w:hAnsi="Times New Roman"/>
          <w:sz w:val="20"/>
          <w:szCs w:val="20"/>
          <w:color w:val="auto"/>
        </w:rPr>
      </w:pPr>
    </w:p>
    <w:p>
      <w:pPr>
        <w:jc w:val="both"/>
        <w:ind w:left="454" w:firstLine="644"/>
        <w:spacing w:after="0" w:line="254" w:lineRule="auto"/>
        <w:tabs>
          <w:tab w:leader="none" w:pos="1724"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modification to such New York Mortgage executed by the applicable Borrowers or their Subsidiaries, such modification, among other things, to modify such New York Mortgage to provide that it secures such principal amounts of the Obligations as corresponds to the principal amount of Loans advanced hereunder in connection with the assignment of such New York Mortgage to the Administrative Agent;</w:t>
      </w:r>
    </w:p>
    <w:p>
      <w:pPr>
        <w:spacing w:after="0" w:line="187" w:lineRule="exact"/>
        <w:rPr>
          <w:rFonts w:ascii="Times New Roman" w:cs="Times New Roman" w:eastAsia="Times New Roman" w:hAnsi="Times New Roman"/>
          <w:sz w:val="20"/>
          <w:szCs w:val="20"/>
          <w:color w:val="auto"/>
        </w:rPr>
      </w:pPr>
    </w:p>
    <w:p>
      <w:pPr>
        <w:jc w:val="both"/>
        <w:ind w:left="454" w:firstLine="644"/>
        <w:spacing w:after="0" w:line="253" w:lineRule="auto"/>
        <w:tabs>
          <w:tab w:leader="none" w:pos="1640"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copy of any environmental assessment report on the Property subject to such New York Mortgage available to the Borrowers or any of their respective Subsidiaries, and if reasonably requested by the Administrative Agent, reliance letters from the environmental engineering firms performing such assessments addressed to the Administrative Agent, the Issuing Banks and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such a reliance letter is not provided, the Administrative Agent, the Issuing Banks and the Lenders shall have no obligation to accept an assignment of such New York Mortgage; and</w:t>
      </w:r>
    </w:p>
    <w:p>
      <w:pPr>
        <w:spacing w:after="0" w:line="191" w:lineRule="exact"/>
        <w:rPr>
          <w:rFonts w:ascii="Times New Roman" w:cs="Times New Roman" w:eastAsia="Times New Roman" w:hAnsi="Times New Roman"/>
          <w:sz w:val="20"/>
          <w:szCs w:val="20"/>
          <w:color w:val="auto"/>
        </w:rPr>
      </w:pPr>
    </w:p>
    <w:p>
      <w:pPr>
        <w:ind w:left="454" w:firstLine="644"/>
        <w:spacing w:after="0" w:line="269" w:lineRule="auto"/>
        <w:tabs>
          <w:tab w:leader="none" w:pos="1791"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agreements and instruments as the Administrative Agent on behalf of the Lenders may reasonably request.</w:t>
      </w:r>
    </w:p>
    <w:p>
      <w:pPr>
        <w:spacing w:after="0" w:line="173" w:lineRule="exact"/>
        <w:rPr>
          <w:sz w:val="20"/>
          <w:szCs w:val="20"/>
          <w:color w:val="auto"/>
        </w:rPr>
      </w:pPr>
    </w:p>
    <w:p>
      <w:pPr>
        <w:jc w:val="both"/>
        <w:ind w:left="-206" w:firstLine="656"/>
        <w:spacing w:after="0" w:line="253" w:lineRule="auto"/>
        <w:tabs>
          <w:tab w:leader="none" w:pos="845"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that none of the Properties encumbered by the New York Mortgages are located in areas determined by the Federal Emergency Management Agency to have special flood hazards. The Parent shall have notified the Administrative Agent (who will in turn notify the Lenders) at least 15 Business Days prior to effecting the assignment of any New York Mortgage for the purposes of affording each Lenders at least 15 Business Days in which to complete flood due diligence with respect to the Property subject to such New York Mortgage.</w:t>
      </w:r>
    </w:p>
    <w:p>
      <w:pPr>
        <w:spacing w:after="0" w:line="191" w:lineRule="exact"/>
        <w:rPr>
          <w:rFonts w:ascii="Times New Roman" w:cs="Times New Roman" w:eastAsia="Times New Roman" w:hAnsi="Times New Roman"/>
          <w:sz w:val="20"/>
          <w:szCs w:val="20"/>
          <w:color w:val="auto"/>
        </w:rPr>
      </w:pPr>
    </w:p>
    <w:p>
      <w:pPr>
        <w:jc w:val="both"/>
        <w:ind w:left="-206" w:firstLine="656"/>
        <w:spacing w:after="0" w:line="261" w:lineRule="auto"/>
        <w:tabs>
          <w:tab w:leader="none" w:pos="910"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assignment or release of the New York Mortgages, each Term Loan Lender shall, at the request of the Borrowers, be deemed to accept the repayment of, and immediately re-advance, its pro rata share of the amount of the Term Loans equal to the amount of the debt secured by the assigned or released New York Mortgage, as the case may be.</w:t>
      </w:r>
    </w:p>
    <w:p>
      <w:pPr>
        <w:spacing w:after="0" w:line="181" w:lineRule="exact"/>
        <w:rPr>
          <w:rFonts w:ascii="Times New Roman" w:cs="Times New Roman" w:eastAsia="Times New Roman" w:hAnsi="Times New Roman"/>
          <w:sz w:val="20"/>
          <w:szCs w:val="20"/>
          <w:color w:val="auto"/>
        </w:rPr>
      </w:pPr>
    </w:p>
    <w:p>
      <w:pPr>
        <w:ind w:left="-206" w:firstLine="656"/>
        <w:spacing w:after="0" w:line="269" w:lineRule="auto"/>
        <w:tabs>
          <w:tab w:leader="none" w:pos="890"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extension or renewal of the Facilities hereunder shall be subject to flood due diligence and compliance with this Section 12.20. with respect to New York Mortgages which due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5" w:lineRule="exact"/>
        <w:rPr>
          <w:rFonts w:ascii="Times New Roman" w:cs="Times New Roman" w:eastAsia="Times New Roman" w:hAnsi="Times New Roman"/>
          <w:sz w:val="20"/>
          <w:szCs w:val="20"/>
          <w:color w:val="auto"/>
        </w:rPr>
      </w:pPr>
    </w:p>
    <w:p>
      <w:pPr>
        <w:ind w:left="114" w:hanging="114"/>
        <w:spacing w:after="0"/>
        <w:tabs>
          <w:tab w:leader="none" w:pos="114"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154 -</w:t>
      </w:r>
    </w:p>
    <w:p>
      <w:pPr>
        <w:sectPr>
          <w:pgSz w:w="11900" w:h="16838" w:orient="portrait"/>
          <w:cols w:equalWidth="0" w:num="1">
            <w:col w:w="11034"/>
          </w:cols>
          <w:pgMar w:left="526" w:top="1440" w:right="339" w:bottom="1440" w:gutter="0" w:footer="0" w:header="0"/>
        </w:sectPr>
      </w:pPr>
    </w:p>
    <w:bookmarkStart w:id="491" w:name="page492"/>
    <w:bookmarkEnd w:id="491"/>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diligence and compliance shall be reasonably satisfactory to each Lender. The Parent shall have notified the Administrative Agent (who will in turn notify the Lenders) at least 15 Business Days prior to any such increase, extension or renewal for the purposes of affording each Lenders at least 15 Business Days in which to complete flood due diligence with respect to the Properties subject to a New York Mortgage.</w:t>
      </w:r>
    </w:p>
    <w:p>
      <w:pPr>
        <w:spacing w:after="0" w:line="17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12.21.</w:t>
      </w:r>
      <w:r>
        <w:rPr>
          <w:sz w:val="20"/>
          <w:szCs w:val="20"/>
          <w:color w:val="auto"/>
        </w:rPr>
        <w:tab/>
      </w:r>
      <w:r>
        <w:rPr>
          <w:rFonts w:ascii="Times New Roman" w:cs="Times New Roman" w:eastAsia="Times New Roman" w:hAnsi="Times New Roman"/>
          <w:sz w:val="19"/>
          <w:szCs w:val="19"/>
          <w:b w:val="1"/>
          <w:bCs w:val="1"/>
          <w:color w:val="auto"/>
        </w:rPr>
        <w:t>Effect on Existing Credit Agreement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68" w:lineRule="auto"/>
        <w:tabs>
          <w:tab w:leader="none" w:pos="1187"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Upon satisfaction of the conditions precedent set forth in Sections 5.1., this Agreement shall exclusively control and govern the mutual rights and obligations of the parties hereto with respect to the Existing Credit Agreement, and the Existing Credit Agreement shall be superseded by this Agreement in all respects, in each case, on a prospective basis only.</w:t>
      </w:r>
    </w:p>
    <w:p>
      <w:pPr>
        <w:spacing w:after="0" w:line="161" w:lineRule="exact"/>
        <w:rPr>
          <w:rFonts w:ascii="Times New Roman" w:cs="Times New Roman" w:eastAsia="Times New Roman" w:hAnsi="Times New Roman"/>
          <w:sz w:val="20"/>
          <w:szCs w:val="20"/>
          <w:color w:val="auto"/>
        </w:rPr>
      </w:pPr>
    </w:p>
    <w:p>
      <w:pPr>
        <w:jc w:val="both"/>
        <w:ind w:firstLine="656"/>
        <w:spacing w:after="0" w:line="269" w:lineRule="auto"/>
        <w:tabs>
          <w:tab w:leader="none" w:pos="1198" w:val="left"/>
        </w:tabs>
        <w:numPr>
          <w:ilvl w:val="0"/>
          <w:numId w:val="3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NOVATION</w:t>
      </w:r>
      <w:r>
        <w:rPr>
          <w:rFonts w:ascii="Times New Roman" w:cs="Times New Roman" w:eastAsia="Times New Roman" w:hAnsi="Times New Roman"/>
          <w:sz w:val="19"/>
          <w:szCs w:val="19"/>
          <w:color w:val="auto"/>
        </w:rPr>
        <w:t>. THE PARTIES HERETO HAVE ENTERED INTO THIS AGREEMENT SOLELY TO AMEND AND RESTATE THE TERMS OF, AND THE OBLIGATIONS OWING UNDER AND IN CONNECTION WITH, THE EXISTING CREDIT AGREEMENT. THE PARTIES DO NOT INTEND THIS AGREEMENT OR THE TRANSACTIONS CONTEMPLATED HEREBY TO BE, AND THIS AGREEMENT AND THE TRANSACTIONS CONTEMPLATED HEREBY SHALL NOT BE CONSTRUED TO BE, A NOVATION OF ANY OF THE OBLIGATIONS OWING BY ANY BORROWER UNDER OR IN CONNECTION WITH THE EXISTING CREDIT AGREEMENT OR ANY OF THE OTHER LOAN DOCUMENTS (AS DEFINED IN THE EXISTING CREDIT AGREEMENT).</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12.22.</w:t>
      </w:r>
      <w:r>
        <w:rPr>
          <w:sz w:val="20"/>
          <w:szCs w:val="20"/>
          <w:color w:val="auto"/>
        </w:rPr>
        <w:tab/>
      </w:r>
      <w:r>
        <w:rPr>
          <w:rFonts w:ascii="Times New Roman" w:cs="Times New Roman" w:eastAsia="Times New Roman" w:hAnsi="Times New Roman"/>
          <w:sz w:val="19"/>
          <w:szCs w:val="19"/>
          <w:b w:val="1"/>
          <w:bCs w:val="1"/>
          <w:color w:val="auto"/>
        </w:rPr>
        <w:t>Acknowledgement and Consent to Bail-In of Affected Financial Institutions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6" w:lineRule="exact"/>
        <w:rPr>
          <w:sz w:val="20"/>
          <w:szCs w:val="20"/>
          <w:color w:val="auto"/>
        </w:rPr>
      </w:pPr>
    </w:p>
    <w:p>
      <w:pPr>
        <w:ind w:right="20" w:firstLine="656"/>
        <w:spacing w:after="0" w:line="269" w:lineRule="auto"/>
        <w:tabs>
          <w:tab w:leader="none" w:pos="1068" w:val="left"/>
        </w:tabs>
        <w:numPr>
          <w:ilvl w:val="1"/>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2"/>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65" w:val="left"/>
        </w:tabs>
        <w:numPr>
          <w:ilvl w:val="2"/>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32" w:val="left"/>
        </w:tabs>
        <w:numPr>
          <w:ilvl w:val="2"/>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ind w:left="320" w:hanging="114"/>
        <w:spacing w:after="0"/>
        <w:tabs>
          <w:tab w:leader="none" w:pos="32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155 -</w:t>
      </w:r>
    </w:p>
    <w:p>
      <w:pPr>
        <w:sectPr>
          <w:pgSz w:w="11900" w:h="16838" w:orient="portrait"/>
          <w:cols w:equalWidth="0" w:num="1">
            <w:col w:w="11240"/>
          </w:cols>
          <w:pgMar w:left="320" w:top="1440" w:right="339" w:bottom="1440" w:gutter="0" w:footer="0" w:header="0"/>
        </w:sectPr>
      </w:pPr>
    </w:p>
    <w:bookmarkStart w:id="492" w:name="page493"/>
    <w:bookmarkEnd w:id="492"/>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12.23.</w:t>
      </w:r>
      <w:r>
        <w:rPr>
          <w:sz w:val="20"/>
          <w:szCs w:val="20"/>
          <w:color w:val="auto"/>
        </w:rPr>
        <w:tab/>
      </w:r>
      <w:r>
        <w:rPr>
          <w:rFonts w:ascii="Times New Roman" w:cs="Times New Roman" w:eastAsia="Times New Roman" w:hAnsi="Times New Roman"/>
          <w:sz w:val="19"/>
          <w:szCs w:val="19"/>
          <w:b w:val="1"/>
          <w:bCs w:val="1"/>
          <w:color w:val="auto"/>
        </w:rPr>
        <w:t>Acknowledgement Regarding Any Supported QFCs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To the extent that the Loan Documents </w:t>
      </w:r>
      <w:r>
        <w:rPr>
          <w:rFonts w:ascii="Times New Roman" w:cs="Times New Roman" w:eastAsia="Times New Roman" w:hAnsi="Times New Roman"/>
          <w:sz w:val="20"/>
          <w:szCs w:val="20"/>
          <w:u w:val="single" w:color="auto"/>
          <w:color w:val="auto"/>
        </w:rPr>
        <w:t>provide</w:t>
      </w:r>
      <w:r>
        <w:rPr>
          <w:rFonts w:ascii="Times New Roman" w:cs="Times New Roman" w:eastAsia="Times New Roman" w:hAnsi="Times New Roman"/>
          <w:sz w:val="20"/>
          <w:szCs w:val="20"/>
          <w:color w:val="auto"/>
        </w:rPr>
        <w:t xml:space="preserve"> support, through a guarantee or otherwise, for Derivative Contracts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3" w:lineRule="exact"/>
        <w:rPr>
          <w:sz w:val="20"/>
          <w:szCs w:val="20"/>
          <w:color w:val="auto"/>
        </w:rPr>
      </w:pPr>
    </w:p>
    <w:p>
      <w:pPr>
        <w:jc w:val="both"/>
        <w:ind w:firstLine="656"/>
        <w:spacing w:after="0" w:line="249" w:lineRule="auto"/>
        <w:tabs>
          <w:tab w:leader="none" w:pos="1065"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Section 12.23, the following terms have the following meanings:</w:t>
      </w:r>
    </w:p>
    <w:p>
      <w:pPr>
        <w:spacing w:after="0" w:line="216" w:lineRule="exact"/>
        <w:rPr>
          <w:sz w:val="20"/>
          <w:szCs w:val="20"/>
          <w:color w:val="auto"/>
        </w:rPr>
      </w:pPr>
    </w:p>
    <w:p>
      <w:pPr>
        <w:ind w:left="6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680" w:hanging="376"/>
        <w:spacing w:after="0"/>
        <w:tabs>
          <w:tab w:leader="none" w:pos="168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29" w:lineRule="exact"/>
        <w:rPr>
          <w:sz w:val="20"/>
          <w:szCs w:val="20"/>
          <w:color w:val="auto"/>
        </w:rPr>
      </w:pPr>
    </w:p>
    <w:p>
      <w:pPr>
        <w:ind w:left="6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46" w:lineRule="exact"/>
        <w:rPr>
          <w:sz w:val="20"/>
          <w:szCs w:val="20"/>
          <w:color w:val="auto"/>
        </w:rPr>
      </w:pPr>
    </w:p>
    <w:p>
      <w:pPr>
        <w:ind w:left="660"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- 156 -</w:t>
      </w:r>
    </w:p>
    <w:p>
      <w:pPr>
        <w:sectPr>
          <w:pgSz w:w="11900" w:h="16838" w:orient="portrait"/>
          <w:cols w:equalWidth="0" w:num="1">
            <w:col w:w="11240"/>
          </w:cols>
          <w:pgMar w:left="320" w:top="1408" w:right="339" w:bottom="1440" w:gutter="0" w:footer="0" w:header="0"/>
        </w:sectPr>
      </w:pPr>
    </w:p>
    <w:bookmarkStart w:id="493" w:name="page494"/>
    <w:bookmarkEnd w:id="493"/>
    <w:p>
      <w:pPr>
        <w:spacing w:after="0"/>
        <w:tabs>
          <w:tab w:leader="none" w:pos="1340" w:val="left"/>
        </w:tabs>
        <w:rPr>
          <w:sz w:val="20"/>
          <w:szCs w:val="20"/>
          <w:color w:val="auto"/>
        </w:rPr>
      </w:pPr>
      <w:r>
        <w:rPr>
          <w:rFonts w:ascii="Times New Roman" w:cs="Times New Roman" w:eastAsia="Times New Roman" w:hAnsi="Times New Roman"/>
          <w:sz w:val="20"/>
          <w:szCs w:val="20"/>
          <w:b w:val="1"/>
          <w:bCs w:val="1"/>
          <w:u w:val="single" w:color="auto"/>
          <w:color w:val="0070C0"/>
        </w:rPr>
        <w:t>Section 12.24.</w:t>
      </w:r>
      <w:r>
        <w:rPr>
          <w:sz w:val="20"/>
          <w:szCs w:val="20"/>
          <w:color w:val="auto"/>
        </w:rPr>
        <w:tab/>
      </w:r>
      <w:r>
        <w:rPr>
          <w:rFonts w:ascii="Times New Roman" w:cs="Times New Roman" w:eastAsia="Times New Roman" w:hAnsi="Times New Roman"/>
          <w:sz w:val="19"/>
          <w:szCs w:val="19"/>
          <w:b w:val="1"/>
          <w:bCs w:val="1"/>
          <w:u w:val="single" w:color="auto"/>
          <w:color w:val="0070C0"/>
        </w:rPr>
        <w:t>KPI Metrics; Sustainability Structuring Agent Rights</w:t>
      </w:r>
      <w:r>
        <w:rPr>
          <w:rFonts w:ascii="Times New Roman" w:cs="Times New Roman" w:eastAsia="Times New Roman" w:hAnsi="Times New Roman"/>
          <w:sz w:val="19"/>
          <w:szCs w:val="19"/>
          <w:u w:val="single" w:color="auto"/>
          <w:color w:val="0070C0"/>
        </w:rPr>
        <w:t>.</w:t>
      </w:r>
    </w:p>
    <w:p>
      <w:pPr>
        <w:spacing w:after="0" w:line="233" w:lineRule="exact"/>
        <w:rPr>
          <w:sz w:val="20"/>
          <w:szCs w:val="20"/>
          <w:color w:val="auto"/>
        </w:rPr>
      </w:pPr>
    </w:p>
    <w:p>
      <w:pPr>
        <w:ind w:left="1080" w:hanging="424"/>
        <w:spacing w:after="0"/>
        <w:tabs>
          <w:tab w:leader="none" w:pos="1080" w:val="left"/>
        </w:tabs>
        <w:numPr>
          <w:ilvl w:val="1"/>
          <w:numId w:val="378"/>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Sustainability Terms.</w:t>
      </w:r>
    </w:p>
    <w:p>
      <w:pPr>
        <w:spacing w:after="0" w:line="215" w:lineRule="exact"/>
        <w:rPr>
          <w:rFonts w:ascii="Times New Roman" w:cs="Times New Roman" w:eastAsia="Times New Roman" w:hAnsi="Times New Roman"/>
          <w:sz w:val="20"/>
          <w:szCs w:val="20"/>
          <w:u w:val="single" w:color="auto"/>
          <w:color w:val="0070C0"/>
        </w:rPr>
      </w:pPr>
    </w:p>
    <w:p>
      <w:pPr>
        <w:jc w:val="both"/>
        <w:ind w:left="660" w:firstLine="644"/>
        <w:spacing w:after="0" w:line="248" w:lineRule="auto"/>
        <w:tabs>
          <w:tab w:leader="none" w:pos="1898" w:val="left"/>
        </w:tabs>
        <w:numPr>
          <w:ilvl w:val="2"/>
          <w:numId w:val="378"/>
        </w:numPr>
        <w:rPr>
          <w:rFonts w:ascii="Times New Roman" w:cs="Times New Roman" w:eastAsia="Times New Roman" w:hAnsi="Times New Roman"/>
          <w:sz w:val="20"/>
          <w:szCs w:val="20"/>
          <w:color w:val="0070C0"/>
        </w:rPr>
      </w:pPr>
      <w:r>
        <w:rPr>
          <w:rFonts w:ascii="Times New Roman" w:cs="Times New Roman" w:eastAsia="Times New Roman" w:hAnsi="Times New Roman"/>
          <w:sz w:val="20"/>
          <w:szCs w:val="20"/>
          <w:color w:val="0070C0"/>
        </w:rPr>
        <w:t xml:space="preserve">Prior to the twelve-month anniversary of the First Amendment Date, the Borrowers, in consultation with the </w:t>
      </w:r>
      <w:r>
        <w:rPr>
          <w:rFonts w:ascii="Times New Roman" w:cs="Times New Roman" w:eastAsia="Times New Roman" w:hAnsi="Times New Roman"/>
          <w:sz w:val="20"/>
          <w:szCs w:val="20"/>
          <w:u w:val="single" w:color="auto"/>
          <w:color w:val="0070C0"/>
        </w:rPr>
        <w:t xml:space="preserve">Sustainability Structuring Agent, may in their sole discretion seek to establish specified key performance indicators with respect to certain environmental goals of the Borrowers and their Subsidiaries (such indicators, “KPI Metrics”) and thresholds or targets with respect thereto (in either case, such thresholds or targets, “SPTs”). The Administrative Agent and the Borrowers (each acting reasonably and in consultation with the Sustainability Structuring Agent) may propose an amendment to this Agreement (such amendment, a “KPI Metrics Amendment”) solely for the purpose of incorporating the KPI Metrics, the SPTs and other related provisions (the “KPI Metrics Pricing Provisions”) into this Agreement as it relates to the Revolving Commitments and Revolving Loans. Any such KPI Metrics Amendment shall become effective upon (i) receipt by the Revolving Lenders of a lender presentation or memorandum in regard to the KPI Metrics and SPTs from the Borrowers no later than ten (10) Business Days before the proposed effective date of such proposed KPI Metrics Amendment, (ii) the posting of such proposed KPI Metrics Amendment to all Revolving Lenders and the Borrowers, (iii) the identification, and engagement at the Borrowers’ cost and expense, of a sustainability assurance provider, which shall be a qualified external reviewer of nationally recognized standing, independent of the Borrowers and their Affiliates and (iv) the receipt by the Administrative Agent of executed signature pages and consents to such KPI Metrics Amendment from </w:t>
      </w:r>
      <w:r>
        <w:rPr>
          <w:rFonts w:ascii="Times New Roman" w:cs="Times New Roman" w:eastAsia="Times New Roman" w:hAnsi="Times New Roman"/>
          <w:sz w:val="20"/>
          <w:szCs w:val="20"/>
          <w:u w:val="single" w:color="auto"/>
          <w:color w:val="00B050"/>
        </w:rPr>
        <w:t>the Borrowers, the Administrative Agent and</w:t>
      </w:r>
      <w:r>
        <w:rPr>
          <w:rFonts w:ascii="Times New Roman" w:cs="Times New Roman" w:eastAsia="Times New Roman" w:hAnsi="Times New Roman"/>
          <w:sz w:val="20"/>
          <w:szCs w:val="20"/>
          <w:u w:val="single" w:color="auto"/>
          <w:color w:val="0070C0"/>
        </w:rPr>
        <w:t xml:space="preserve"> Lenders comprising at least the Requisite Revolving Lenders. Upon the effectiveness of any such KPI Metrics Amendment, based on the Borrowers’ performance against the KPI Metrics and SPTs, certain adjustments (increase, decrease or no adjustment) (such adjustments, the “KPI Metrics Applicable Rate Adjustments”) to the otherwise applicable Applicable Margin for Revolving Loans and the Applicable Facility Fee may be made; provided that (x) the amount of any such adjustments made pursuant to a KPI Metrics Amendment shall not result in a decrease or an increase of more than (i) 0.030% in the Applicable Margin with respect to Revolving Loans during any fiscal year or (ii) 0.010% in the Applicable Facility Fee, in each case, which pricing adjustments shall be shall be applied in accordance with the terms as further described in the KPI Metrics Pricing Provisions and (y) in no event shall any Applicable Margin or Applicable Facility Fee be less than zero (the provisions of this proviso, the “Sustainability Adjustment Limitations”).</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B050"/>
        </w:rPr>
        <w:t>For the avoidance of doubt,</w:t>
      </w:r>
      <w:r>
        <w:rPr>
          <w:rFonts w:ascii="Times New Roman" w:cs="Times New Roman" w:eastAsia="Times New Roman" w:hAnsi="Times New Roman"/>
          <w:sz w:val="20"/>
          <w:szCs w:val="20"/>
          <w:color w:val="0070C0"/>
        </w:rPr>
        <w:t xml:space="preserve"> the KPI Metrics Applicable </w:t>
      </w:r>
      <w:r>
        <w:rPr>
          <w:rFonts w:ascii="Times New Roman" w:cs="Times New Roman" w:eastAsia="Times New Roman" w:hAnsi="Times New Roman"/>
          <w:sz w:val="20"/>
          <w:szCs w:val="20"/>
          <w:u w:val="single" w:color="auto"/>
          <w:color w:val="0070C0"/>
        </w:rPr>
        <w:t xml:space="preserve">Rate Adjustments </w:t>
      </w:r>
      <w:r>
        <w:rPr>
          <w:rFonts w:ascii="Times New Roman" w:cs="Times New Roman" w:eastAsia="Times New Roman" w:hAnsi="Times New Roman"/>
          <w:sz w:val="20"/>
          <w:szCs w:val="20"/>
          <w:u w:val="single" w:color="auto"/>
          <w:color w:val="00B050"/>
        </w:rPr>
        <w:t>shall not be cumulative year-over-year and shall only apply until the date on which the next adjustment is due to</w:t>
      </w:r>
      <w:r>
        <w:rPr>
          <w:rFonts w:ascii="Times New Roman" w:cs="Times New Roman" w:eastAsia="Times New Roman" w:hAnsi="Times New Roman"/>
          <w:sz w:val="20"/>
          <w:szCs w:val="20"/>
          <w:u w:val="single" w:color="auto"/>
          <w:color w:val="0070C0"/>
        </w:rPr>
        <w:t xml:space="preserve"> </w:t>
      </w:r>
      <w:r>
        <w:rPr>
          <w:rFonts w:ascii="Times New Roman" w:cs="Times New Roman" w:eastAsia="Times New Roman" w:hAnsi="Times New Roman"/>
          <w:sz w:val="20"/>
          <w:szCs w:val="20"/>
          <w:u w:val="single" w:color="auto"/>
          <w:color w:val="00B050"/>
        </w:rPr>
        <w:t>take place.</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color w:val="0070C0"/>
        </w:rPr>
        <w:t>The KPI Metrics, the Borrowers’ performance against the KPI Metrics, and any related KPI Metrics Applicable Rate</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u w:val="single" w:color="auto"/>
          <w:color w:val="0070C0"/>
        </w:rPr>
        <w:t>Adjustments resulting therefrom, will be determined based on certain Borrower certificates, reports and other documents, in each case, setting forth the KPI Metrics in a manner that is aligned with the Sustainability Linked Loan Principles, including with respect to the selection, setting, calculation, certification and measurement thereof. Following the effectiveness of a KPI Metrics Amendment, any modification to the KPI Metrics Pricing Provisions shall be subject only to the consent of the Borrowers, the Administrative Agent and the Requisite Revolving Lenders so long as such modification does not have the effect of (1) increasing or decreasing the Sustainability Adjustment Limitations set forth in the KPI Metrics Amendment or (2) reducing any Applicable Margin or Applicable Facility Fee to less than zero.</w:t>
      </w:r>
    </w:p>
    <w:p>
      <w:pPr>
        <w:spacing w:after="0" w:line="220" w:lineRule="exact"/>
        <w:rPr>
          <w:rFonts w:ascii="Times New Roman" w:cs="Times New Roman" w:eastAsia="Times New Roman" w:hAnsi="Times New Roman"/>
          <w:sz w:val="20"/>
          <w:szCs w:val="20"/>
          <w:color w:val="0070C0"/>
        </w:rPr>
      </w:pPr>
    </w:p>
    <w:p>
      <w:pPr>
        <w:ind w:left="660" w:firstLine="644"/>
        <w:spacing w:after="0" w:line="269" w:lineRule="auto"/>
        <w:tabs>
          <w:tab w:leader="none" w:pos="1804" w:val="left"/>
        </w:tabs>
        <w:numPr>
          <w:ilvl w:val="2"/>
          <w:numId w:val="378"/>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 xml:space="preserve">The Borrowers, the Sustainability Structuring </w:t>
      </w:r>
      <w:r>
        <w:rPr>
          <w:rFonts w:ascii="Times New Roman" w:cs="Times New Roman" w:eastAsia="Times New Roman" w:hAnsi="Times New Roman"/>
          <w:sz w:val="20"/>
          <w:szCs w:val="20"/>
          <w:u w:val="single" w:color="auto"/>
          <w:color w:val="00B050"/>
        </w:rPr>
        <w:t>Agent, the Administrative Agent and the Lenders</w:t>
      </w:r>
      <w:r>
        <w:rPr>
          <w:rFonts w:ascii="Times New Roman" w:cs="Times New Roman" w:eastAsia="Times New Roman" w:hAnsi="Times New Roman"/>
          <w:sz w:val="20"/>
          <w:szCs w:val="20"/>
          <w:u w:val="single" w:color="auto"/>
          <w:color w:val="0070C0"/>
        </w:rPr>
        <w:t xml:space="preserve"> agree that the Loans are not, nor shall they be, a deemed sustainability-linked</w:t>
      </w: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25" w:lineRule="exact"/>
        <w:rPr>
          <w:rFonts w:ascii="Times New Roman" w:cs="Times New Roman" w:eastAsia="Times New Roman" w:hAnsi="Times New Roman"/>
          <w:sz w:val="20"/>
          <w:szCs w:val="20"/>
          <w:u w:val="single" w:color="auto"/>
          <w:color w:val="0070C0"/>
        </w:rPr>
      </w:pPr>
    </w:p>
    <w:p>
      <w:pPr>
        <w:ind w:left="320" w:hanging="114"/>
        <w:spacing w:after="0"/>
        <w:tabs>
          <w:tab w:leader="none" w:pos="320"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-5934710</wp:posOffset>
            </wp:positionV>
            <wp:extent cx="630110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30110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-2762885</wp:posOffset>
            </wp:positionV>
            <wp:extent cx="14852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485265" cy="8255"/>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-2462530</wp:posOffset>
            </wp:positionV>
            <wp:extent cx="61722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4" w:name="page495"/>
    <w:bookmarkEnd w:id="494"/>
    <w:p>
      <w:pPr>
        <w:spacing w:after="0" w:line="189"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0"/>
          <w:szCs w:val="20"/>
          <w:u w:val="single" w:color="auto"/>
          <w:color w:val="0070C0"/>
        </w:rPr>
        <w:t>loan unless and until the effectiveness of any KPI Metrics Amendment. Prior to the effectiveness of a KPI Metrics Amendment, the Borrowers will not publish any materials or statements (including on any website of any Borrower, in the financial statements or annual reports of any Borrower or in any press release or public announcement issued by a Borrower) which refer to this Agreement being a sustainability-linked loan.</w:t>
      </w:r>
    </w:p>
    <w:p>
      <w:pPr>
        <w:spacing w:after="0" w:line="172" w:lineRule="exact"/>
        <w:rPr>
          <w:sz w:val="20"/>
          <w:szCs w:val="20"/>
          <w:color w:val="auto"/>
        </w:rPr>
      </w:pPr>
    </w:p>
    <w:p>
      <w:pPr>
        <w:jc w:val="both"/>
        <w:ind w:left="660" w:firstLine="644"/>
        <w:spacing w:after="0" w:line="253" w:lineRule="auto"/>
        <w:tabs>
          <w:tab w:leader="none" w:pos="1894" w:val="left"/>
        </w:tabs>
        <w:numPr>
          <w:ilvl w:val="1"/>
          <w:numId w:val="379"/>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Other than (A) increasing or decreasing the Sustainability Adjustment Limitations or (B) reducing any Applicable Margin or Applicable Facility Fee with respect to the Revolving Loans or Revolving Commitments to less than zero (which, for the avoidance of doubt,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B050"/>
        </w:rPr>
        <w:t>shall be subject to the</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70C0"/>
        </w:rPr>
        <w:t>written consent of each Revolving Lender directly affected thereby, in accordance with</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70C0"/>
        </w:rPr>
        <w:t>Section 12.6(b)), this Section 12.24(a) shall supersede any other clause or provision in Section 12.6 relating to the Revolving Loans and Revolving Commitments to the contrary, including any provision of Section 12.6(b) requiring the consent of each Lender directly affected thereby, for reductions in interest rates or fees payable thereunder.</w:t>
      </w:r>
    </w:p>
    <w:p>
      <w:pPr>
        <w:spacing w:after="0" w:line="192" w:lineRule="exact"/>
        <w:rPr>
          <w:rFonts w:ascii="Times New Roman" w:cs="Times New Roman" w:eastAsia="Times New Roman" w:hAnsi="Times New Roman"/>
          <w:sz w:val="20"/>
          <w:szCs w:val="20"/>
          <w:u w:val="single" w:color="auto"/>
          <w:color w:val="0070C0"/>
        </w:rPr>
      </w:pPr>
    </w:p>
    <w:p>
      <w:pPr>
        <w:jc w:val="both"/>
        <w:ind w:firstLine="656"/>
        <w:spacing w:after="0" w:line="261" w:lineRule="auto"/>
        <w:tabs>
          <w:tab w:leader="none" w:pos="1116" w:val="left"/>
        </w:tabs>
        <w:numPr>
          <w:ilvl w:val="0"/>
          <w:numId w:val="380"/>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Sustainability Structuring Agent Rights. No amendment, waiver or consent, unless in writing and signed by the Sustainability Structuring Agent,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B050"/>
        </w:rPr>
        <w:t>in addition to the Lenders required hereinabove to take such action,</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70C0"/>
        </w:rPr>
        <w:t>shall affect the rights or duties of the Sustainability</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70C0"/>
        </w:rPr>
        <w:t xml:space="preserve">Structuring Agent </w:t>
      </w:r>
      <w:r>
        <w:rPr>
          <w:rFonts w:ascii="Times New Roman" w:cs="Times New Roman" w:eastAsia="Times New Roman" w:hAnsi="Times New Roman"/>
          <w:sz w:val="20"/>
          <w:szCs w:val="20"/>
          <w:u w:val="single" w:color="auto"/>
          <w:color w:val="00B050"/>
        </w:rPr>
        <w:t>under this Agreement or any</w:t>
      </w:r>
      <w:r>
        <w:rPr>
          <w:rFonts w:ascii="Times New Roman" w:cs="Times New Roman" w:eastAsia="Times New Roman" w:hAnsi="Times New Roman"/>
          <w:sz w:val="20"/>
          <w:szCs w:val="20"/>
          <w:u w:val="single" w:color="auto"/>
          <w:color w:val="0070C0"/>
        </w:rPr>
        <w:t xml:space="preserve"> of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-1078230</wp:posOffset>
            </wp:positionV>
            <wp:extent cx="1211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121158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-186690</wp:posOffset>
            </wp:positionV>
            <wp:extent cx="35534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355346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[Signatures on Following Pages]</w:t>
      </w:r>
    </w:p>
    <w:p>
      <w:pPr>
        <w:spacing w:after="0" w:line="21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u w:val="single" w:color="auto"/>
          <w:color w:val="0070C0"/>
        </w:rPr>
        <w:t>Section 12.25.</w:t>
      </w:r>
      <w:r>
        <w:rPr>
          <w:sz w:val="20"/>
          <w:szCs w:val="20"/>
          <w:color w:val="auto"/>
        </w:rPr>
        <w:tab/>
      </w:r>
      <w:r>
        <w:rPr>
          <w:rFonts w:ascii="Times New Roman" w:cs="Times New Roman" w:eastAsia="Times New Roman" w:hAnsi="Times New Roman"/>
          <w:sz w:val="19"/>
          <w:szCs w:val="19"/>
          <w:b w:val="1"/>
          <w:bCs w:val="1"/>
          <w:u w:val="single" w:color="auto"/>
          <w:color w:val="0070C0"/>
        </w:rPr>
        <w:t>Revolving Facility Amend and Extend</w:t>
      </w:r>
      <w:r>
        <w:rPr>
          <w:rFonts w:ascii="Times New Roman" w:cs="Times New Roman" w:eastAsia="Times New Roman" w:hAnsi="Times New Roman"/>
          <w:sz w:val="19"/>
          <w:szCs w:val="19"/>
          <w:u w:val="single" w:color="auto"/>
          <w:color w:val="0070C0"/>
        </w:rPr>
        <w:t>.</w:t>
      </w:r>
    </w:p>
    <w:p>
      <w:pPr>
        <w:spacing w:after="0" w:line="233" w:lineRule="exact"/>
        <w:rPr>
          <w:sz w:val="20"/>
          <w:szCs w:val="20"/>
          <w:color w:val="auto"/>
        </w:rPr>
      </w:pPr>
    </w:p>
    <w:p>
      <w:pPr>
        <w:jc w:val="both"/>
        <w:ind w:firstLine="656"/>
        <w:spacing w:after="0" w:line="249" w:lineRule="auto"/>
        <w:tabs>
          <w:tab w:leader="none" w:pos="1130" w:val="left"/>
        </w:tabs>
        <w:numPr>
          <w:ilvl w:val="1"/>
          <w:numId w:val="381"/>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 xml:space="preserve">Solely to the extent that the Borrowers shall have exercised their two rights to extend the Maturity Date pursuant to Section 2.14., the Borrower Representative may, by written notice to </w:t>
      </w:r>
      <w:r>
        <w:rPr>
          <w:rFonts w:ascii="Times New Roman" w:cs="Times New Roman" w:eastAsia="Times New Roman" w:hAnsi="Times New Roman"/>
          <w:sz w:val="20"/>
          <w:szCs w:val="20"/>
          <w:u w:val="single" w:color="auto"/>
          <w:color w:val="00B050"/>
        </w:rPr>
        <w:t>the Administrative Agent from time to time</w:t>
      </w:r>
      <w:r>
        <w:rPr>
          <w:rFonts w:ascii="Times New Roman" w:cs="Times New Roman" w:eastAsia="Times New Roman" w:hAnsi="Times New Roman"/>
          <w:sz w:val="20"/>
          <w:szCs w:val="20"/>
          <w:u w:val="single" w:color="auto"/>
          <w:color w:val="0070C0"/>
        </w:rPr>
        <w:t xml:space="preserve">, request an extension (each, an “Extension”) of the maturity date of Revolving Commitments and Revolving Loans to the extended maturity date specified in such notice. Such notice shall (A) set forth the amount of the applicable Revolving Commitments and Revolving Loans that will be subject to the Extension (which shall be in a minimum amount of $50,000,000 and minimum increments of $20,000,000 </w:t>
      </w:r>
      <w:r>
        <w:rPr>
          <w:rFonts w:ascii="Times New Roman" w:cs="Times New Roman" w:eastAsia="Times New Roman" w:hAnsi="Times New Roman"/>
          <w:sz w:val="20"/>
          <w:szCs w:val="20"/>
          <w:u w:val="single" w:color="auto"/>
          <w:color w:val="00B050"/>
        </w:rPr>
        <w:t>in excess thereof (or such other</w:t>
      </w:r>
      <w:r>
        <w:rPr>
          <w:rFonts w:ascii="Times New Roman" w:cs="Times New Roman" w:eastAsia="Times New Roman" w:hAnsi="Times New Roman"/>
          <w:sz w:val="20"/>
          <w:szCs w:val="20"/>
          <w:u w:val="single" w:color="auto"/>
          <w:color w:val="0070C0"/>
        </w:rPr>
        <w:t xml:space="preserve"> </w:t>
      </w:r>
      <w:r>
        <w:rPr>
          <w:rFonts w:ascii="Times New Roman" w:cs="Times New Roman" w:eastAsia="Times New Roman" w:hAnsi="Times New Roman"/>
          <w:sz w:val="20"/>
          <w:szCs w:val="20"/>
          <w:u w:val="single" w:color="auto"/>
          <w:color w:val="00B050"/>
        </w:rPr>
        <w:t xml:space="preserve">amounts as may be acceptable to the </w:t>
      </w:r>
      <w:r>
        <w:rPr>
          <w:rFonts w:ascii="Times New Roman" w:cs="Times New Roman" w:eastAsia="Times New Roman" w:hAnsi="Times New Roman"/>
          <w:sz w:val="20"/>
          <w:szCs w:val="20"/>
          <w:u w:val="single" w:color="auto"/>
          <w:color w:val="0070C0"/>
        </w:rPr>
        <w:t>Borrower Representative and the Administrative Agent)), and (B) set forth the date on which such</w:t>
      </w:r>
      <w:r>
        <w:rPr>
          <w:rFonts w:ascii="Times New Roman" w:cs="Times New Roman" w:eastAsia="Times New Roman" w:hAnsi="Times New Roman"/>
          <w:sz w:val="20"/>
          <w:szCs w:val="20"/>
          <w:u w:val="single" w:color="auto"/>
          <w:color w:val="00B050"/>
        </w:rPr>
        <w:t xml:space="preserve"> </w:t>
      </w:r>
      <w:r>
        <w:rPr>
          <w:rFonts w:ascii="Times New Roman" w:cs="Times New Roman" w:eastAsia="Times New Roman" w:hAnsi="Times New Roman"/>
          <w:sz w:val="20"/>
          <w:szCs w:val="20"/>
          <w:u w:val="single" w:color="auto"/>
          <w:color w:val="0070C0"/>
        </w:rPr>
        <w:t xml:space="preserve">Extension is requested to become effective (which shall be not less than fifteen (15) Business Days nor more than sixty (60) days after the date of such Extension notice (or such longer or shorter periods as the Administrative Agent shall agree in its sole discretion)). Each Revolving Lender shall be offered (an “Extension Offer”) an opportunity to participate in such Extension on a pro rata basis and on </w:t>
      </w:r>
      <w:r>
        <w:rPr>
          <w:rFonts w:ascii="Times New Roman" w:cs="Times New Roman" w:eastAsia="Times New Roman" w:hAnsi="Times New Roman"/>
          <w:sz w:val="20"/>
          <w:szCs w:val="20"/>
          <w:u w:val="single" w:color="auto"/>
          <w:color w:val="00B050"/>
        </w:rPr>
        <w:t>the same</w:t>
      </w:r>
      <w:r>
        <w:rPr>
          <w:rFonts w:ascii="Times New Roman" w:cs="Times New Roman" w:eastAsia="Times New Roman" w:hAnsi="Times New Roman"/>
          <w:sz w:val="20"/>
          <w:szCs w:val="20"/>
          <w:u w:val="single" w:color="auto"/>
          <w:color w:val="0070C0"/>
        </w:rPr>
        <w:t xml:space="preserve"> </w:t>
      </w:r>
      <w:r>
        <w:rPr>
          <w:rFonts w:ascii="Times New Roman" w:cs="Times New Roman" w:eastAsia="Times New Roman" w:hAnsi="Times New Roman"/>
          <w:sz w:val="20"/>
          <w:szCs w:val="20"/>
          <w:u w:val="single" w:color="auto"/>
          <w:color w:val="00B050"/>
        </w:rPr>
        <w:t>terms and conditions</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color w:val="0070C0"/>
        </w:rPr>
        <w:t>as each other Revolving Lender pursuant to procedures established by, or reasonably acceptable to, the</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u w:val="single" w:color="auto"/>
          <w:color w:val="00B050"/>
        </w:rPr>
        <w:t>Administrative</w:t>
      </w:r>
      <w:r>
        <w:rPr>
          <w:rFonts w:ascii="Times New Roman" w:cs="Times New Roman" w:eastAsia="Times New Roman" w:hAnsi="Times New Roman"/>
          <w:sz w:val="20"/>
          <w:szCs w:val="20"/>
          <w:color w:val="00B050"/>
        </w:rPr>
        <w:t xml:space="preserve"> </w:t>
      </w:r>
      <w:r>
        <w:rPr>
          <w:rFonts w:ascii="Times New Roman" w:cs="Times New Roman" w:eastAsia="Times New Roman" w:hAnsi="Times New Roman"/>
          <w:sz w:val="20"/>
          <w:szCs w:val="20"/>
          <w:u w:val="single" w:color="auto"/>
          <w:color w:val="00B050"/>
        </w:rPr>
        <w:t>Agent and the Borrowers</w:t>
      </w:r>
      <w:r>
        <w:rPr>
          <w:rFonts w:ascii="Times New Roman" w:cs="Times New Roman" w:eastAsia="Times New Roman" w:hAnsi="Times New Roman"/>
          <w:sz w:val="20"/>
          <w:szCs w:val="20"/>
          <w:u w:val="single" w:color="auto"/>
          <w:color w:val="0070C0"/>
        </w:rPr>
        <w:t>. If the aggregate principal amount of Revolving Commitments and Revolving Loans in respect of which Revolving</w:t>
      </w:r>
      <w:r>
        <w:rPr>
          <w:rFonts w:ascii="Times New Roman" w:cs="Times New Roman" w:eastAsia="Times New Roman" w:hAnsi="Times New Roman"/>
          <w:sz w:val="20"/>
          <w:szCs w:val="20"/>
          <w:u w:val="single" w:color="auto"/>
          <w:color w:val="00B050"/>
        </w:rPr>
        <w:t xml:space="preserve"> </w:t>
      </w:r>
      <w:r>
        <w:rPr>
          <w:rFonts w:ascii="Times New Roman" w:cs="Times New Roman" w:eastAsia="Times New Roman" w:hAnsi="Times New Roman"/>
          <w:sz w:val="20"/>
          <w:szCs w:val="20"/>
          <w:u w:val="single" w:color="auto"/>
          <w:color w:val="0070C0"/>
        </w:rPr>
        <w:t>Lenders shall have accepted the relevant Extension Offer shall exceed the maximum aggregate principal amount of Revolving Commitments and/or Revolving Loans subject to the Extension Offer as set forth in the Extension notice, then the Revolving Commitments and Revolving Loans of Revolving Lenders shall be extended ratably up to such maximum amount based on the respective principal amounts with respect to which such Revolving Lenders have accepted such Extension Offer.</w:t>
      </w:r>
    </w:p>
    <w:p>
      <w:pPr>
        <w:spacing w:after="0" w:line="200" w:lineRule="exact"/>
        <w:rPr>
          <w:rFonts w:ascii="Times New Roman" w:cs="Times New Roman" w:eastAsia="Times New Roman" w:hAnsi="Times New Roman"/>
          <w:sz w:val="20"/>
          <w:szCs w:val="20"/>
          <w:u w:val="single" w:color="auto"/>
          <w:color w:val="0070C0"/>
        </w:rPr>
      </w:pPr>
    </w:p>
    <w:p>
      <w:pPr>
        <w:jc w:val="both"/>
        <w:ind w:firstLine="656"/>
        <w:spacing w:after="0" w:line="258" w:lineRule="auto"/>
        <w:tabs>
          <w:tab w:leader="none" w:pos="1076" w:val="left"/>
        </w:tabs>
        <w:numPr>
          <w:ilvl w:val="1"/>
          <w:numId w:val="381"/>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 xml:space="preserve">The following shall be conditions precedent to the effectiveness of any Extension: (A) no </w:t>
      </w:r>
      <w:r>
        <w:rPr>
          <w:rFonts w:ascii="Times New Roman" w:cs="Times New Roman" w:eastAsia="Times New Roman" w:hAnsi="Times New Roman"/>
          <w:sz w:val="20"/>
          <w:szCs w:val="20"/>
          <w:u w:val="single" w:color="auto"/>
          <w:color w:val="00B050"/>
        </w:rPr>
        <w:t>Default or Event of Default</w:t>
      </w:r>
      <w:r>
        <w:rPr>
          <w:rFonts w:ascii="Times New Roman" w:cs="Times New Roman" w:eastAsia="Times New Roman" w:hAnsi="Times New Roman"/>
          <w:sz w:val="20"/>
          <w:szCs w:val="20"/>
          <w:u w:val="single" w:color="auto"/>
          <w:color w:val="0070C0"/>
        </w:rPr>
        <w:t xml:space="preserve"> shall have occurred and be continuing immediately prior to and immediately after giving effect to such Extension, (B) the representations and warranties made or deemed made by each Borrower and each other Loan Party in the Loan Documents to which any of them is a party, shall be</w:t>
      </w: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00" w:lineRule="exact"/>
        <w:rPr>
          <w:rFonts w:ascii="Times New Roman" w:cs="Times New Roman" w:eastAsia="Times New Roman" w:hAnsi="Times New Roman"/>
          <w:sz w:val="20"/>
          <w:szCs w:val="20"/>
          <w:u w:val="single" w:color="auto"/>
          <w:color w:val="0070C0"/>
        </w:rPr>
      </w:pPr>
    </w:p>
    <w:p>
      <w:pPr>
        <w:spacing w:after="0" w:line="238" w:lineRule="exact"/>
        <w:rPr>
          <w:rFonts w:ascii="Times New Roman" w:cs="Times New Roman" w:eastAsia="Times New Roman" w:hAnsi="Times New Roman"/>
          <w:sz w:val="20"/>
          <w:szCs w:val="20"/>
          <w:u w:val="single" w:color="auto"/>
          <w:color w:val="0070C0"/>
        </w:rPr>
      </w:pPr>
    </w:p>
    <w:p>
      <w:pPr>
        <w:ind w:left="320" w:hanging="114"/>
        <w:spacing w:after="0"/>
        <w:tabs>
          <w:tab w:leader="none" w:pos="32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-2471420</wp:posOffset>
            </wp:positionV>
            <wp:extent cx="53193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53193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5" w:name="page496"/>
    <w:bookmarkEnd w:id="495"/>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u w:val="single" w:color="auto"/>
          <w:color w:val="0070C0"/>
        </w:rPr>
        <w:t>true and correct in all material respects (except in the case of a representation or warranty qualified by materiality, in which case such representation or warranty shall be true and correct in all respects) on and as of such effective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w:t>
      </w:r>
    </w:p>
    <w:p>
      <w:pPr>
        <w:spacing w:after="0" w:line="3" w:lineRule="exact"/>
        <w:rPr>
          <w:sz w:val="20"/>
          <w:szCs w:val="20"/>
          <w:color w:val="auto"/>
        </w:rPr>
      </w:pPr>
    </w:p>
    <w:p>
      <w:pPr>
        <w:jc w:val="both"/>
        <w:ind w:firstLine="8"/>
        <w:spacing w:after="0" w:line="249" w:lineRule="auto"/>
        <w:tabs>
          <w:tab w:leader="none" w:pos="354" w:val="left"/>
        </w:tabs>
        <w:numPr>
          <w:ilvl w:val="0"/>
          <w:numId w:val="382"/>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 xml:space="preserve">the terms of Extended Loans shall comply with subclause (c) of this Section 12.25. Notwithstanding any other provision of this Agreement to the contrary, </w:t>
      </w:r>
      <w:r>
        <w:rPr>
          <w:rFonts w:ascii="Times New Roman" w:cs="Times New Roman" w:eastAsia="Times New Roman" w:hAnsi="Times New Roman"/>
          <w:sz w:val="20"/>
          <w:szCs w:val="20"/>
          <w:u w:val="single" w:color="auto"/>
          <w:color w:val="00B050"/>
        </w:rPr>
        <w:t>in no event shall the</w:t>
      </w:r>
      <w:r>
        <w:rPr>
          <w:rFonts w:ascii="Times New Roman" w:cs="Times New Roman" w:eastAsia="Times New Roman" w:hAnsi="Times New Roman"/>
          <w:sz w:val="20"/>
          <w:szCs w:val="20"/>
          <w:u w:val="single" w:color="auto"/>
          <w:color w:val="0070C0"/>
        </w:rPr>
        <w:t xml:space="preserve"> Revolving Commitments or Revolving Loans of any Revolving Lender be extended pursuant to this Section 12.25 unless such Revolving Lender affirmatively accepts in writing the applicable Extension Offer, it being understood and agreed that a failure by a Revolving Lender to respond to any such Extension Offer shall </w:t>
      </w:r>
      <w:r>
        <w:rPr>
          <w:rFonts w:ascii="Times New Roman" w:cs="Times New Roman" w:eastAsia="Times New Roman" w:hAnsi="Times New Roman"/>
          <w:sz w:val="20"/>
          <w:szCs w:val="20"/>
          <w:u w:val="single" w:color="auto"/>
          <w:color w:val="00B050"/>
        </w:rPr>
        <w:t>be deemed to be a</w:t>
      </w:r>
      <w:r>
        <w:rPr>
          <w:rFonts w:ascii="Times New Roman" w:cs="Times New Roman" w:eastAsia="Times New Roman" w:hAnsi="Times New Roman"/>
          <w:sz w:val="20"/>
          <w:szCs w:val="20"/>
          <w:u w:val="single" w:color="auto"/>
          <w:color w:val="0070C0"/>
        </w:rPr>
        <w:t xml:space="preserve"> rejection by such Revolving Lender of such Extension Offer.</w:t>
      </w:r>
    </w:p>
    <w:p>
      <w:pPr>
        <w:spacing w:after="0" w:line="195" w:lineRule="exact"/>
        <w:rPr>
          <w:rFonts w:ascii="Times New Roman" w:cs="Times New Roman" w:eastAsia="Times New Roman" w:hAnsi="Times New Roman"/>
          <w:sz w:val="20"/>
          <w:szCs w:val="20"/>
          <w:u w:val="single" w:color="auto"/>
          <w:color w:val="0070C0"/>
        </w:rPr>
      </w:pPr>
    </w:p>
    <w:p>
      <w:pPr>
        <w:jc w:val="both"/>
        <w:ind w:firstLine="656"/>
        <w:spacing w:after="0" w:line="250" w:lineRule="auto"/>
        <w:tabs>
          <w:tab w:leader="none" w:pos="1134" w:val="left"/>
        </w:tabs>
        <w:numPr>
          <w:ilvl w:val="1"/>
          <w:numId w:val="382"/>
        </w:numPr>
        <w:rPr>
          <w:rFonts w:ascii="Times New Roman" w:cs="Times New Roman" w:eastAsia="Times New Roman" w:hAnsi="Times New Roman"/>
          <w:sz w:val="20"/>
          <w:szCs w:val="20"/>
          <w:u w:val="single" w:color="auto"/>
          <w:color w:val="0070C0"/>
        </w:rPr>
      </w:pPr>
      <w:r>
        <w:rPr>
          <w:rFonts w:ascii="Times New Roman" w:cs="Times New Roman" w:eastAsia="Times New Roman" w:hAnsi="Times New Roman"/>
          <w:sz w:val="20"/>
          <w:szCs w:val="20"/>
          <w:u w:val="single" w:color="auto"/>
          <w:color w:val="0070C0"/>
        </w:rPr>
        <w:t>The terms of each Extension shall be determined by the Borrowers and the applicable extending Revolving Lenders and set forth in an Extension Amendment; provided that (A) the final maturity date of any Extended Loan shall be no earlier than the latest maturity date then in effect for the Revolving Commitments and Revolving Loans, (B) [reserved], (C) the Extended Loans will rank pari passu in right of payment and with respect to security with the existing Revolving Loans and the borrowers and guarantors of the Extended Loans, as applicable, shall be the same as the Borrowers and Guarantors with respect to the existing Revolving Loans, as applicable, (D) the interest rate margin, rate floors, fees, original issue discount and premium applicable to any Extended Loans shall be determined by the Borrowers and the applicable extending Revolving Lenders, (E) the Extended Loans may participate on a pro rata or less than pro rata (but not greater than pro rata) basis in voluntary or mandatory prepayments with the other Revolving Loans and (F) the terms of the Extended Loans shall be substantially identical to the terms set forth herein (except as set forth in sub-clauses (A) through (E) above).</w:t>
      </w:r>
    </w:p>
    <w:p>
      <w:pPr>
        <w:spacing w:after="0" w:line="193" w:lineRule="exact"/>
        <w:rPr>
          <w:sz w:val="20"/>
          <w:szCs w:val="20"/>
          <w:color w:val="auto"/>
        </w:rPr>
      </w:pPr>
    </w:p>
    <w:p>
      <w:pPr>
        <w:jc w:val="both"/>
        <w:ind w:firstLine="8"/>
        <w:spacing w:after="0" w:line="250" w:lineRule="auto"/>
        <w:tabs>
          <w:tab w:leader="none" w:pos="500" w:val="left"/>
        </w:tabs>
        <w:numPr>
          <w:ilvl w:val="0"/>
          <w:numId w:val="383"/>
        </w:numPr>
        <w:rPr>
          <w:rFonts w:ascii="Times New Roman" w:cs="Times New Roman" w:eastAsia="Times New Roman" w:hAnsi="Times New Roman"/>
          <w:sz w:val="20"/>
          <w:szCs w:val="20"/>
          <w:color w:val="0070C0"/>
        </w:rPr>
      </w:pPr>
      <w:r>
        <w:rPr>
          <w:rFonts w:ascii="Times New Roman" w:cs="Times New Roman" w:eastAsia="Times New Roman" w:hAnsi="Times New Roman"/>
          <w:sz w:val="20"/>
          <w:szCs w:val="20"/>
          <w:color w:val="0070C0"/>
        </w:rPr>
        <w:t>In connection with any Extension, the Borrower Representative, the Administrative Agent and each applicable extending Revolving Lender shall execute and deliver to the Administrative Agent an Extension Amendment and such other documentation as the Administrative Agent shall reasonably specify to evidence the Extension (including, without limitation, legal opinions consistent with those delivered on the First Amendment Date). The Administrative Agent shall promptly notify each Revolving Lender as to the effectiveness of each Extension. Any Extension Amendment may, without the consent of any other Revolving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Loans as a new tranche of Commitments and Loans and such other technical amendments as may be necessary or appropriate in the reasonable opinion of the Administrative Agent and the Borrowers in connection with the establishment of such new tranche (including to preserve the pro rata treatment of the extended and non-extended tranches), in each case on terms consistent with this Section 12.25.</w:t>
      </w:r>
    </w:p>
    <w:p>
      <w:pPr>
        <w:spacing w:after="0" w:line="200" w:lineRule="exact"/>
        <w:rPr>
          <w:rFonts w:ascii="Times New Roman" w:cs="Times New Roman" w:eastAsia="Times New Roman" w:hAnsi="Times New Roman"/>
          <w:sz w:val="20"/>
          <w:szCs w:val="20"/>
          <w:color w:val="0070C0"/>
        </w:rPr>
      </w:pPr>
    </w:p>
    <w:p>
      <w:pPr>
        <w:spacing w:after="0" w:line="200" w:lineRule="exact"/>
        <w:rPr>
          <w:rFonts w:ascii="Times New Roman" w:cs="Times New Roman" w:eastAsia="Times New Roman" w:hAnsi="Times New Roman"/>
          <w:sz w:val="20"/>
          <w:szCs w:val="20"/>
          <w:color w:val="0070C0"/>
        </w:rPr>
      </w:pPr>
    </w:p>
    <w:p>
      <w:pPr>
        <w:spacing w:after="0" w:line="200" w:lineRule="exact"/>
        <w:rPr>
          <w:rFonts w:ascii="Times New Roman" w:cs="Times New Roman" w:eastAsia="Times New Roman" w:hAnsi="Times New Roman"/>
          <w:sz w:val="20"/>
          <w:szCs w:val="20"/>
          <w:color w:val="0070C0"/>
        </w:rPr>
      </w:pPr>
    </w:p>
    <w:p>
      <w:pPr>
        <w:spacing w:after="0" w:line="200" w:lineRule="exact"/>
        <w:rPr>
          <w:rFonts w:ascii="Times New Roman" w:cs="Times New Roman" w:eastAsia="Times New Roman" w:hAnsi="Times New Roman"/>
          <w:sz w:val="20"/>
          <w:szCs w:val="20"/>
          <w:color w:val="0070C0"/>
        </w:rPr>
      </w:pPr>
    </w:p>
    <w:p>
      <w:pPr>
        <w:spacing w:after="0" w:line="233" w:lineRule="exact"/>
        <w:rPr>
          <w:rFonts w:ascii="Times New Roman" w:cs="Times New Roman" w:eastAsia="Times New Roman" w:hAnsi="Times New Roman"/>
          <w:sz w:val="20"/>
          <w:szCs w:val="20"/>
          <w:color w:val="0070C0"/>
        </w:rPr>
      </w:pPr>
    </w:p>
    <w:p>
      <w:pPr>
        <w:ind w:left="320" w:hanging="114"/>
        <w:spacing w:after="0"/>
        <w:tabs>
          <w:tab w:leader="none" w:pos="320"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159 -</w:t>
      </w:r>
    </w:p>
    <w:p>
      <w:pPr>
        <w:sectPr>
          <w:pgSz w:w="11900" w:h="16838" w:orient="portrait"/>
          <w:cols w:equalWidth="0" w:num="1">
            <w:col w:w="11240"/>
          </w:cols>
          <w:pgMar w:left="320" w:top="1440" w:right="339" w:bottom="1440" w:gutter="0" w:footer="0" w:header="0"/>
        </w:sectPr>
      </w:pPr>
    </w:p>
    <w:bookmarkStart w:id="496" w:name="page497"/>
    <w:bookmarkEnd w:id="496"/>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Annex B</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Section 12.26.</w:t>
      </w:r>
      <w:r>
        <w:rPr>
          <w:sz w:val="20"/>
          <w:szCs w:val="20"/>
          <w:color w:val="auto"/>
        </w:rPr>
        <w:tab/>
      </w:r>
      <w:r>
        <w:rPr>
          <w:rFonts w:ascii="Times New Roman" w:cs="Times New Roman" w:eastAsia="Times New Roman" w:hAnsi="Times New Roman"/>
          <w:sz w:val="19"/>
          <w:szCs w:val="19"/>
          <w:b w:val="1"/>
          <w:bCs w:val="1"/>
          <w:color w:val="auto"/>
        </w:rPr>
        <w:t>Amendments and Waivers.</w:t>
      </w:r>
    </w:p>
    <w:p>
      <w:pPr>
        <w:spacing w:after="0" w:line="220" w:lineRule="exact"/>
        <w:rPr>
          <w:sz w:val="20"/>
          <w:szCs w:val="20"/>
          <w:color w:val="auto"/>
        </w:rPr>
      </w:pPr>
    </w:p>
    <w:p>
      <w:pPr>
        <w:jc w:val="both"/>
        <w:ind w:firstLine="656"/>
        <w:spacing w:after="0" w:line="250" w:lineRule="auto"/>
        <w:tabs>
          <w:tab w:leader="none" w:pos="1133"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Except as otherwise expressly provided in this Agreement (including Section 4.2(b)), (i) any consent or approval required or permitted by this Agreement or any other Loan Document to be given by the Lenders may be given, (ii) any term of this Agreement or of any other Loan Document may be amended, (iii) the performance or observance by any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Subject to the immediately following subsection (b), any term of this Agreement or of any other Loan Document relating solely and directly to the rights or obligations of the Revolving Lenders, and not any other Lenders, may be amended, and the performance or observance by the Borrowers or any other Loan Party or any Subsidiary of any such terms may be waived (either generally or in a particular instance and either retroactively or prospectively) with, and only with, the written consent of the Requisite Revolving Lenders (and, in the case of an amendment to any Loan Document, the written consent of each Loan Party a party thereto). Subject to the immediately following subsection (b), any term of this Agreement or of any other Loan Document relating solely and directly to the rights or obligations of the Term Loan Lenders or any Class of Term Loan Lenders, and not any other Lenders, may be amended, and the performance or observance by the Borrower or any other Loan Party or any Subsidiary of any such terms may be waived (either generally or in a particular instance and either retroactively or prospectively) with, but only with, the written consent of the Requisite Term A Loan Lenders and/or the Requisite Term B Loan Lenders, as applicable (and, in the case of an amendment to any Loan Document, the written consent of each Loan Party a party thereto).</w:t>
      </w:r>
    </w:p>
    <w:p>
      <w:pPr>
        <w:spacing w:after="0" w:line="17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of Lenders Directly Affected</w:t>
      </w:r>
      <w:r>
        <w:rPr>
          <w:rFonts w:ascii="Times New Roman" w:cs="Times New Roman" w:eastAsia="Times New Roman" w:hAnsi="Times New Roman"/>
          <w:sz w:val="20"/>
          <w:szCs w:val="20"/>
          <w:color w:val="auto"/>
        </w:rPr>
        <w:t>. In addition to the foregoing requirements, no amendment, waiver or consent shall:</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803"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(or reinstate) the Commitments of a Lender or subject a Lender to any additional obligations without the written consent of such Lender;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47"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of, or interest that has accrued or the rates of interest that will be charged on the outstanding principal amount of, any Loans or other Obligations without the written consent of each Lender directly affected thereby; provided, however, only the written consent of the Requisite Lenders shall be required for the waiver of interest payable at the Post-Default Rate, retraction of the imposition of interest at the Post-Default Rate and amendment of the definition of “Post-Default Rate”;</w:t>
      </w:r>
    </w:p>
    <w:p>
      <w:pPr>
        <w:spacing w:after="0" w:line="172"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amount of any Fees payable to a Lender without the written consent of such Lender;</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00"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definitions of “Revolving Termination Date” (except in accordance with Section 2.14.) or “Revolving Commitment Percentage”, otherwise postpone any date fixed for, or forgive, any payment of principal of, or interest on, any Revolving Loans or for the payment of Fees or any other Obligations owing to the Revolving Lenders, or extend the</w:t>
      </w:r>
    </w:p>
    <w:p>
      <w:pPr>
        <w:sectPr>
          <w:pgSz w:w="11900" w:h="16838" w:orient="portrait"/>
          <w:cols w:equalWidth="0" w:num="1">
            <w:col w:w="11240"/>
          </w:cols>
          <w:pgMar w:left="320" w:top="1440" w:right="339" w:bottom="1440" w:gutter="0" w:footer="0" w:header="0"/>
        </w:sectPr>
      </w:pPr>
    </w:p>
    <w:bookmarkStart w:id="497" w:name="page498"/>
    <w:bookmarkEnd w:id="497"/>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expiration date of any Letter of Credit beyond the Revolving Termination Date, in each case, without the written consent of each directly affected Revolving Lender;</w:t>
      </w:r>
    </w:p>
    <w:p>
      <w:pPr>
        <w:spacing w:after="0" w:line="146" w:lineRule="exact"/>
        <w:rPr>
          <w:sz w:val="20"/>
          <w:szCs w:val="20"/>
          <w:color w:val="auto"/>
        </w:rPr>
      </w:pPr>
    </w:p>
    <w:p>
      <w:pPr>
        <w:jc w:val="both"/>
        <w:ind w:firstLine="644"/>
        <w:spacing w:after="0" w:line="258" w:lineRule="auto"/>
        <w:tabs>
          <w:tab w:leader="none" w:pos="1081"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definitions of “Term A Loan Maturity Date”, “Term B Loan Maturity Date”, or otherwise postpone any date fixed for, or forgive, any payment of principal of, or interest on, any Term Loans or for the payment of Fees or any other Obligations owing to the Term Loan Lenders, in each case, without the written consent of each directly affected Term Loan Lender of the applicable Class;</w:t>
      </w:r>
    </w:p>
    <w:p>
      <w:pPr>
        <w:spacing w:after="0" w:line="185" w:lineRule="exact"/>
        <w:rPr>
          <w:rFonts w:ascii="Times New Roman" w:cs="Times New Roman" w:eastAsia="Times New Roman" w:hAnsi="Times New Roman"/>
          <w:sz w:val="20"/>
          <w:szCs w:val="20"/>
          <w:color w:val="auto"/>
        </w:rPr>
      </w:pPr>
    </w:p>
    <w:p>
      <w:pPr>
        <w:jc w:val="both"/>
        <w:ind w:right="20" w:firstLine="644"/>
        <w:spacing w:after="0" w:line="254" w:lineRule="auto"/>
        <w:tabs>
          <w:tab w:leader="none" w:pos="1159"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any Term A Loans or Term B Loans remain outstanding, amend, modify or waive (A) Section 5.2. or any other provision of this Agreement if the effect of such amendment, modification or waiver is to require the Revolving Lenders to make Revolving Loans when such Lenders would not otherwise be required to do so, (B) [Reserved] or (C) the L/C Commitment Amount, in each case, without the prior written consent of the Requisite Revolving Lenders;</w:t>
      </w:r>
    </w:p>
    <w:p>
      <w:pPr>
        <w:spacing w:after="0" w:line="187" w:lineRule="exact"/>
        <w:rPr>
          <w:rFonts w:ascii="Times New Roman" w:cs="Times New Roman" w:eastAsia="Times New Roman" w:hAnsi="Times New Roman"/>
          <w:sz w:val="20"/>
          <w:szCs w:val="20"/>
          <w:color w:val="auto"/>
        </w:rPr>
      </w:pPr>
    </w:p>
    <w:p>
      <w:pPr>
        <w:jc w:val="both"/>
        <w:ind w:firstLine="644"/>
        <w:spacing w:after="0" w:line="258" w:lineRule="auto"/>
        <w:tabs>
          <w:tab w:leader="none" w:pos="1281"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definitions of “Pro Rata Share” or “Requisite Lenders”, amend or otherwise modify the provisions of Section 3.2. or Section 10.5, or modify in any other manner the number or percentage of the Lenders required to make any determinations or waive any rights hereunder or to modify any provision hereof, in each case, without the written consent of each directly affected Lender;</w:t>
      </w:r>
    </w:p>
    <w:p>
      <w:pPr>
        <w:spacing w:after="0" w:line="172" w:lineRule="exact"/>
        <w:rPr>
          <w:rFonts w:ascii="Times New Roman" w:cs="Times New Roman" w:eastAsia="Times New Roman" w:hAnsi="Times New Roman"/>
          <w:sz w:val="20"/>
          <w:szCs w:val="20"/>
          <w:color w:val="auto"/>
        </w:rPr>
      </w:pPr>
    </w:p>
    <w:p>
      <w:pPr>
        <w:ind w:firstLine="644"/>
        <w:spacing w:after="0" w:line="283" w:lineRule="auto"/>
        <w:tabs>
          <w:tab w:leader="none" w:pos="1244"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this Section or amend the definitions of the terms used in this Agreement or the other Loan Documents insofar as such definitions affect the substance of this Section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firstLine="644"/>
        <w:spacing w:after="0" w:line="254" w:lineRule="auto"/>
        <w:tabs>
          <w:tab w:leader="none" w:pos="1161"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definition of the term “Requisite Revolving Lenders” without the written consent of each directly affected Revolving Lender or modify in any other manner the number or percentage of the Revolving Lenders required to make any determinations or waive any rights hereunder or to modify any provision hereof without the written consent of each Revolving Lender;</w:t>
      </w:r>
    </w:p>
    <w:p>
      <w:pPr>
        <w:spacing w:after="0" w:line="187" w:lineRule="exact"/>
        <w:rPr>
          <w:rFonts w:ascii="Times New Roman" w:cs="Times New Roman" w:eastAsia="Times New Roman" w:hAnsi="Times New Roman"/>
          <w:sz w:val="20"/>
          <w:szCs w:val="20"/>
          <w:color w:val="auto"/>
        </w:rPr>
      </w:pPr>
    </w:p>
    <w:p>
      <w:pPr>
        <w:jc w:val="both"/>
        <w:ind w:firstLine="644"/>
        <w:spacing w:after="0" w:line="251" w:lineRule="auto"/>
        <w:tabs>
          <w:tab w:leader="none" w:pos="1150"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modify the definition of the term “Requisite Term A Loan Lenders” without the written consent of each directly affected Term A Loan Lender or modify in any other manner the number or percentage of the Term A Loan Lenders required to make any determinations or waive any rights hereunder or to modify any provision hereof without the written consent of each Term A Loan Lender or (ii) modify the definition of the term “Requisite Term B Loan Lenders” without the written consent of each directly affected Term B Loan Lender or modify in any other manner the number or percentage of the Term B Loan Lenders required to make any determinations or waive any rights hereunder or to modify any provision hereof without the written consent of each Term B Loan Lender;</w:t>
      </w:r>
    </w:p>
    <w:p>
      <w:pPr>
        <w:spacing w:after="0" w:line="192" w:lineRule="exact"/>
        <w:rPr>
          <w:rFonts w:ascii="Times New Roman" w:cs="Times New Roman" w:eastAsia="Times New Roman" w:hAnsi="Times New Roman"/>
          <w:sz w:val="20"/>
          <w:szCs w:val="20"/>
          <w:color w:val="auto"/>
        </w:rPr>
      </w:pPr>
    </w:p>
    <w:p>
      <w:pPr>
        <w:ind w:left="1120" w:hanging="476"/>
        <w:spacing w:after="0"/>
        <w:tabs>
          <w:tab w:leader="none" w:pos="1120"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or waive the Borrower’s compliance with, Section 2.18. without the written consent of each Revolving Lender;</w:t>
      </w:r>
    </w:p>
    <w:p>
      <w:pPr>
        <w:spacing w:after="0" w:line="240" w:lineRule="exact"/>
        <w:rPr>
          <w:rFonts w:ascii="Times New Roman" w:cs="Times New Roman" w:eastAsia="Times New Roman" w:hAnsi="Times New Roman"/>
          <w:sz w:val="19"/>
          <w:szCs w:val="19"/>
          <w:color w:val="auto"/>
        </w:rPr>
      </w:pPr>
    </w:p>
    <w:p>
      <w:pPr>
        <w:ind w:firstLine="644"/>
        <w:spacing w:after="0" w:line="269" w:lineRule="auto"/>
        <w:tabs>
          <w:tab w:leader="none" w:pos="1243"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Borrower from its obligations hereunder or under any other Loan Document except as contemplated by Section 9.3. without the consent of each Lender; or</w:t>
      </w:r>
    </w:p>
    <w:p>
      <w:pPr>
        <w:spacing w:after="0" w:line="172" w:lineRule="exact"/>
        <w:rPr>
          <w:rFonts w:ascii="Times New Roman" w:cs="Times New Roman" w:eastAsia="Times New Roman" w:hAnsi="Times New Roman"/>
          <w:sz w:val="20"/>
          <w:szCs w:val="20"/>
          <w:color w:val="auto"/>
        </w:rPr>
      </w:pPr>
    </w:p>
    <w:p>
      <w:pPr>
        <w:ind w:firstLine="644"/>
        <w:spacing w:after="0" w:line="269" w:lineRule="auto"/>
        <w:tabs>
          <w:tab w:leader="none" w:pos="1288"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under Section 10.1.(a) without the written consent of each Lender directly and adversely affected thereby (or the Administrative Agent at the written direction of such Lenders).</w:t>
      </w:r>
    </w:p>
    <w:p>
      <w:pPr>
        <w:sectPr>
          <w:pgSz w:w="11900" w:h="16838" w:orient="portrait"/>
          <w:cols w:equalWidth="0" w:num="1">
            <w:col w:w="10580"/>
          </w:cols>
          <w:pgMar w:left="980" w:top="1440" w:right="339" w:bottom="1440" w:gutter="0" w:footer="0" w:header="0"/>
        </w:sectPr>
      </w:pPr>
    </w:p>
    <w:bookmarkStart w:id="498" w:name="page499"/>
    <w:bookmarkEnd w:id="498"/>
    <w:p>
      <w:pPr>
        <w:spacing w:after="0" w:line="189" w:lineRule="exact"/>
        <w:rPr>
          <w:sz w:val="20"/>
          <w:szCs w:val="20"/>
          <w:color w:val="auto"/>
        </w:rPr>
      </w:pPr>
    </w:p>
    <w:p>
      <w:pPr>
        <w:jc w:val="both"/>
        <w:ind w:left="-656" w:firstLine="656"/>
        <w:spacing w:after="0" w:line="248" w:lineRule="auto"/>
        <w:tabs>
          <w:tab w:leader="none" w:pos="504"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Administrative Agent’s Duties, Etc</w:t>
      </w:r>
      <w:r>
        <w:rPr>
          <w:rFonts w:ascii="Times New Roman" w:cs="Times New Roman" w:eastAsia="Times New Roman" w:hAnsi="Times New Roman"/>
          <w:sz w:val="20"/>
          <w:szCs w:val="20"/>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relating to Section 2.4. or the obligations of the Issuing Banks under this Agreement or any other Loan Document shall, in addition to the Lenders required hereinabove to take such action, require the written consent of each Issuing Bank. Any amendment, waiver or consent with respect to any Loan Document that affects the rights of a Specified Derivatives Provider in a manner or to an extent materially dissimilar to that affecting the Lenders shall, in addition to the Lenders required hereinabove to take such action, require the consent of the Lender that is (or having an Affiliate that is) such Specified Derivatives Provider.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reinstated or extended without the written consent of such Defaulting Lender and (y) any waiver, amendment or modification requiring the consent of all Lenders or each affected Lender that by its terms affects any Defaulting Lender more adversely than other affected Lenders shall require the written consent of such Defaulting Lender.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Any Event of Default occurring hereunder shall continue to exist until such time as such Event of Default is waived in writing in accordance with the terms of this Section, notwithstanding any attempted cure or other action by any Borrower, any other Loan Party or any other Person subsequent to the occurrence of such Event of Default. Except as otherwise explicitly provided for herein or in any other Loan Document, no notice to or demand upon the Borrower Representative or any other Borrower or any other Loan Party shall entitle the Borrower Representative or such other Borrower or such other Loan Party to other or further notice or demand in similar or other circumstances. The Administrative Agent (and, if applicable, the Borrowers)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Section 4.2(b) in accordance with the terms of Section 4.2(b).</w:t>
      </w:r>
    </w:p>
    <w:p>
      <w:pPr>
        <w:spacing w:after="0" w:line="214" w:lineRule="exact"/>
        <w:rPr>
          <w:rFonts w:ascii="Times New Roman" w:cs="Times New Roman" w:eastAsia="Times New Roman" w:hAnsi="Times New Roman"/>
          <w:sz w:val="20"/>
          <w:szCs w:val="20"/>
          <w:color w:val="auto"/>
        </w:rPr>
      </w:pPr>
    </w:p>
    <w:p>
      <w:pPr>
        <w:jc w:val="both"/>
        <w:ind w:left="-656" w:firstLine="656"/>
        <w:spacing w:after="0" w:line="253" w:lineRule="auto"/>
        <w:tabs>
          <w:tab w:leader="none" w:pos="488"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Technical Amendments</w:t>
      </w:r>
      <w:r>
        <w:rPr>
          <w:rFonts w:ascii="Times New Roman" w:cs="Times New Roman" w:eastAsia="Times New Roman" w:hAnsi="Times New Roman"/>
          <w:sz w:val="20"/>
          <w:szCs w:val="20"/>
          <w:color w:val="auto"/>
        </w:rPr>
        <w:t>. Notwithstanding anything to the contrary in this Section 12.6., if the Administrative Agent and the Borrowers have jointly identified a mistake or ambiguity in any provision of this Agreement, the Administrative Agent and the Borrowers shall be permitted to amend such provision to cure such ambiguity or correct such provision so long as to do so would not adversely affect the interests of the Lenders, and such amendment shall become effective without any further action or consent of any of other party to this Agreement.</w:t>
      </w:r>
    </w:p>
    <w:p>
      <w:pPr>
        <w:sectPr>
          <w:pgSz w:w="11900" w:h="16838" w:orient="portrait"/>
          <w:cols w:equalWidth="0" w:num="1">
            <w:col w:w="10584"/>
          </w:cols>
          <w:pgMar w:left="976" w:top="1440" w:right="339"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Marc Holliday, certify that:</w:t>
      </w:r>
    </w:p>
    <w:p>
      <w:pPr>
        <w:spacing w:after="0" w:line="391" w:lineRule="exact"/>
        <w:rPr>
          <w:sz w:val="20"/>
          <w:szCs w:val="20"/>
          <w:color w:val="auto"/>
        </w:rPr>
      </w:pPr>
    </w:p>
    <w:p>
      <w:pPr>
        <w:ind w:left="660" w:hanging="652"/>
        <w:spacing w:after="0"/>
        <w:tabs>
          <w:tab w:leader="none" w:pos="6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Realty Corp. (the “registrant”);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300" w:hanging="644"/>
        <w:spacing w:after="0" w:line="281" w:lineRule="auto"/>
        <w:tabs>
          <w:tab w:leader="none" w:pos="1297"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7"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3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632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Holliday</w:t>
      </w:r>
    </w:p>
    <w:p>
      <w:pPr>
        <w:spacing w:after="0" w:line="36"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500" w:name="page501"/>
    <w:bookmarkEnd w:id="5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Matthew J. DiLiberto, certify that:</w:t>
      </w:r>
    </w:p>
    <w:p>
      <w:pPr>
        <w:spacing w:after="0" w:line="364" w:lineRule="exact"/>
        <w:rPr>
          <w:sz w:val="20"/>
          <w:szCs w:val="20"/>
          <w:color w:val="auto"/>
        </w:rPr>
      </w:pPr>
    </w:p>
    <w:p>
      <w:pPr>
        <w:ind w:left="660" w:hanging="652"/>
        <w:spacing w:after="0"/>
        <w:tabs>
          <w:tab w:leader="none" w:pos="6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Realty Corp. (the “registrant”);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300" w:hanging="644"/>
        <w:spacing w:after="0" w:line="281" w:lineRule="auto"/>
        <w:tabs>
          <w:tab w:leader="none" w:pos="1297"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7"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6" w:right="339" w:bottom="1440" w:gutter="0" w:footer="0" w:header="0"/>
        </w:sectPr>
      </w:pPr>
    </w:p>
    <w:bookmarkStart w:id="501" w:name="page502"/>
    <w:bookmarkEnd w:id="50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Marc Holliday, certify that:</w:t>
      </w:r>
    </w:p>
    <w:p>
      <w:pPr>
        <w:spacing w:after="0" w:line="391" w:lineRule="exact"/>
        <w:rPr>
          <w:sz w:val="20"/>
          <w:szCs w:val="20"/>
          <w:color w:val="auto"/>
        </w:rPr>
      </w:pPr>
    </w:p>
    <w:p>
      <w:pPr>
        <w:ind w:left="660" w:hanging="652"/>
        <w:spacing w:after="0"/>
        <w:tabs>
          <w:tab w:leader="none" w:pos="6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Operating Partnership, L.P. (the “registrant”);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300" w:hanging="644"/>
        <w:spacing w:after="0" w:line="281" w:lineRule="auto"/>
        <w:tabs>
          <w:tab w:leader="none" w:pos="1297"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7"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3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632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Holliday</w:t>
      </w:r>
    </w:p>
    <w:p>
      <w:pPr>
        <w:spacing w:after="0" w:line="36"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and Chief Executive Officer</w:t>
      </w:r>
    </w:p>
    <w:p>
      <w:pPr>
        <w:spacing w:after="0" w:line="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of SL Green Realty Corp., the</w:t>
      </w:r>
    </w:p>
    <w:p>
      <w:pPr>
        <w:spacing w:after="0" w:line="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general partner of the registrant</w:t>
      </w:r>
    </w:p>
    <w:p>
      <w:pPr>
        <w:sectPr>
          <w:pgSz w:w="11900" w:h="16838" w:orient="portrait"/>
          <w:cols w:equalWidth="0" w:num="1">
            <w:col w:w="11240"/>
          </w:cols>
          <w:pgMar w:left="320" w:top="886" w:right="339" w:bottom="1440" w:gutter="0" w:footer="0" w:header="0"/>
        </w:sectPr>
      </w:pPr>
    </w:p>
    <w:bookmarkStart w:id="502" w:name="page503"/>
    <w:bookmarkEnd w:id="502"/>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Matthew J. DiLiberto, certify that:</w:t>
      </w:r>
    </w:p>
    <w:p>
      <w:pPr>
        <w:spacing w:after="0" w:line="391" w:lineRule="exact"/>
        <w:rPr>
          <w:sz w:val="20"/>
          <w:szCs w:val="20"/>
          <w:color w:val="auto"/>
        </w:rPr>
      </w:pPr>
    </w:p>
    <w:p>
      <w:pPr>
        <w:ind w:left="660" w:hanging="652"/>
        <w:spacing w:after="0"/>
        <w:tabs>
          <w:tab w:leader="none" w:pos="6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Operating Partnership, L.P. (the “registrant”);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300" w:hanging="644"/>
        <w:spacing w:after="0" w:line="281" w:lineRule="auto"/>
        <w:tabs>
          <w:tab w:leader="none" w:pos="1297"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7"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34"/>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partner of the registrant</w:t>
            </w:r>
          </w:p>
        </w:tc>
      </w:tr>
    </w:tbl>
    <w:p>
      <w:pPr>
        <w:sectPr>
          <w:pgSz w:w="11900" w:h="16838" w:orient="portrait"/>
          <w:cols w:equalWidth="0" w:num="1">
            <w:col w:w="11240"/>
          </w:cols>
          <w:pgMar w:left="320" w:top="886" w:right="339" w:bottom="1440" w:gutter="0" w:footer="0" w:header="0"/>
        </w:sectPr>
      </w:pPr>
    </w:p>
    <w:bookmarkStart w:id="503" w:name="page504"/>
    <w:bookmarkEnd w:id="5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SL Green Realty Corp. (the “Company”) on Form 10-Q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Marc Holliday</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 Holliday</w:t>
            </w: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30, 2026</w:t>
      </w:r>
    </w:p>
    <w:p>
      <w:pPr>
        <w:sectPr>
          <w:pgSz w:w="11900" w:h="16838" w:orient="portrait"/>
          <w:cols w:equalWidth="0" w:num="1">
            <w:col w:w="11240"/>
          </w:cols>
          <w:pgMar w:left="320" w:top="886" w:right="339" w:bottom="1440" w:gutter="0" w:footer="0" w:header="0"/>
        </w:sectPr>
      </w:pPr>
    </w:p>
    <w:bookmarkStart w:id="504" w:name="page505"/>
    <w:bookmarkEnd w:id="5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SL Green Realty Corp. (the “Company”) on Form 10-Q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30, 2026</w:t>
      </w:r>
    </w:p>
    <w:p>
      <w:pPr>
        <w:sectPr>
          <w:pgSz w:w="11900" w:h="16838" w:orient="portrait"/>
          <w:cols w:equalWidth="0" w:num="1">
            <w:col w:w="11240"/>
          </w:cols>
          <w:pgMar w:left="320" w:top="886" w:right="339" w:bottom="1440" w:gutter="0" w:footer="0" w:header="0"/>
        </w:sectPr>
      </w:pPr>
    </w:p>
    <w:bookmarkStart w:id="505" w:name="page506"/>
    <w:bookmarkEnd w:id="505"/>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SL Green Operating Partnership, L.P. (the “Operating Partnership”) on Form 10-Q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spacing w:after="0" w:line="207" w:lineRule="exact"/>
        <w:rPr>
          <w:sz w:val="20"/>
          <w:szCs w:val="20"/>
          <w:color w:val="auto"/>
        </w:rPr>
      </w:pPr>
    </w:p>
    <w:p>
      <w:pPr>
        <w:ind w:left="320" w:hanging="312"/>
        <w:spacing w:after="0"/>
        <w:tabs>
          <w:tab w:leader="none" w:pos="32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401"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Operating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Marc Holliday</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 Holliday</w:t>
            </w: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0"/>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34"/>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partner of the Operating Partnership</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30, 2026</w:t>
      </w:r>
    </w:p>
    <w:p>
      <w:pPr>
        <w:sectPr>
          <w:pgSz w:w="11900" w:h="16838" w:orient="portrait"/>
          <w:cols w:equalWidth="0" w:num="1">
            <w:col w:w="11240"/>
          </w:cols>
          <w:pgMar w:left="320" w:top="886" w:right="339" w:bottom="1440" w:gutter="0" w:footer="0" w:header="0"/>
        </w:sectPr>
      </w:pPr>
    </w:p>
    <w:bookmarkStart w:id="506" w:name="page507"/>
    <w:bookmarkEnd w:id="506"/>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SL Green Operating Partnership, L.P. (the “Operating Partnership”) on Form 10-Q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spacing w:after="0" w:line="207" w:lineRule="exact"/>
        <w:rPr>
          <w:sz w:val="20"/>
          <w:szCs w:val="20"/>
          <w:color w:val="auto"/>
        </w:rPr>
      </w:pPr>
    </w:p>
    <w:p>
      <w:pPr>
        <w:ind w:left="320" w:hanging="312"/>
        <w:spacing w:after="0"/>
        <w:tabs>
          <w:tab w:leader="none" w:pos="32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401"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Operating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34"/>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partner of the Operating Partnership</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30, 2026</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7D2D2"/>
    <w:multiLevelType w:val="hybridMultilevel"/>
    <w:lvl w:ilvl="0">
      <w:lvlJc w:val="left"/>
      <w:lvlText w:val="☒"/>
      <w:numFmt w:val="bullet"/>
      <w:start w:val="1"/>
    </w:lvl>
  </w:abstractNum>
  <w:abstractNum w:abstractNumId="1">
    <w:nsid w:val="6D68AB2"/>
    <w:multiLevelType w:val="hybridMultilevel"/>
    <w:lvl w:ilvl="0">
      <w:lvlJc w:val="left"/>
      <w:lvlText w:val="☐"/>
      <w:numFmt w:val="bullet"/>
      <w:start w:val="1"/>
    </w:lvl>
  </w:abstractNum>
  <w:abstractNum w:abstractNumId="2">
    <w:nsid w:val="3A966CD0"/>
    <w:multiLevelType w:val="hybridMultilevel"/>
    <w:lvl w:ilvl="0">
      <w:lvlJc w:val="left"/>
      <w:lvlText w:val="•"/>
      <w:numFmt w:val="bullet"/>
      <w:start w:val="1"/>
    </w:lvl>
  </w:abstractNum>
  <w:abstractNum w:abstractNumId="3">
    <w:nsid w:val="63F37E85"/>
    <w:multiLevelType w:val="hybridMultilevel"/>
    <w:lvl w:ilvl="0">
      <w:lvlJc w:val="left"/>
      <w:lvlText w:val="•"/>
      <w:numFmt w:val="bullet"/>
      <w:start w:val="1"/>
    </w:lvl>
    <w:lvl w:ilvl="1">
      <w:lvlJc w:val="left"/>
      <w:lvlText w:val="◦"/>
      <w:numFmt w:val="bullet"/>
      <w:start w:val="1"/>
    </w:lvl>
  </w:abstractNum>
  <w:abstractNum w:abstractNumId="4">
    <w:nsid w:val="5895F5FA"/>
    <w:multiLevelType w:val="hybridMultilevel"/>
    <w:lvl w:ilvl="0">
      <w:lvlJc w:val="left"/>
      <w:lvlText w:val="(%1)"/>
      <w:numFmt w:val="decimal"/>
      <w:start w:val="1"/>
    </w:lvl>
  </w:abstractNum>
  <w:abstractNum w:abstractNumId="5">
    <w:nsid w:val="38A5D054"/>
    <w:multiLevelType w:val="hybridMultilevel"/>
    <w:lvl w:ilvl="0">
      <w:lvlJc w:val="left"/>
      <w:lvlText w:val="(%1)"/>
      <w:numFmt w:val="decimal"/>
      <w:start w:val="1"/>
    </w:lvl>
  </w:abstractNum>
  <w:abstractNum w:abstractNumId="6">
    <w:nsid w:val="F3F09D8"/>
    <w:multiLevelType w:val="hybridMultilevel"/>
    <w:lvl w:ilvl="0">
      <w:lvlJc w:val="left"/>
      <w:lvlText w:val="(%1)"/>
      <w:numFmt w:val="decimal"/>
      <w:start w:val="1"/>
    </w:lvl>
  </w:abstractNum>
  <w:abstractNum w:abstractNumId="7">
    <w:nsid w:val="4B793735"/>
    <w:multiLevelType w:val="hybridMultilevel"/>
    <w:lvl w:ilvl="0">
      <w:lvlJc w:val="left"/>
      <w:lvlText w:val="%1."/>
      <w:numFmt w:val="decimal"/>
      <w:start w:val="2"/>
    </w:lvl>
  </w:abstractNum>
  <w:abstractNum w:abstractNumId="8">
    <w:nsid w:val="4A10B4E8"/>
    <w:multiLevelType w:val="hybridMultilevel"/>
    <w:lvl w:ilvl="0">
      <w:lvlJc w:val="left"/>
      <w:lvlText w:val="(%1)"/>
      <w:numFmt w:val="decimal"/>
      <w:start w:val="1"/>
    </w:lvl>
  </w:abstractNum>
  <w:abstractNum w:abstractNumId="9">
    <w:nsid w:val="43D3BCD4"/>
    <w:multiLevelType w:val="hybridMultilevel"/>
    <w:lvl w:ilvl="0">
      <w:lvlJc w:val="left"/>
      <w:lvlText w:val="%1."/>
      <w:numFmt w:val="decimal"/>
      <w:start w:val="3"/>
    </w:lvl>
  </w:abstractNum>
  <w:abstractNum w:abstractNumId="10">
    <w:nsid w:val="4C2A7166"/>
    <w:multiLevelType w:val="hybridMultilevel"/>
    <w:lvl w:ilvl="0">
      <w:lvlJc w:val="left"/>
      <w:lvlText w:val="(%1)"/>
      <w:numFmt w:val="decimal"/>
      <w:start w:val="1"/>
    </w:lvl>
  </w:abstractNum>
  <w:abstractNum w:abstractNumId="11">
    <w:nsid w:val="2E534A82"/>
    <w:multiLevelType w:val="hybridMultilevel"/>
    <w:lvl w:ilvl="0">
      <w:lvlJc w:val="left"/>
      <w:lvlText w:val="%1."/>
      <w:numFmt w:val="decimal"/>
      <w:start w:val="4"/>
    </w:lvl>
  </w:abstractNum>
  <w:abstractNum w:abstractNumId="12">
    <w:nsid w:val="26F2D364"/>
    <w:multiLevelType w:val="hybridMultilevel"/>
    <w:lvl w:ilvl="0">
      <w:lvlJc w:val="left"/>
      <w:lvlText w:val="(%1)"/>
      <w:numFmt w:val="decimal"/>
      <w:start w:val="1"/>
    </w:lvl>
  </w:abstractNum>
  <w:abstractNum w:abstractNumId="13">
    <w:nsid w:val="71C1AF98"/>
    <w:multiLevelType w:val="hybridMultilevel"/>
    <w:lvl w:ilvl="0">
      <w:lvlJc w:val="left"/>
      <w:lvlText w:val="(%1)"/>
      <w:numFmt w:val="decimal"/>
      <w:start w:val="1"/>
    </w:lvl>
  </w:abstractNum>
  <w:abstractNum w:abstractNumId="14">
    <w:nsid w:val="3D00B9D9"/>
    <w:multiLevelType w:val="hybridMultilevel"/>
    <w:lvl w:ilvl="0">
      <w:lvlJc w:val="left"/>
      <w:lvlText w:val="(%1)"/>
      <w:numFmt w:val="decimal"/>
      <w:start w:val="1"/>
    </w:lvl>
  </w:abstractNum>
  <w:abstractNum w:abstractNumId="15">
    <w:nsid w:val="15BCABA8"/>
    <w:multiLevelType w:val="hybridMultilevel"/>
    <w:lvl w:ilvl="0">
      <w:lvlJc w:val="left"/>
      <w:lvlText w:val="(%1)"/>
      <w:numFmt w:val="decimal"/>
      <w:start w:val="1"/>
    </w:lvl>
  </w:abstractNum>
  <w:abstractNum w:abstractNumId="16">
    <w:nsid w:val="4E0B9A87"/>
    <w:multiLevelType w:val="hybridMultilevel"/>
    <w:lvl w:ilvl="0">
      <w:lvlJc w:val="left"/>
      <w:lvlText w:val="(%1)"/>
      <w:numFmt w:val="decimal"/>
      <w:start w:val="1"/>
    </w:lvl>
  </w:abstractNum>
  <w:abstractNum w:abstractNumId="17">
    <w:nsid w:val="434BAE75"/>
    <w:multiLevelType w:val="hybridMultilevel"/>
    <w:lvl w:ilvl="0">
      <w:lvlJc w:val="left"/>
      <w:lvlText w:val="(%1)"/>
      <w:numFmt w:val="decimal"/>
      <w:start w:val="1"/>
    </w:lvl>
  </w:abstractNum>
  <w:abstractNum w:abstractNumId="18">
    <w:nsid w:val="4F38F265"/>
    <w:multiLevelType w:val="hybridMultilevel"/>
    <w:lvl w:ilvl="0">
      <w:lvlJc w:val="left"/>
      <w:lvlText w:val="(%1)"/>
      <w:numFmt w:val="decimal"/>
      <w:start w:val="1"/>
    </w:lvl>
  </w:abstractNum>
  <w:abstractNum w:abstractNumId="19">
    <w:nsid w:val="4C502870"/>
    <w:multiLevelType w:val="hybridMultilevel"/>
    <w:lvl w:ilvl="0">
      <w:lvlJc w:val="left"/>
      <w:lvlText w:val="(%1)"/>
      <w:numFmt w:val="decimal"/>
      <w:start w:val="1"/>
    </w:lvl>
  </w:abstractNum>
  <w:abstractNum w:abstractNumId="20">
    <w:nsid w:val="1DE8725A"/>
    <w:multiLevelType w:val="hybridMultilevel"/>
    <w:lvl w:ilvl="0">
      <w:lvlJc w:val="left"/>
      <w:lvlText w:val="(%1)"/>
      <w:numFmt w:val="decimal"/>
      <w:start w:val="1"/>
    </w:lvl>
  </w:abstractNum>
  <w:abstractNum w:abstractNumId="21">
    <w:nsid w:val="6A37288A"/>
    <w:multiLevelType w:val="hybridMultilevel"/>
    <w:lvl w:ilvl="0">
      <w:lvlJc w:val="left"/>
      <w:lvlText w:val="%1."/>
      <w:numFmt w:val="decimal"/>
      <w:start w:val="9"/>
    </w:lvl>
  </w:abstractNum>
  <w:abstractNum w:abstractNumId="22">
    <w:nsid w:val="8F8B73F"/>
    <w:multiLevelType w:val="hybridMultilevel"/>
    <w:lvl w:ilvl="0">
      <w:lvlJc w:val="left"/>
      <w:lvlText w:val="•"/>
      <w:numFmt w:val="bullet"/>
      <w:start w:val="1"/>
    </w:lvl>
  </w:abstractNum>
  <w:abstractNum w:abstractNumId="23">
    <w:nsid w:val="CA6B462"/>
    <w:multiLevelType w:val="hybridMultilevel"/>
    <w:lvl w:ilvl="0">
      <w:lvlJc w:val="left"/>
      <w:lvlText w:val="(%1)"/>
      <w:numFmt w:val="decimal"/>
      <w:start w:val="1"/>
    </w:lvl>
  </w:abstractNum>
  <w:abstractNum w:abstractNumId="24">
    <w:nsid w:val="763CB680"/>
    <w:multiLevelType w:val="hybridMultilevel"/>
    <w:lvl w:ilvl="0">
      <w:lvlJc w:val="left"/>
      <w:lvlText w:val="%1."/>
      <w:numFmt w:val="decimal"/>
      <w:start w:val="10"/>
    </w:lvl>
  </w:abstractNum>
  <w:abstractNum w:abstractNumId="25">
    <w:nsid w:val="15B71329"/>
    <w:multiLevelType w:val="hybridMultilevel"/>
    <w:lvl w:ilvl="0">
      <w:lvlJc w:val="left"/>
      <w:lvlText w:val="(%1)"/>
      <w:numFmt w:val="decimal"/>
      <w:start w:val="1"/>
    </w:lvl>
  </w:abstractNum>
  <w:abstractNum w:abstractNumId="26">
    <w:nsid w:val="3DA97044"/>
    <w:multiLevelType w:val="hybridMultilevel"/>
    <w:lvl w:ilvl="0">
      <w:lvlJc w:val="left"/>
      <w:lvlText w:val="%1."/>
      <w:numFmt w:val="decimal"/>
      <w:start w:val="12"/>
    </w:lvl>
  </w:abstractNum>
  <w:abstractNum w:abstractNumId="27">
    <w:nsid w:val="1CDCE2DE"/>
    <w:multiLevelType w:val="hybridMultilevel"/>
    <w:lvl w:ilvl="0">
      <w:lvlJc w:val="left"/>
      <w:lvlText w:val="(%1)"/>
      <w:numFmt w:val="decimal"/>
      <w:start w:val="1"/>
    </w:lvl>
  </w:abstractNum>
  <w:abstractNum w:abstractNumId="28">
    <w:nsid w:val="69D3947C"/>
    <w:multiLevelType w:val="hybridMultilevel"/>
    <w:lvl w:ilvl="0">
      <w:lvlJc w:val="left"/>
      <w:lvlText w:val="(%1)"/>
      <w:numFmt w:val="decimal"/>
      <w:start w:val="1"/>
    </w:lvl>
  </w:abstractNum>
  <w:abstractNum w:abstractNumId="29">
    <w:nsid w:val="2539DFA5"/>
    <w:multiLevelType w:val="hybridMultilevel"/>
    <w:lvl w:ilvl="0">
      <w:lvlJc w:val="left"/>
      <w:lvlText w:val="(%1)"/>
      <w:numFmt w:val="decimal"/>
      <w:start w:val="1"/>
    </w:lvl>
  </w:abstractNum>
  <w:abstractNum w:abstractNumId="30">
    <w:nsid w:val="2DB88089"/>
    <w:multiLevelType w:val="hybridMultilevel"/>
    <w:lvl w:ilvl="0">
      <w:lvlJc w:val="left"/>
      <w:lvlText w:val="(%1)"/>
      <w:numFmt w:val="decimal"/>
      <w:start w:val="1"/>
    </w:lvl>
  </w:abstractNum>
  <w:abstractNum w:abstractNumId="31">
    <w:nsid w:val="706B674E"/>
    <w:multiLevelType w:val="hybridMultilevel"/>
    <w:lvl w:ilvl="0">
      <w:lvlJc w:val="left"/>
      <w:lvlText w:val="(%1)"/>
      <w:numFmt w:val="decimal"/>
      <w:start w:val="1"/>
    </w:lvl>
  </w:abstractNum>
  <w:abstractNum w:abstractNumId="32">
    <w:nsid w:val="2C106A57"/>
    <w:multiLevelType w:val="hybridMultilevel"/>
    <w:lvl w:ilvl="0">
      <w:lvlJc w:val="left"/>
      <w:lvlText w:val="(%1)"/>
      <w:numFmt w:val="decimal"/>
      <w:start w:val="1"/>
    </w:lvl>
  </w:abstractNum>
  <w:abstractNum w:abstractNumId="33">
    <w:nsid w:val="684EED59"/>
    <w:multiLevelType w:val="hybridMultilevel"/>
    <w:lvl w:ilvl="0">
      <w:lvlJc w:val="left"/>
      <w:lvlText w:val="%1."/>
      <w:numFmt w:val="decimal"/>
      <w:start w:val="19"/>
    </w:lvl>
  </w:abstractNum>
  <w:abstractNum w:abstractNumId="34">
    <w:nsid w:val="545EE5D3"/>
    <w:multiLevelType w:val="hybridMultilevel"/>
    <w:lvl w:ilvl="0">
      <w:lvlJc w:val="left"/>
      <w:lvlText w:val="(%1)"/>
      <w:numFmt w:val="decimal"/>
      <w:start w:val="1"/>
    </w:lvl>
  </w:abstractNum>
  <w:abstractNum w:abstractNumId="35">
    <w:nsid w:val="4A66051"/>
    <w:multiLevelType w:val="hybridMultilevel"/>
    <w:lvl w:ilvl="0">
      <w:lvlJc w:val="left"/>
      <w:lvlText w:val="%1."/>
      <w:numFmt w:val="lowerRoman"/>
      <w:start w:val="1"/>
    </w:lvl>
  </w:abstractNum>
  <w:abstractNum w:abstractNumId="36">
    <w:nsid w:val="20F4BDAD"/>
    <w:multiLevelType w:val="hybridMultilevel"/>
    <w:lvl w:ilvl="0">
      <w:lvlJc w:val="left"/>
      <w:lvlText w:val="(%1)"/>
      <w:numFmt w:val="decimal"/>
      <w:start w:val="1"/>
    </w:lvl>
  </w:abstractNum>
  <w:abstractNum w:abstractNumId="37">
    <w:nsid w:val="639DEFAC"/>
    <w:multiLevelType w:val="hybridMultilevel"/>
    <w:lvl w:ilvl="0">
      <w:lvlJc w:val="left"/>
      <w:lvlText w:val="(%1)"/>
      <w:numFmt w:val="decimal"/>
      <w:start w:val="1"/>
    </w:lvl>
  </w:abstractNum>
  <w:abstractNum w:abstractNumId="38">
    <w:nsid w:val="501F9786"/>
    <w:multiLevelType w:val="hybridMultilevel"/>
    <w:lvl w:ilvl="0">
      <w:lvlJc w:val="left"/>
      <w:lvlText w:val="$"/>
      <w:numFmt w:val="bullet"/>
      <w:start w:val="1"/>
    </w:lvl>
  </w:abstractNum>
  <w:abstractNum w:abstractNumId="39">
    <w:nsid w:val="6B057295"/>
    <w:multiLevelType w:val="hybridMultilevel"/>
    <w:lvl w:ilvl="0">
      <w:lvlJc w:val="left"/>
      <w:lvlText w:val="$"/>
      <w:numFmt w:val="bullet"/>
      <w:start w:val="1"/>
    </w:lvl>
  </w:abstractNum>
  <w:abstractNum w:abstractNumId="40">
    <w:nsid w:val="2771AC80"/>
    <w:multiLevelType w:val="hybridMultilevel"/>
    <w:lvl w:ilvl="0">
      <w:lvlJc w:val="left"/>
      <w:lvlText w:val="(%1)"/>
      <w:numFmt w:val="decimal"/>
      <w:start w:val="1"/>
    </w:lvl>
  </w:abstractNum>
  <w:abstractNum w:abstractNumId="41">
    <w:nsid w:val="1C4A08EC"/>
    <w:multiLevelType w:val="hybridMultilevel"/>
    <w:lvl w:ilvl="0">
      <w:lvlJc w:val="left"/>
      <w:lvlText w:val="•"/>
      <w:numFmt w:val="bullet"/>
      <w:start w:val="1"/>
    </w:lvl>
  </w:abstractNum>
  <w:abstractNum w:abstractNumId="42">
    <w:nsid w:val="1958BD17"/>
    <w:multiLevelType w:val="hybridMultilevel"/>
    <w:lvl w:ilvl="0">
      <w:lvlJc w:val="left"/>
      <w:lvlText w:val="•"/>
      <w:numFmt w:val="bullet"/>
      <w:start w:val="1"/>
    </w:lvl>
  </w:abstractNum>
  <w:abstractNum w:abstractNumId="43">
    <w:nsid w:val="4E647FE4"/>
    <w:multiLevelType w:val="hybridMultilevel"/>
    <w:lvl w:ilvl="0">
      <w:lvlJc w:val="left"/>
      <w:lvlText w:val="%1"/>
      <w:numFmt w:val="decimal"/>
      <w:start w:val="101"/>
    </w:lvl>
  </w:abstractNum>
  <w:abstractNum w:abstractNumId="44">
    <w:nsid w:val="E0BB885"/>
    <w:multiLevelType w:val="hybridMultilevel"/>
    <w:lvl w:ilvl="0">
      <w:lvlJc w:val="left"/>
      <w:lvlText w:val="%1"/>
      <w:numFmt w:val="decimal"/>
      <w:start w:val="104"/>
    </w:lvl>
  </w:abstractNum>
  <w:abstractNum w:abstractNumId="45">
    <w:nsid w:val="565976F1"/>
    <w:multiLevelType w:val="hybridMultilevel"/>
    <w:lvl w:ilvl="0">
      <w:lvlJc w:val="left"/>
      <w:lvlText w:val="(%1)"/>
      <w:numFmt w:val="lowerLetter"/>
      <w:start w:val="2"/>
    </w:lvl>
  </w:abstractNum>
  <w:abstractNum w:abstractNumId="46">
    <w:nsid w:val="64212B8C"/>
    <w:multiLevelType w:val="hybridMultilevel"/>
    <w:lvl w:ilvl="0">
      <w:lvlJc w:val="left"/>
      <w:lvlText w:val="(%1)"/>
      <w:numFmt w:val="lowerLetter"/>
      <w:start w:val="1"/>
    </w:lvl>
  </w:abstractNum>
  <w:abstractNum w:abstractNumId="47">
    <w:nsid w:val="5C17530C"/>
    <w:multiLevelType w:val="hybridMultilevel"/>
    <w:lvl w:ilvl="0">
      <w:lvlJc w:val="left"/>
      <w:lvlText w:val="(%1)"/>
      <w:numFmt w:val="lowerLetter"/>
      <w:start w:val="1"/>
    </w:lvl>
  </w:abstractNum>
  <w:abstractNum w:abstractNumId="48">
    <w:nsid w:val="19A52566"/>
    <w:multiLevelType w:val="hybridMultilevel"/>
    <w:lvl w:ilvl="0">
      <w:lvlJc w:val="left"/>
      <w:lvlText w:val="(%1)"/>
      <w:numFmt w:val="lowerLetter"/>
      <w:start w:val="1"/>
    </w:lvl>
  </w:abstractNum>
  <w:abstractNum w:abstractNumId="49">
    <w:nsid w:val="335A1DF1"/>
    <w:multiLevelType w:val="hybridMultilevel"/>
    <w:lvl w:ilvl="0">
      <w:lvlJc w:val="left"/>
      <w:lvlText w:val="(%1)"/>
      <w:numFmt w:val="lowerLetter"/>
      <w:start w:val="9"/>
    </w:lvl>
  </w:abstractNum>
  <w:abstractNum w:abstractNumId="50">
    <w:nsid w:val="28677B7C"/>
    <w:multiLevelType w:val="hybridMultilevel"/>
    <w:lvl w:ilvl="0">
      <w:lvlJc w:val="left"/>
      <w:lvlText w:val="(%1)"/>
      <w:numFmt w:val="lowerLetter"/>
      <w:start w:val="25"/>
    </w:lvl>
  </w:abstractNum>
  <w:abstractNum w:abstractNumId="51">
    <w:nsid w:val="378D97C0"/>
    <w:multiLevelType w:val="hybridMultilevel"/>
    <w:lvl w:ilvl="0">
      <w:lvlJc w:val="left"/>
      <w:lvlText w:val="(%1)"/>
      <w:numFmt w:val="lowerRoman"/>
      <w:start w:val="1"/>
    </w:lvl>
  </w:abstractNum>
  <w:abstractNum w:abstractNumId="52">
    <w:nsid w:val="1D91467C"/>
    <w:multiLevelType w:val="hybridMultilevel"/>
    <w:lvl w:ilvl="0">
      <w:lvlJc w:val="left"/>
      <w:lvlText w:val="(%1)"/>
      <w:numFmt w:val="lowerLetter"/>
      <w:start w:val="2"/>
    </w:lvl>
  </w:abstractNum>
  <w:abstractNum w:abstractNumId="53">
    <w:nsid w:val="316032BB"/>
    <w:multiLevelType w:val="hybridMultilevel"/>
    <w:lvl w:ilvl="0">
      <w:lvlJc w:val="left"/>
      <w:lvlText w:val="(%1)"/>
      <w:numFmt w:val="lowerLetter"/>
      <w:start w:val="2"/>
    </w:lvl>
    <w:lvl w:ilvl="1">
      <w:lvlJc w:val="left"/>
      <w:lvlText w:val="-"/>
      <w:numFmt w:val="bullet"/>
      <w:start w:val="1"/>
    </w:lvl>
  </w:abstractNum>
  <w:abstractNum w:abstractNumId="54">
    <w:nsid w:val="44344C22"/>
    <w:multiLevelType w:val="hybridMultilevel"/>
    <w:lvl w:ilvl="0">
      <w:lvlJc w:val="left"/>
      <w:lvlText w:val="(%1)"/>
      <w:numFmt w:val="lowerLetter"/>
      <w:start w:val="2"/>
    </w:lvl>
  </w:abstractNum>
  <w:abstractNum w:abstractNumId="55">
    <w:nsid w:val="13CDFCFC"/>
    <w:multiLevelType w:val="hybridMultilevel"/>
    <w:lvl w:ilvl="0">
      <w:lvlJc w:val="left"/>
      <w:lvlText w:val="(%1)"/>
      <w:numFmt w:val="lowerLetter"/>
      <w:start w:val="2"/>
    </w:lvl>
  </w:abstractNum>
  <w:abstractNum w:abstractNumId="56">
    <w:nsid w:val="471745E4"/>
    <w:multiLevelType w:val="hybridMultilevel"/>
    <w:lvl w:ilvl="0">
      <w:lvlJc w:val="left"/>
      <w:lvlText w:val="(%1)"/>
      <w:numFmt w:val="lowerRoman"/>
      <w:start w:val="1"/>
    </w:lvl>
    <w:lvl w:ilvl="1">
      <w:lvlJc w:val="left"/>
      <w:lvlText w:val="-"/>
      <w:numFmt w:val="bullet"/>
      <w:start w:val="1"/>
    </w:lvl>
  </w:abstractNum>
  <w:abstractNum w:abstractNumId="57">
    <w:nsid w:val="1DDBC66"/>
    <w:multiLevelType w:val="hybridMultilevel"/>
    <w:lvl w:ilvl="0">
      <w:lvlJc w:val="left"/>
      <w:lvlText w:val="(%1)"/>
      <w:numFmt w:val="lowerLetter"/>
      <w:start w:val="3"/>
    </w:lvl>
  </w:abstractNum>
  <w:abstractNum w:abstractNumId="58">
    <w:nsid w:val="30AADFDA"/>
    <w:multiLevelType w:val="hybridMultilevel"/>
    <w:lvl w:ilvl="0">
      <w:lvlJc w:val="left"/>
      <w:lvlText w:val="(%1)"/>
      <w:numFmt w:val="lowerRoman"/>
      <w:start w:val="10"/>
    </w:lvl>
  </w:abstractNum>
  <w:abstractNum w:abstractNumId="59">
    <w:nsid w:val="30EADA61"/>
    <w:multiLevelType w:val="hybridMultilevel"/>
    <w:lvl w:ilvl="0">
      <w:lvlJc w:val="left"/>
      <w:lvlText w:val="(%1)"/>
      <w:numFmt w:val="lowerRoman"/>
      <w:start w:val="2"/>
    </w:lvl>
  </w:abstractNum>
  <w:abstractNum w:abstractNumId="60">
    <w:nsid w:val="27179C0B"/>
    <w:multiLevelType w:val="hybridMultilevel"/>
    <w:lvl w:ilvl="0">
      <w:lvlJc w:val="left"/>
      <w:lvlText w:val="(%1)"/>
      <w:numFmt w:val="lowerLetter"/>
      <w:start w:val="2"/>
    </w:lvl>
  </w:abstractNum>
  <w:abstractNum w:abstractNumId="61">
    <w:nsid w:val="5E636063"/>
    <w:multiLevelType w:val="hybridMultilevel"/>
    <w:lvl w:ilvl="0">
      <w:lvlJc w:val="left"/>
      <w:lvlText w:val="(%1)"/>
      <w:numFmt w:val="lowerLetter"/>
      <w:start w:val="35"/>
    </w:lvl>
  </w:abstractNum>
  <w:abstractNum w:abstractNumId="62">
    <w:nsid w:val="215641AF"/>
    <w:multiLevelType w:val="hybridMultilevel"/>
    <w:lvl w:ilvl="0">
      <w:lvlJc w:val="left"/>
      <w:lvlText w:val="(%1)"/>
      <w:numFmt w:val="lowerLetter"/>
      <w:start w:val="2"/>
    </w:lvl>
    <w:lvl w:ilvl="1">
      <w:lvlJc w:val="left"/>
      <w:lvlText w:val="-"/>
      <w:numFmt w:val="bullet"/>
      <w:start w:val="1"/>
    </w:lvl>
  </w:abstractNum>
  <w:abstractNum w:abstractNumId="63">
    <w:nsid w:val="53280662"/>
    <w:multiLevelType w:val="hybridMultilevel"/>
    <w:lvl w:ilvl="0">
      <w:lvlJc w:val="left"/>
      <w:lvlText w:val="(%1)"/>
      <w:numFmt w:val="lowerLetter"/>
      <w:start w:val="9"/>
    </w:lvl>
  </w:abstractNum>
  <w:abstractNum w:abstractNumId="64">
    <w:nsid w:val="46B24DBC"/>
    <w:multiLevelType w:val="hybridMultilevel"/>
    <w:lvl w:ilvl="0">
      <w:lvlJc w:val="left"/>
      <w:lvlText w:val="(%1)"/>
      <w:numFmt w:val="lowerLetter"/>
      <w:start w:val="7"/>
    </w:lvl>
  </w:abstractNum>
  <w:abstractNum w:abstractNumId="65">
    <w:nsid w:val="75B52783"/>
    <w:multiLevelType w:val="hybridMultilevel"/>
    <w:lvl w:ilvl="0">
      <w:lvlJc w:val="left"/>
      <w:lvlText w:val="(%1)"/>
      <w:numFmt w:val="lowerLetter"/>
      <w:start w:val="9"/>
    </w:lvl>
  </w:abstractNum>
  <w:abstractNum w:abstractNumId="66">
    <w:nsid w:val="57CE66B4"/>
    <w:multiLevelType w:val="hybridMultilevel"/>
    <w:lvl w:ilvl="0">
      <w:lvlJc w:val="left"/>
      <w:lvlText w:val="(%1)"/>
      <w:numFmt w:val="upperLetter"/>
      <w:start w:val="1"/>
    </w:lvl>
    <w:lvl w:ilvl="1">
      <w:lvlJc w:val="left"/>
      <w:lvlText w:val="-"/>
      <w:numFmt w:val="bullet"/>
      <w:start w:val="1"/>
    </w:lvl>
  </w:abstractNum>
  <w:abstractNum w:abstractNumId="67">
    <w:nsid w:val="67A70B69"/>
    <w:multiLevelType w:val="hybridMultilevel"/>
    <w:lvl w:ilvl="0">
      <w:lvlJc w:val="left"/>
      <w:lvlText w:val="(%1)"/>
      <w:numFmt w:val="upperLetter"/>
      <w:start w:val="35"/>
    </w:lvl>
    <w:lvl w:ilvl="1">
      <w:lvlJc w:val="left"/>
      <w:lvlText w:val="-"/>
      <w:numFmt w:val="bullet"/>
      <w:start w:val="1"/>
    </w:lvl>
  </w:abstractNum>
  <w:abstractNum w:abstractNumId="68">
    <w:nsid w:val="5953172F"/>
    <w:multiLevelType w:val="hybridMultilevel"/>
    <w:lvl w:ilvl="0">
      <w:lvlJc w:val="left"/>
      <w:lvlText w:val="(%1)"/>
      <w:numFmt w:val="lowerLetter"/>
      <w:start w:val="1"/>
    </w:lvl>
  </w:abstractNum>
  <w:abstractNum w:abstractNumId="69">
    <w:nsid w:val="27EDFE3A"/>
    <w:multiLevelType w:val="hybridMultilevel"/>
    <w:lvl w:ilvl="0">
      <w:lvlJc w:val="left"/>
      <w:lvlText w:val="(%1)"/>
      <w:numFmt w:val="lowerLetter"/>
      <w:start w:val="5"/>
    </w:lvl>
  </w:abstractNum>
  <w:abstractNum w:abstractNumId="70">
    <w:nsid w:val="52AC7DFF"/>
    <w:multiLevelType w:val="hybridMultilevel"/>
    <w:lvl w:ilvl="0">
      <w:lvlJc w:val="left"/>
      <w:lvlText w:val="(%1)"/>
      <w:numFmt w:val="lowerRoman"/>
      <w:start w:val="1"/>
    </w:lvl>
  </w:abstractNum>
  <w:abstractNum w:abstractNumId="71">
    <w:nsid w:val="C4C3AF"/>
    <w:multiLevelType w:val="hybridMultilevel"/>
    <w:lvl w:ilvl="0">
      <w:lvlJc w:val="left"/>
      <w:lvlText w:val="(%1)"/>
      <w:numFmt w:val="lowerRoman"/>
      <w:start w:val="10"/>
    </w:lvl>
  </w:abstractNum>
  <w:abstractNum w:abstractNumId="72">
    <w:nsid w:val="44380727"/>
    <w:multiLevelType w:val="hybridMultilevel"/>
    <w:lvl w:ilvl="0">
      <w:lvlJc w:val="left"/>
      <w:lvlText w:val="(%1)"/>
      <w:numFmt w:val="lowerRoman"/>
      <w:start w:val="2"/>
    </w:lvl>
  </w:abstractNum>
  <w:abstractNum w:abstractNumId="73">
    <w:nsid w:val="6C053B16"/>
    <w:multiLevelType w:val="hybridMultilevel"/>
    <w:lvl w:ilvl="0">
      <w:lvlJc w:val="left"/>
      <w:lvlText w:val="(%1)"/>
      <w:numFmt w:val="lowerLetter"/>
      <w:start w:val="1"/>
    </w:lvl>
  </w:abstractNum>
  <w:abstractNum w:abstractNumId="74">
    <w:nsid w:val="4F294393"/>
    <w:multiLevelType w:val="hybridMultilevel"/>
    <w:lvl w:ilvl="0">
      <w:lvlJc w:val="left"/>
      <w:lvlText w:val="(%1)"/>
      <w:numFmt w:val="lowerRoman"/>
      <w:start w:val="1"/>
    </w:lvl>
  </w:abstractNum>
  <w:abstractNum w:abstractNumId="75">
    <w:nsid w:val="5243BFAC"/>
    <w:multiLevelType w:val="hybridMultilevel"/>
    <w:lvl w:ilvl="0">
      <w:lvlJc w:val="left"/>
      <w:lvlText w:val="(%1)"/>
      <w:numFmt w:val="lowerLetter"/>
      <w:start w:val="2"/>
    </w:lvl>
  </w:abstractNum>
  <w:abstractNum w:abstractNumId="76">
    <w:nsid w:val="425EB207"/>
    <w:multiLevelType w:val="hybridMultilevel"/>
    <w:lvl w:ilvl="0">
      <w:lvlJc w:val="left"/>
      <w:lvlText w:val="(%1)"/>
      <w:numFmt w:val="upperLetter"/>
      <w:start w:val="1"/>
    </w:lvl>
  </w:abstractNum>
  <w:abstractNum w:abstractNumId="77">
    <w:nsid w:val="334A6F1F"/>
    <w:multiLevelType w:val="hybridMultilevel"/>
    <w:lvl w:ilvl="0">
      <w:lvlJc w:val="left"/>
      <w:lvlText w:val="(%1)"/>
      <w:numFmt w:val="upperLetter"/>
      <w:start w:val="61"/>
    </w:lvl>
  </w:abstractNum>
  <w:abstractNum w:abstractNumId="78">
    <w:nsid w:val="2E5B12B8"/>
    <w:multiLevelType w:val="hybridMultilevel"/>
    <w:lvl w:ilvl="0">
      <w:lvlJc w:val="left"/>
      <w:lvlText w:val="(%1)"/>
      <w:numFmt w:val="lowerRoman"/>
      <w:start w:val="10"/>
    </w:lvl>
    <w:lvl w:ilvl="1">
      <w:lvlJc w:val="left"/>
      <w:lvlText w:val="-"/>
      <w:numFmt w:val="bullet"/>
      <w:start w:val="1"/>
    </w:lvl>
  </w:abstractNum>
  <w:abstractNum w:abstractNumId="79">
    <w:nsid w:val="5C03D76D"/>
    <w:multiLevelType w:val="hybridMultilevel"/>
    <w:lvl w:ilvl="0">
      <w:lvlJc w:val="left"/>
      <w:lvlText w:val="(%1)"/>
      <w:numFmt w:val="lowerRoman"/>
      <w:start w:val="10"/>
    </w:lvl>
  </w:abstractNum>
  <w:abstractNum w:abstractNumId="80">
    <w:nsid w:val="66A48D11"/>
    <w:multiLevelType w:val="hybridMultilevel"/>
    <w:lvl w:ilvl="0">
      <w:lvlJc w:val="left"/>
      <w:lvlText w:val="(%1)"/>
      <w:numFmt w:val="lowerRoman"/>
      <w:start w:val="1"/>
    </w:lvl>
  </w:abstractNum>
  <w:abstractNum w:abstractNumId="81">
    <w:nsid w:val="56C28E34"/>
    <w:multiLevelType w:val="hybridMultilevel"/>
    <w:lvl w:ilvl="0">
      <w:lvlJc w:val="left"/>
      <w:lvlText w:val="(%1)"/>
      <w:numFmt w:val="lowerLetter"/>
      <w:start w:val="2"/>
    </w:lvl>
    <w:lvl w:ilvl="1">
      <w:lvlJc w:val="left"/>
      <w:lvlText w:val="-"/>
      <w:numFmt w:val="bullet"/>
      <w:start w:val="1"/>
    </w:lvl>
  </w:abstractNum>
  <w:abstractNum w:abstractNumId="82">
    <w:nsid w:val="13916F2D"/>
    <w:multiLevelType w:val="hybridMultilevel"/>
    <w:lvl w:ilvl="0">
      <w:lvlJc w:val="left"/>
      <w:lvlText w:val="(%1)"/>
      <w:numFmt w:val="lowerLetter"/>
      <w:start w:val="1"/>
    </w:lvl>
  </w:abstractNum>
  <w:abstractNum w:abstractNumId="83">
    <w:nsid w:val="435D38D"/>
    <w:multiLevelType w:val="hybridMultilevel"/>
    <w:lvl w:ilvl="0">
      <w:lvlJc w:val="left"/>
      <w:lvlText w:val="(%1)"/>
      <w:numFmt w:val="lowerLetter"/>
      <w:start w:val="4"/>
    </w:lvl>
    <w:lvl w:ilvl="1">
      <w:lvlJc w:val="left"/>
      <w:lvlText w:val="-"/>
      <w:numFmt w:val="bullet"/>
      <w:start w:val="1"/>
    </w:lvl>
  </w:abstractNum>
  <w:abstractNum w:abstractNumId="84">
    <w:nsid w:val="822C0EF"/>
    <w:multiLevelType w:val="hybridMultilevel"/>
    <w:lvl w:ilvl="0">
      <w:lvlJc w:val="left"/>
      <w:lvlText w:val="(%1)"/>
      <w:numFmt w:val="lowerRoman"/>
      <w:start w:val="1"/>
    </w:lvl>
  </w:abstractNum>
  <w:abstractNum w:abstractNumId="85">
    <w:nsid w:val="57C5BB4F"/>
    <w:multiLevelType w:val="hybridMultilevel"/>
    <w:lvl w:ilvl="0">
      <w:lvlJc w:val="left"/>
      <w:lvlText w:val="(%1)"/>
      <w:numFmt w:val="lowerRoman"/>
      <w:start w:val="3"/>
    </w:lvl>
  </w:abstractNum>
  <w:abstractNum w:abstractNumId="86">
    <w:nsid w:val="1803D089"/>
    <w:multiLevelType w:val="hybridMultilevel"/>
    <w:lvl w:ilvl="0">
      <w:lvlJc w:val="left"/>
      <w:lvlText w:val="(%1)"/>
      <w:numFmt w:val="upperLetter"/>
      <w:start w:val="2"/>
    </w:lvl>
    <w:lvl w:ilvl="1">
      <w:lvlJc w:val="left"/>
      <w:lvlText w:val="-"/>
      <w:numFmt w:val="bullet"/>
      <w:start w:val="1"/>
    </w:lvl>
  </w:abstractNum>
  <w:abstractNum w:abstractNumId="87">
    <w:nsid w:val="4F3A06D4"/>
    <w:multiLevelType w:val="hybridMultilevel"/>
    <w:lvl w:ilvl="0">
      <w:lvlJc w:val="left"/>
      <w:lvlText w:val="(%1)"/>
      <w:numFmt w:val="upperLetter"/>
      <w:start w:val="2"/>
    </w:lvl>
  </w:abstractNum>
  <w:abstractNum w:abstractNumId="88">
    <w:nsid w:val="59A377B6"/>
    <w:multiLevelType w:val="hybridMultilevel"/>
    <w:lvl w:ilvl="0">
      <w:lvlJc w:val="left"/>
      <w:lvlText w:val="(%1)"/>
      <w:numFmt w:val="decimal"/>
      <w:start w:val="15"/>
    </w:lvl>
  </w:abstractNum>
  <w:abstractNum w:abstractNumId="89">
    <w:nsid w:val="48AEB063"/>
    <w:multiLevelType w:val="hybridMultilevel"/>
    <w:lvl w:ilvl="0">
      <w:lvlJc w:val="left"/>
      <w:lvlText w:val="(%1)"/>
      <w:numFmt w:val="lowerLetter"/>
      <w:start w:val="2"/>
    </w:lvl>
  </w:abstractNum>
  <w:abstractNum w:abstractNumId="90">
    <w:nsid w:val="24E135"/>
    <w:multiLevelType w:val="hybridMultilevel"/>
    <w:lvl w:ilvl="0">
      <w:lvlJc w:val="left"/>
      <w:lvlText w:val="(%1)"/>
      <w:numFmt w:val="lowerRoman"/>
      <w:start w:val="1"/>
    </w:lvl>
  </w:abstractNum>
  <w:abstractNum w:abstractNumId="91">
    <w:nsid w:val="BB13C1"/>
    <w:multiLevelType w:val="hybridMultilevel"/>
    <w:lvl w:ilvl="0">
      <w:lvlJc w:val="left"/>
      <w:lvlText w:val="(%1)"/>
      <w:numFmt w:val="lowerLetter"/>
      <w:start w:val="1"/>
    </w:lvl>
  </w:abstractNum>
  <w:abstractNum w:abstractNumId="92">
    <w:nsid w:val="271210C7"/>
    <w:multiLevelType w:val="hybridMultilevel"/>
    <w:lvl w:ilvl="0">
      <w:lvlJc w:val="left"/>
      <w:lvlText w:val="(%1)"/>
      <w:numFmt w:val="lowerLetter"/>
      <w:start w:val="1"/>
    </w:lvl>
  </w:abstractNum>
  <w:abstractNum w:abstractNumId="93">
    <w:nsid w:val="217B22E4"/>
    <w:multiLevelType w:val="hybridMultilevel"/>
    <w:lvl w:ilvl="0">
      <w:lvlJc w:val="left"/>
      <w:lvlText w:val="(%1)"/>
      <w:numFmt w:val="lowerLetter"/>
      <w:start w:val="1"/>
    </w:lvl>
  </w:abstractNum>
  <w:abstractNum w:abstractNumId="94">
    <w:nsid w:val="53E31A24"/>
    <w:multiLevelType w:val="hybridMultilevel"/>
    <w:lvl w:ilvl="0">
      <w:lvlJc w:val="left"/>
      <w:lvlText w:val="(%1)"/>
      <w:numFmt w:val="upperLetter"/>
      <w:start w:val="2"/>
    </w:lvl>
  </w:abstractNum>
  <w:abstractNum w:abstractNumId="95">
    <w:nsid w:val="6DC45E83"/>
    <w:multiLevelType w:val="hybridMultilevel"/>
    <w:lvl w:ilvl="0">
      <w:lvlJc w:val="left"/>
      <w:lvlText w:val="(%1)"/>
      <w:numFmt w:val="lowerLetter"/>
      <w:start w:val="1"/>
    </w:lvl>
  </w:abstractNum>
  <w:abstractNum w:abstractNumId="96">
    <w:nsid w:val="17304A67"/>
    <w:multiLevelType w:val="hybridMultilevel"/>
    <w:lvl w:ilvl="0">
      <w:lvlJc w:val="left"/>
      <w:lvlText w:val="(%1)"/>
      <w:numFmt w:val="lowerLetter"/>
      <w:start w:val="1"/>
    </w:lvl>
  </w:abstractNum>
  <w:abstractNum w:abstractNumId="97">
    <w:nsid w:val="2BB180D8"/>
    <w:multiLevelType w:val="hybridMultilevel"/>
    <w:lvl w:ilvl="0">
      <w:lvlJc w:val="left"/>
      <w:lvlText w:val="(%1)"/>
      <w:numFmt w:val="lowerRoman"/>
      <w:start w:val="6"/>
    </w:lvl>
  </w:abstractNum>
  <w:abstractNum w:abstractNumId="98">
    <w:nsid w:val="556B69ED"/>
    <w:multiLevelType w:val="hybridMultilevel"/>
    <w:lvl w:ilvl="0">
      <w:lvlJc w:val="left"/>
      <w:lvlText w:val="(%1)"/>
      <w:numFmt w:val="lowerLetter"/>
      <w:start w:val="5"/>
    </w:lvl>
    <w:lvl w:ilvl="1">
      <w:lvlJc w:val="left"/>
      <w:lvlText w:val="-"/>
      <w:numFmt w:val="bullet"/>
      <w:start w:val="1"/>
    </w:lvl>
  </w:abstractNum>
  <w:abstractNum w:abstractNumId="99">
    <w:nsid w:val="70836196"/>
    <w:multiLevelType w:val="hybridMultilevel"/>
    <w:lvl w:ilvl="0">
      <w:lvlJc w:val="left"/>
      <w:lvlText w:val="(%1)"/>
      <w:numFmt w:val="lowerRoman"/>
      <w:start w:val="1"/>
    </w:lvl>
  </w:abstractNum>
  <w:abstractNum w:abstractNumId="100">
    <w:nsid w:val="539F7F12"/>
    <w:multiLevelType w:val="hybridMultilevel"/>
    <w:lvl w:ilvl="0">
      <w:lvlJc w:val="left"/>
      <w:lvlText w:val="(%1)"/>
      <w:numFmt w:val="lowerLetter"/>
      <w:start w:val="3"/>
    </w:lvl>
    <w:lvl w:ilvl="1">
      <w:lvlJc w:val="left"/>
      <w:lvlText w:val="-"/>
      <w:numFmt w:val="bullet"/>
      <w:start w:val="1"/>
    </w:lvl>
  </w:abstractNum>
  <w:abstractNum w:abstractNumId="101">
    <w:nsid w:val="2817E7EC"/>
    <w:multiLevelType w:val="hybridMultilevel"/>
    <w:lvl w:ilvl="0">
      <w:lvlJc w:val="left"/>
      <w:lvlText w:val="(%1)"/>
      <w:numFmt w:val="lowerLetter"/>
      <w:start w:val="3"/>
    </w:lvl>
    <w:lvl w:ilvl="1">
      <w:lvlJc w:val="left"/>
      <w:lvlText w:val="-"/>
      <w:numFmt w:val="bullet"/>
      <w:start w:val="1"/>
    </w:lvl>
  </w:abstractNum>
  <w:abstractNum w:abstractNumId="102">
    <w:nsid w:val="71482545"/>
    <w:multiLevelType w:val="hybridMultilevel"/>
    <w:lvl w:ilvl="0">
      <w:lvlJc w:val="left"/>
      <w:lvlText w:val="(%1)"/>
      <w:numFmt w:val="lowerLetter"/>
      <w:start w:val="3"/>
    </w:lvl>
  </w:abstractNum>
  <w:abstractNum w:abstractNumId="103">
    <w:nsid w:val="17D78639"/>
    <w:multiLevelType w:val="hybridMultilevel"/>
    <w:lvl w:ilvl="0">
      <w:lvlJc w:val="left"/>
      <w:lvlText w:val="(%1)"/>
      <w:numFmt w:val="lowerLetter"/>
      <w:start w:val="5"/>
    </w:lvl>
    <w:lvl w:ilvl="1">
      <w:lvlJc w:val="left"/>
      <w:lvlText w:val="-"/>
      <w:numFmt w:val="bullet"/>
      <w:start w:val="1"/>
    </w:lvl>
  </w:abstractNum>
  <w:abstractNum w:abstractNumId="104">
    <w:nsid w:val="141D2302"/>
    <w:multiLevelType w:val="hybridMultilevel"/>
    <w:lvl w:ilvl="0">
      <w:lvlJc w:val="left"/>
      <w:lvlText w:val="(%1)"/>
      <w:numFmt w:val="lowerLetter"/>
      <w:start w:val="35"/>
    </w:lvl>
    <w:lvl w:ilvl="1">
      <w:lvlJc w:val="left"/>
      <w:lvlText w:val="-"/>
      <w:numFmt w:val="bullet"/>
      <w:start w:val="1"/>
    </w:lvl>
  </w:abstractNum>
  <w:abstractNum w:abstractNumId="105">
    <w:nsid w:val="407168D8"/>
    <w:multiLevelType w:val="hybridMultilevel"/>
    <w:lvl w:ilvl="0">
      <w:lvlJc w:val="left"/>
      <w:lvlText w:val="(%1)"/>
      <w:numFmt w:val="lowerLetter"/>
      <w:start w:val="13"/>
    </w:lvl>
  </w:abstractNum>
  <w:abstractNum w:abstractNumId="106">
    <w:nsid w:val="6A1B45E5"/>
    <w:multiLevelType w:val="hybridMultilevel"/>
    <w:lvl w:ilvl="0">
      <w:lvlJc w:val="left"/>
      <w:lvlText w:val="(%1)"/>
      <w:numFmt w:val="lowerLetter"/>
      <w:start w:val="3"/>
    </w:lvl>
    <w:lvl w:ilvl="1">
      <w:lvlJc w:val="left"/>
      <w:lvlText w:val="-"/>
      <w:numFmt w:val="bullet"/>
      <w:start w:val="1"/>
    </w:lvl>
  </w:abstractNum>
  <w:abstractNum w:abstractNumId="107">
    <w:nsid w:val="567BD50A"/>
    <w:multiLevelType w:val="hybridMultilevel"/>
    <w:lvl w:ilvl="0">
      <w:lvlJc w:val="left"/>
      <w:lvlText w:val="-"/>
      <w:numFmt w:val="bullet"/>
      <w:start w:val="1"/>
    </w:lvl>
    <w:lvl w:ilvl="1">
      <w:lvlJc w:val="left"/>
      <w:lvlText w:val="(%2)"/>
      <w:numFmt w:val="lowerLetter"/>
      <w:start w:val="1"/>
    </w:lvl>
  </w:abstractNum>
  <w:abstractNum w:abstractNumId="108">
    <w:nsid w:val="73BBD7F8"/>
    <w:multiLevelType w:val="hybridMultilevel"/>
    <w:lvl w:ilvl="0">
      <w:lvlJc w:val="left"/>
      <w:lvlText w:val="(%1)"/>
      <w:numFmt w:val="lowerLetter"/>
      <w:start w:val="2"/>
    </w:lvl>
  </w:abstractNum>
  <w:abstractNum w:abstractNumId="109">
    <w:nsid w:val="1876589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0">
    <w:nsid w:val="327FAC77"/>
    <w:multiLevelType w:val="hybridMultilevel"/>
    <w:lvl w:ilvl="0">
      <w:lvlJc w:val="left"/>
      <w:lvlText w:val="(%1)"/>
      <w:numFmt w:val="lowerLetter"/>
      <w:start w:val="2"/>
    </w:lvl>
  </w:abstractNum>
  <w:abstractNum w:abstractNumId="111">
    <w:nsid w:val="5A606509"/>
    <w:multiLevelType w:val="hybridMultilevel"/>
    <w:lvl w:ilvl="0">
      <w:lvlJc w:val="left"/>
      <w:lvlText w:val="(%1)"/>
      <w:numFmt w:val="decimal"/>
      <w:start w:val="3"/>
    </w:lvl>
  </w:abstractNum>
  <w:abstractNum w:abstractNumId="112">
    <w:nsid w:val="6F38E6D1"/>
    <w:multiLevelType w:val="hybridMultilevel"/>
    <w:lvl w:ilvl="0">
      <w:lvlJc w:val="left"/>
      <w:lvlText w:val="-"/>
      <w:numFmt w:val="bullet"/>
      <w:start w:val="1"/>
    </w:lvl>
    <w:lvl w:ilvl="1">
      <w:lvlJc w:val="left"/>
      <w:lvlText w:val="(%2)"/>
      <w:numFmt w:val="lowerLetter"/>
      <w:start w:val="1"/>
    </w:lvl>
  </w:abstractNum>
  <w:abstractNum w:abstractNumId="113">
    <w:nsid w:val="46111BA5"/>
    <w:multiLevelType w:val="hybridMultilevel"/>
    <w:lvl w:ilvl="0">
      <w:lvlJc w:val="left"/>
      <w:lvlText w:val="-"/>
      <w:numFmt w:val="bullet"/>
      <w:start w:val="1"/>
    </w:lvl>
    <w:lvl w:ilvl="1">
      <w:lvlJc w:val="left"/>
      <w:lvlText w:val="(%2)"/>
      <w:numFmt w:val="lowerLetter"/>
      <w:start w:val="1"/>
    </w:lvl>
  </w:abstractNum>
  <w:abstractNum w:abstractNumId="114">
    <w:nsid w:val="5E963896"/>
    <w:multiLevelType w:val="hybridMultilevel"/>
    <w:lvl w:ilvl="0">
      <w:lvlJc w:val="left"/>
      <w:lvlText w:val="(%1)"/>
      <w:numFmt w:val="lowerLetter"/>
      <w:start w:val="5"/>
    </w:lvl>
  </w:abstractNum>
  <w:abstractNum w:abstractNumId="115">
    <w:nsid w:val="775BA7C1"/>
    <w:multiLevelType w:val="hybridMultilevel"/>
    <w:lvl w:ilvl="0">
      <w:lvlJc w:val="left"/>
      <w:lvlText w:val="-"/>
      <w:numFmt w:val="bullet"/>
      <w:start w:val="1"/>
    </w:lvl>
    <w:lvl w:ilvl="1">
      <w:lvlJc w:val="left"/>
      <w:lvlText w:val="(%2)"/>
      <w:numFmt w:val="lowerLetter"/>
      <w:start w:val="1"/>
    </w:lvl>
  </w:abstractNum>
  <w:abstractNum w:abstractNumId="116">
    <w:nsid w:val="1DD6D6F4"/>
    <w:multiLevelType w:val="hybridMultilevel"/>
    <w:lvl w:ilvl="0">
      <w:lvlJc w:val="left"/>
      <w:lvlText w:val="(%1)"/>
      <w:numFmt w:val="lowerLetter"/>
      <w:start w:val="2"/>
    </w:lvl>
  </w:abstractNum>
  <w:abstractNum w:abstractNumId="117">
    <w:nsid w:val="769A091F"/>
    <w:multiLevelType w:val="hybridMultilevel"/>
    <w:lvl w:ilvl="0">
      <w:lvlJc w:val="left"/>
      <w:lvlText w:val="-"/>
      <w:numFmt w:val="bullet"/>
      <w:start w:val="1"/>
    </w:lvl>
    <w:lvl w:ilvl="1">
      <w:lvlJc w:val="left"/>
      <w:lvlText w:val="(%2)"/>
      <w:numFmt w:val="lowerLetter"/>
      <w:start w:val="1"/>
    </w:lvl>
  </w:abstractNum>
  <w:abstractNum w:abstractNumId="118">
    <w:nsid w:val="4695AE95"/>
    <w:multiLevelType w:val="hybridMultilevel"/>
    <w:lvl w:ilvl="0">
      <w:lvlJc w:val="left"/>
      <w:lvlText w:val="(%1)"/>
      <w:numFmt w:val="lowerLetter"/>
      <w:start w:val="2"/>
    </w:lvl>
  </w:abstractNum>
  <w:abstractNum w:abstractNumId="119">
    <w:nsid w:val="777A4EAA"/>
    <w:multiLevelType w:val="hybridMultilevel"/>
    <w:lvl w:ilvl="0">
      <w:lvlJc w:val="left"/>
      <w:lvlText w:val="(%1)"/>
      <w:numFmt w:val="lowerLetter"/>
      <w:start w:val="1"/>
    </w:lvl>
  </w:abstractNum>
  <w:abstractNum w:abstractNumId="120">
    <w:nsid w:val="3F48B982"/>
    <w:multiLevelType w:val="hybridMultilevel"/>
    <w:lvl w:ilvl="0">
      <w:lvlJc w:val="left"/>
      <w:lvlText w:val="-"/>
      <w:numFmt w:val="bullet"/>
      <w:start w:val="1"/>
    </w:lvl>
    <w:lvl w:ilvl="1">
      <w:lvlJc w:val="left"/>
      <w:lvlText w:val="(%2)"/>
      <w:numFmt w:val="lowerLetter"/>
      <w:start w:val="1"/>
    </w:lvl>
  </w:abstractNum>
  <w:abstractNum w:abstractNumId="121">
    <w:nsid w:val="46BA8FCA"/>
    <w:multiLevelType w:val="hybridMultilevel"/>
    <w:lvl w:ilvl="0">
      <w:lvlJc w:val="left"/>
      <w:lvlText w:val="-"/>
      <w:numFmt w:val="bullet"/>
      <w:start w:val="1"/>
    </w:lvl>
    <w:lvl w:ilvl="1">
      <w:lvlJc w:val="left"/>
      <w:lvlText w:val="(%2)"/>
      <w:numFmt w:val="lowerLetter"/>
      <w:start w:val="1"/>
    </w:lvl>
  </w:abstractNum>
  <w:abstractNum w:abstractNumId="122">
    <w:nsid w:val="7835626C"/>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23">
    <w:nsid w:val="665ACA49"/>
    <w:multiLevelType w:val="hybridMultilevel"/>
    <w:lvl w:ilvl="0">
      <w:lvlJc w:val="left"/>
      <w:lvlText w:val="(%1)"/>
      <w:numFmt w:val="upperLetter"/>
      <w:start w:val="35"/>
    </w:lvl>
  </w:abstractNum>
  <w:abstractNum w:abstractNumId="124">
    <w:nsid w:val="6835B2AE"/>
    <w:multiLevelType w:val="hybridMultilevel"/>
    <w:lvl w:ilvl="0">
      <w:lvlJc w:val="left"/>
      <w:lvlText w:val="(%1)"/>
      <w:numFmt w:val="upperLetter"/>
      <w:start w:val="61"/>
    </w:lvl>
  </w:abstractNum>
  <w:abstractNum w:abstractNumId="125">
    <w:nsid w:val="4C187C90"/>
    <w:multiLevelType w:val="hybridMultilevel"/>
    <w:lvl w:ilvl="0">
      <w:lvlJc w:val="left"/>
      <w:lvlText w:val="(%1)"/>
      <w:numFmt w:val="upperLetter"/>
      <w:start w:val="3"/>
    </w:lvl>
  </w:abstractNum>
  <w:abstractNum w:abstractNumId="126">
    <w:nsid w:val="541F28CD"/>
    <w:multiLevelType w:val="hybridMultilevel"/>
    <w:lvl w:ilvl="0">
      <w:lvlJc w:val="left"/>
      <w:lvlText w:val="-"/>
      <w:numFmt w:val="bullet"/>
      <w:start w:val="1"/>
    </w:lvl>
    <w:lvl w:ilvl="1">
      <w:lvlJc w:val="left"/>
      <w:lvlText w:val="(%2)"/>
      <w:numFmt w:val="lowerLetter"/>
      <w:start w:val="8"/>
    </w:lvl>
  </w:abstractNum>
  <w:abstractNum w:abstractNumId="127">
    <w:nsid w:val="7F65FD16"/>
    <w:multiLevelType w:val="hybridMultilevel"/>
    <w:lvl w:ilvl="0">
      <w:lvlJc w:val="left"/>
      <w:lvlText w:val="(%1)"/>
      <w:numFmt w:val="lowerRoman"/>
      <w:start w:val="1"/>
    </w:lvl>
  </w:abstractNum>
  <w:abstractNum w:abstractNumId="128">
    <w:nsid w:val="77C9FD68"/>
    <w:multiLevelType w:val="hybridMultilevel"/>
    <w:lvl w:ilvl="0">
      <w:lvlJc w:val="left"/>
      <w:lvlText w:val="-"/>
      <w:numFmt w:val="bullet"/>
      <w:start w:val="1"/>
    </w:lvl>
    <w:lvl w:ilvl="1">
      <w:lvlJc w:val="left"/>
      <w:lvlText w:val="(%2)"/>
      <w:numFmt w:val="lowerLetter"/>
      <w:start w:val="1"/>
    </w:lvl>
  </w:abstractNum>
  <w:abstractNum w:abstractNumId="129">
    <w:nsid w:val="298A92BA"/>
    <w:multiLevelType w:val="hybridMultilevel"/>
    <w:lvl w:ilvl="0">
      <w:lvlJc w:val="left"/>
      <w:lvlText w:val="%1"/>
      <w:numFmt w:val="lowerLetter"/>
      <w:start w:val="1"/>
    </w:lvl>
    <w:lvl w:ilvl="1">
      <w:lvlJc w:val="left"/>
      <w:lvlText w:val="(%2)"/>
      <w:numFmt w:val="lowerLetter"/>
      <w:start w:val="3"/>
    </w:lvl>
  </w:abstractNum>
  <w:abstractNum w:abstractNumId="130">
    <w:nsid w:val="6FE95EAC"/>
    <w:multiLevelType w:val="hybridMultilevel"/>
    <w:lvl w:ilvl="0">
      <w:lvlJc w:val="left"/>
      <w:lvlText w:val="(%1)"/>
      <w:numFmt w:val="lowerLetter"/>
      <w:start w:val="1"/>
    </w:lvl>
    <w:lvl w:ilvl="1">
      <w:lvlJc w:val="left"/>
      <w:lvlText w:val="%2"/>
      <w:numFmt w:val="lowerLetter"/>
      <w:start w:val="1"/>
    </w:lvl>
  </w:abstractNum>
  <w:abstractNum w:abstractNumId="131">
    <w:nsid w:val="4B697C7A"/>
    <w:multiLevelType w:val="hybridMultilevel"/>
    <w:lvl w:ilvl="0">
      <w:lvlJc w:val="left"/>
      <w:lvlText w:val="(%1)"/>
      <w:numFmt w:val="lowerLetter"/>
      <w:start w:val="4"/>
    </w:lvl>
  </w:abstractNum>
  <w:abstractNum w:abstractNumId="132">
    <w:nsid w:val="51A27AA6"/>
    <w:multiLevelType w:val="hybridMultilevel"/>
    <w:lvl w:ilvl="0">
      <w:lvlJc w:val="left"/>
      <w:lvlText w:val="(%1)"/>
      <w:numFmt w:val="lowerLetter"/>
      <w:start w:val="1"/>
    </w:lvl>
    <w:lvl w:ilvl="1">
      <w:lvlJc w:val="left"/>
      <w:lvlText w:val="(%2)"/>
      <w:numFmt w:val="lowerRoman"/>
      <w:start w:val="1"/>
    </w:lvl>
  </w:abstractNum>
  <w:abstractNum w:abstractNumId="133">
    <w:nsid w:val="613183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4">
    <w:nsid w:val="634102B4"/>
    <w:multiLevelType w:val="hybridMultilevel"/>
    <w:lvl w:ilvl="0">
      <w:lvlJc w:val="left"/>
      <w:lvlText w:val="(%1)"/>
      <w:numFmt w:val="lowerRoman"/>
      <w:start w:val="5"/>
    </w:lvl>
  </w:abstractNum>
  <w:abstractNum w:abstractNumId="135">
    <w:nsid w:val="65BF9DA8"/>
    <w:multiLevelType w:val="hybridMultilevel"/>
    <w:lvl w:ilvl="0">
      <w:lvlJc w:val="left"/>
      <w:lvlText w:val="(%1)"/>
      <w:numFmt w:val="lowerLetter"/>
      <w:start w:val="1"/>
    </w:lvl>
  </w:abstractNum>
  <w:abstractNum w:abstractNumId="136">
    <w:nsid w:val="21A2ECCA"/>
    <w:multiLevelType w:val="hybridMultilevel"/>
    <w:lvl w:ilvl="0">
      <w:lvlJc w:val="left"/>
      <w:lvlText w:val="(%1)"/>
      <w:numFmt w:val="lowerRoman"/>
      <w:start w:val="1"/>
    </w:lvl>
  </w:abstractNum>
  <w:abstractNum w:abstractNumId="137">
    <w:nsid w:val="4D5C4899"/>
    <w:multiLevelType w:val="hybridMultilevel"/>
    <w:lvl w:ilvl="0">
      <w:lvlJc w:val="left"/>
      <w:lvlText w:val="(%1)"/>
      <w:numFmt w:val="lowerLetter"/>
      <w:start w:val="1"/>
    </w:lvl>
  </w:abstractNum>
  <w:abstractNum w:abstractNumId="138">
    <w:nsid w:val="3C3B72B2"/>
    <w:multiLevelType w:val="hybridMultilevel"/>
    <w:lvl w:ilvl="0">
      <w:lvlJc w:val="left"/>
      <w:lvlText w:val="%1"/>
      <w:numFmt w:val="lowerLetter"/>
      <w:start w:val="1"/>
    </w:lvl>
    <w:lvl w:ilvl="1">
      <w:lvlJc w:val="left"/>
      <w:lvlText w:val="(%2)"/>
      <w:numFmt w:val="lowerRoman"/>
      <w:start w:val="1"/>
    </w:lvl>
  </w:abstractNum>
  <w:abstractNum w:abstractNumId="139">
    <w:nsid w:val="155EC4C2"/>
    <w:multiLevelType w:val="hybridMultilevel"/>
    <w:lvl w:ilvl="0">
      <w:lvlJc w:val="left"/>
      <w:lvlText w:val="(%1)"/>
      <w:numFmt w:val="lowerLetter"/>
      <w:start w:val="2"/>
    </w:lvl>
    <w:lvl w:ilvl="1">
      <w:lvlJc w:val="left"/>
      <w:lvlText w:val="(%2)"/>
      <w:numFmt w:val="lowerRoman"/>
      <w:start w:val="1"/>
    </w:lvl>
  </w:abstractNum>
  <w:abstractNum w:abstractNumId="140">
    <w:nsid w:val="65D2A137"/>
    <w:multiLevelType w:val="hybridMultilevel"/>
    <w:lvl w:ilvl="0">
      <w:lvlJc w:val="left"/>
      <w:lvlText w:val="%1"/>
      <w:numFmt w:val="upperLetter"/>
      <w:start w:val="1"/>
    </w:lvl>
    <w:lvl w:ilvl="1">
      <w:lvlJc w:val="left"/>
      <w:lvlText w:val="(%2)"/>
      <w:numFmt w:val="lowerRoman"/>
      <w:start w:val="2"/>
    </w:lvl>
  </w:abstractNum>
  <w:abstractNum w:abstractNumId="141">
    <w:nsid w:val="6EBB1F2A"/>
    <w:multiLevelType w:val="hybridMultilevel"/>
    <w:lvl w:ilvl="0">
      <w:lvlJc w:val="left"/>
      <w:lvlText w:val="(%1)"/>
      <w:numFmt w:val="upperLetter"/>
      <w:start w:val="2"/>
    </w:lvl>
    <w:lvl w:ilvl="1">
      <w:lvlJc w:val="left"/>
      <w:lvlText w:val="(%2)"/>
      <w:numFmt w:val="lowerRoman"/>
      <w:start w:val="4"/>
    </w:lvl>
  </w:abstractNum>
  <w:abstractNum w:abstractNumId="142">
    <w:nsid w:val="6FBF29CB"/>
    <w:multiLevelType w:val="hybridMultilevel"/>
    <w:lvl w:ilvl="0">
      <w:lvlJc w:val="left"/>
      <w:lvlText w:val="(%1)"/>
      <w:numFmt w:val="lowerLetter"/>
      <w:start w:val="3"/>
    </w:lvl>
    <w:lvl w:ilvl="1">
      <w:lvlJc w:val="left"/>
      <w:lvlText w:val="-"/>
      <w:numFmt w:val="bullet"/>
      <w:start w:val="1"/>
    </w:lvl>
  </w:abstractNum>
  <w:abstractNum w:abstractNumId="143">
    <w:nsid w:val="550B8808"/>
    <w:multiLevelType w:val="hybridMultilevel"/>
    <w:lvl w:ilvl="0">
      <w:lvlJc w:val="left"/>
      <w:lvlText w:val="-"/>
      <w:numFmt w:val="bullet"/>
      <w:start w:val="1"/>
    </w:lvl>
    <w:lvl w:ilvl="1">
      <w:lvlJc w:val="left"/>
      <w:lvlText w:val="(%2)"/>
      <w:numFmt w:val="lowerLetter"/>
      <w:start w:val="1"/>
    </w:lvl>
  </w:abstractNum>
  <w:abstractNum w:abstractNumId="144">
    <w:nsid w:val="34CC3ACF"/>
    <w:multiLevelType w:val="hybridMultilevel"/>
    <w:lvl w:ilvl="0">
      <w:lvlJc w:val="left"/>
      <w:lvlText w:val="-"/>
      <w:numFmt w:val="bullet"/>
      <w:start w:val="1"/>
    </w:lvl>
    <w:lvl w:ilvl="1">
      <w:lvlJc w:val="left"/>
      <w:lvlText w:val="(%2)"/>
      <w:numFmt w:val="lowerLetter"/>
      <w:start w:val="4"/>
    </w:lvl>
  </w:abstractNum>
  <w:abstractNum w:abstractNumId="145">
    <w:nsid w:val="4E556261"/>
    <w:multiLevelType w:val="hybridMultilevel"/>
    <w:lvl w:ilvl="0">
      <w:lvlJc w:val="left"/>
      <w:lvlText w:val="-"/>
      <w:numFmt w:val="bullet"/>
      <w:start w:val="1"/>
    </w:lvl>
    <w:lvl w:ilvl="1">
      <w:lvlJc w:val="left"/>
      <w:lvlText w:val="(%2)"/>
      <w:numFmt w:val="lowerLetter"/>
      <w:start w:val="11"/>
    </w:lvl>
    <w:lvl w:ilvl="2">
      <w:lvlJc w:val="left"/>
      <w:lvlText w:val="(%3)"/>
      <w:numFmt w:val="lowerRoman"/>
      <w:start w:val="1"/>
    </w:lvl>
  </w:abstractNum>
  <w:abstractNum w:abstractNumId="146">
    <w:nsid w:val="4C672FC9"/>
    <w:multiLevelType w:val="hybridMultilevel"/>
    <w:lvl w:ilvl="0">
      <w:lvlJc w:val="left"/>
      <w:lvlText w:val="-"/>
      <w:numFmt w:val="bullet"/>
      <w:start w:val="1"/>
    </w:lvl>
    <w:lvl w:ilvl="1">
      <w:lvlJc w:val="left"/>
      <w:lvlText w:val="(%2)"/>
      <w:numFmt w:val="lowerLetter"/>
      <w:start w:val="14"/>
    </w:lvl>
  </w:abstractNum>
  <w:abstractNum w:abstractNumId="147">
    <w:nsid w:val="52A311C3"/>
    <w:multiLevelType w:val="hybridMultilevel"/>
    <w:lvl w:ilvl="0">
      <w:lvlJc w:val="left"/>
      <w:lvlText w:val="-"/>
      <w:numFmt w:val="bullet"/>
      <w:start w:val="1"/>
    </w:lvl>
    <w:lvl w:ilvl="1">
      <w:lvlJc w:val="left"/>
      <w:lvlText w:val="(%2)"/>
      <w:numFmt w:val="lowerLetter"/>
      <w:start w:val="19"/>
    </w:lvl>
  </w:abstractNum>
  <w:abstractNum w:abstractNumId="148">
    <w:nsid w:val="44EF6B80"/>
    <w:multiLevelType w:val="hybridMultilevel"/>
    <w:lvl w:ilvl="0">
      <w:lvlJc w:val="left"/>
      <w:lvlText w:val="%1"/>
      <w:numFmt w:val="lowerRoman"/>
      <w:start w:val="1"/>
    </w:lvl>
    <w:lvl w:ilvl="1">
      <w:lvlJc w:val="left"/>
      <w:lvlText w:val="(%2)"/>
      <w:numFmt w:val="lowerRoman"/>
      <w:start w:val="10"/>
    </w:lvl>
  </w:abstractNum>
  <w:abstractNum w:abstractNumId="149">
    <w:nsid w:val="12FCDE5E"/>
    <w:multiLevelType w:val="hybridMultilevel"/>
    <w:lvl w:ilvl="0">
      <w:lvlJc w:val="left"/>
      <w:lvlText w:val="(%1)"/>
      <w:numFmt w:val="lowerRoman"/>
      <w:start w:val="3"/>
    </w:lvl>
    <w:lvl w:ilvl="1">
      <w:lvlJc w:val="left"/>
      <w:lvlText w:val="%2"/>
      <w:numFmt w:val="lowerRoman"/>
      <w:start w:val="1"/>
    </w:lvl>
  </w:abstractNum>
  <w:abstractNum w:abstractNumId="150">
    <w:nsid w:val="4A1D606E"/>
    <w:multiLevelType w:val="hybridMultilevel"/>
    <w:lvl w:ilvl="0">
      <w:lvlJc w:val="left"/>
      <w:lvlText w:val="(%1)"/>
      <w:numFmt w:val="lowerLetter"/>
      <w:start w:val="25"/>
    </w:lvl>
  </w:abstractNum>
  <w:abstractNum w:abstractNumId="151">
    <w:nsid w:val="4382503"/>
    <w:multiLevelType w:val="hybridMultilevel"/>
    <w:lvl w:ilvl="0">
      <w:lvlJc w:val="left"/>
      <w:lvlText w:val="(%1)"/>
      <w:numFmt w:val="lowerLetter"/>
      <w:start w:val="27"/>
    </w:lvl>
  </w:abstractNum>
  <w:abstractNum w:abstractNumId="152">
    <w:nsid w:val="59B76E28"/>
    <w:multiLevelType w:val="hybridMultilevel"/>
    <w:lvl w:ilvl="0">
      <w:lvlJc w:val="left"/>
      <w:lvlText w:val="(%1)"/>
      <w:numFmt w:val="lowerLetter"/>
      <w:start w:val="25"/>
    </w:lvl>
    <w:lvl w:ilvl="1">
      <w:lvlJc w:val="left"/>
      <w:lvlText w:val="-"/>
      <w:numFmt w:val="bullet"/>
      <w:start w:val="1"/>
    </w:lvl>
  </w:abstractNum>
  <w:abstractNum w:abstractNumId="153">
    <w:nsid w:val="4252C2DA"/>
    <w:multiLevelType w:val="hybridMultilevel"/>
    <w:lvl w:ilvl="0">
      <w:lvlJc w:val="left"/>
      <w:lvlText w:val="-"/>
      <w:numFmt w:val="bullet"/>
      <w:start w:val="1"/>
    </w:lvl>
    <w:lvl w:ilvl="1">
      <w:lvlJc w:val="left"/>
      <w:lvlText w:val="(%2)"/>
      <w:numFmt w:val="lowerLetter"/>
      <w:start w:val="1"/>
    </w:lvl>
  </w:abstractNum>
  <w:abstractNum w:abstractNumId="154">
    <w:nsid w:val="6A92EF4C"/>
    <w:multiLevelType w:val="hybridMultilevel"/>
    <w:lvl w:ilvl="0">
      <w:lvlJc w:val="left"/>
      <w:lvlText w:val="(%1)"/>
      <w:numFmt w:val="lowerLetter"/>
      <w:start w:val="12"/>
    </w:lvl>
  </w:abstractNum>
  <w:abstractNum w:abstractNumId="155">
    <w:nsid w:val="41ED20D7"/>
    <w:multiLevelType w:val="hybridMultilevel"/>
    <w:lvl w:ilvl="0">
      <w:lvlJc w:val="left"/>
      <w:lvlText w:val="-"/>
      <w:numFmt w:val="bullet"/>
      <w:start w:val="1"/>
    </w:lvl>
    <w:lvl w:ilvl="1">
      <w:lvlJc w:val="left"/>
      <w:lvlText w:val="(%2)"/>
      <w:numFmt w:val="lowerLetter"/>
      <w:start w:val="1"/>
    </w:lvl>
  </w:abstractNum>
  <w:abstractNum w:abstractNumId="156">
    <w:nsid w:val="E6B3F6A"/>
    <w:multiLevelType w:val="hybridMultilevel"/>
    <w:lvl w:ilvl="0">
      <w:lvlJc w:val="left"/>
      <w:lvlText w:val="(%1)"/>
      <w:numFmt w:val="lowerLetter"/>
      <w:start w:val="2"/>
    </w:lvl>
  </w:abstractNum>
  <w:abstractNum w:abstractNumId="157">
    <w:nsid w:val="3EB21819"/>
    <w:multiLevelType w:val="hybridMultilevel"/>
    <w:lvl w:ilvl="0">
      <w:lvlJc w:val="left"/>
      <w:lvlText w:val="-"/>
      <w:numFmt w:val="bullet"/>
      <w:start w:val="1"/>
    </w:lvl>
    <w:lvl w:ilvl="1">
      <w:lvlJc w:val="left"/>
      <w:lvlText w:val="(%2)"/>
      <w:numFmt w:val="lowerLetter"/>
      <w:start w:val="1"/>
    </w:lvl>
  </w:abstractNum>
  <w:abstractNum w:abstractNumId="158">
    <w:nsid w:val="41531DED"/>
    <w:multiLevelType w:val="hybridMultilevel"/>
    <w:lvl w:ilvl="0">
      <w:lvlJc w:val="left"/>
      <w:lvlText w:val="(%1)"/>
      <w:numFmt w:val="lowerLetter"/>
      <w:start w:val="2"/>
    </w:lvl>
  </w:abstractNum>
  <w:abstractNum w:abstractNumId="159">
    <w:nsid w:val="6353CD2"/>
    <w:multiLevelType w:val="hybridMultilevel"/>
    <w:lvl w:ilvl="0">
      <w:lvlJc w:val="left"/>
      <w:lvlText w:val="(%1)"/>
      <w:numFmt w:val="lowerLetter"/>
      <w:start w:val="7"/>
    </w:lvl>
  </w:abstractNum>
  <w:abstractNum w:abstractNumId="160">
    <w:nsid w:val="683CAAD3"/>
    <w:multiLevelType w:val="hybridMultilevel"/>
    <w:lvl w:ilvl="0">
      <w:lvlJc w:val="left"/>
      <w:lvlText w:val="(%1)"/>
      <w:numFmt w:val="lowerLetter"/>
      <w:start w:val="8"/>
    </w:lvl>
  </w:abstractNum>
  <w:abstractNum w:abstractNumId="161">
    <w:nsid w:val="313C7C99"/>
    <w:multiLevelType w:val="hybridMultilevel"/>
    <w:lvl w:ilvl="0">
      <w:lvlJc w:val="left"/>
      <w:lvlText w:val="(%1)"/>
      <w:numFmt w:val="lowerLetter"/>
      <w:start w:val="1"/>
    </w:lvl>
  </w:abstractNum>
  <w:abstractNum w:abstractNumId="162">
    <w:nsid w:val="519EB94C"/>
    <w:multiLevelType w:val="hybridMultilevel"/>
    <w:lvl w:ilvl="0">
      <w:lvlJc w:val="left"/>
      <w:lvlText w:val="-"/>
      <w:numFmt w:val="bullet"/>
      <w:start w:val="1"/>
    </w:lvl>
    <w:lvl w:ilvl="1">
      <w:lvlJc w:val="left"/>
      <w:lvlText w:val="(%2)"/>
      <w:numFmt w:val="lowerLetter"/>
      <w:start w:val="1"/>
    </w:lvl>
  </w:abstractNum>
  <w:abstractNum w:abstractNumId="163">
    <w:nsid w:val="39DF2579"/>
    <w:multiLevelType w:val="hybridMultilevel"/>
    <w:lvl w:ilvl="0">
      <w:lvlJc w:val="left"/>
      <w:lvlText w:val="(%1)"/>
      <w:numFmt w:val="lowerLetter"/>
      <w:start w:val="4"/>
    </w:lvl>
  </w:abstractNum>
  <w:abstractNum w:abstractNumId="164">
    <w:nsid w:val="126E008B"/>
    <w:multiLevelType w:val="hybridMultilevel"/>
    <w:lvl w:ilvl="0">
      <w:lvlJc w:val="left"/>
      <w:lvlText w:val="-"/>
      <w:numFmt w:val="bullet"/>
      <w:start w:val="1"/>
    </w:lvl>
    <w:lvl w:ilvl="1">
      <w:lvlJc w:val="left"/>
      <w:lvlText w:val="(%2)"/>
      <w:numFmt w:val="lowerLetter"/>
      <w:start w:val="1"/>
    </w:lvl>
  </w:abstractNum>
  <w:abstractNum w:abstractNumId="165">
    <w:nsid w:val="34DFBC00"/>
    <w:multiLevelType w:val="hybridMultilevel"/>
    <w:lvl w:ilvl="0">
      <w:lvlJc w:val="left"/>
      <w:lvlText w:val="(%1)"/>
      <w:numFmt w:val="lowerLetter"/>
      <w:start w:val="2"/>
    </w:lvl>
  </w:abstractNum>
  <w:abstractNum w:abstractNumId="166">
    <w:nsid w:val="1F9EC322"/>
    <w:multiLevelType w:val="hybridMultilevel"/>
    <w:lvl w:ilvl="0">
      <w:lvlJc w:val="left"/>
      <w:lvlText w:val="(%1)"/>
      <w:numFmt w:val="lowerLetter"/>
      <w:start w:val="1"/>
    </w:lvl>
  </w:abstractNum>
  <w:abstractNum w:abstractNumId="167">
    <w:nsid w:val="3410ED56"/>
    <w:multiLevelType w:val="hybridMultilevel"/>
    <w:lvl w:ilvl="0">
      <w:lvlJc w:val="left"/>
      <w:lvlText w:val="(%1)"/>
      <w:numFmt w:val="lowerLetter"/>
      <w:start w:val="1"/>
    </w:lvl>
    <w:lvl w:ilvl="1">
      <w:lvlJc w:val="left"/>
      <w:lvlText w:val="(%2)"/>
      <w:numFmt w:val="lowerRoman"/>
      <w:start w:val="1"/>
    </w:lvl>
  </w:abstractNum>
  <w:abstractNum w:abstractNumId="168">
    <w:nsid w:val="23C049A"/>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3"/>
    </w:lvl>
    <w:lvl w:ilvl="3">
      <w:lvlJc w:val="left"/>
      <w:lvlText w:val="(%4)"/>
      <w:numFmt w:val="lowerRoman"/>
      <w:start w:val="1"/>
    </w:lvl>
  </w:abstractNum>
  <w:abstractNum w:abstractNumId="169">
    <w:nsid w:val="5BDA35D4"/>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70">
    <w:nsid w:val="496FB218"/>
    <w:multiLevelType w:val="hybridMultilevel"/>
    <w:lvl w:ilvl="0">
      <w:lvlJc w:val="left"/>
      <w:lvlText w:val="(%1)"/>
      <w:numFmt w:val="lowerLetter"/>
      <w:start w:val="7"/>
    </w:lvl>
    <w:lvl w:ilvl="1">
      <w:lvlJc w:val="left"/>
      <w:lvlText w:val="(%2)"/>
      <w:numFmt w:val="lowerRoman"/>
      <w:start w:val="1"/>
    </w:lvl>
  </w:abstractNum>
  <w:abstractNum w:abstractNumId="171">
    <w:nsid w:val="680EA5D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72">
    <w:nsid w:val="4A9554FE"/>
    <w:multiLevelType w:val="hybridMultilevel"/>
    <w:lvl w:ilvl="0">
      <w:lvlJc w:val="left"/>
      <w:lvlText w:val="(%1)"/>
      <w:numFmt w:val="lowerLetter"/>
      <w:start w:val="1"/>
    </w:lvl>
  </w:abstractNum>
  <w:abstractNum w:abstractNumId="173">
    <w:nsid w:val="392EDBE4"/>
    <w:multiLevelType w:val="hybridMultilevel"/>
    <w:lvl w:ilvl="0">
      <w:lvlJc w:val="left"/>
      <w:lvlText w:val="(%1)"/>
      <w:numFmt w:val="lowerLetter"/>
      <w:start w:val="1"/>
    </w:lvl>
  </w:abstractNum>
  <w:abstractNum w:abstractNumId="174">
    <w:nsid w:val="3D1A2DD9"/>
    <w:multiLevelType w:val="hybridMultilevel"/>
    <w:lvl w:ilvl="0">
      <w:lvlJc w:val="left"/>
      <w:lvlText w:val="(%1)"/>
      <w:numFmt w:val="lowerRoman"/>
      <w:start w:val="1"/>
    </w:lvl>
    <w:lvl w:ilvl="1">
      <w:lvlJc w:val="left"/>
      <w:lvlText w:val="-"/>
      <w:numFmt w:val="bullet"/>
      <w:start w:val="1"/>
    </w:lvl>
  </w:abstractNum>
  <w:abstractNum w:abstractNumId="175">
    <w:nsid w:val="7F618FCD"/>
    <w:multiLevelType w:val="hybridMultilevel"/>
    <w:lvl w:ilvl="0">
      <w:lvlJc w:val="left"/>
      <w:lvlText w:val="-"/>
      <w:numFmt w:val="bullet"/>
      <w:start w:val="1"/>
    </w:lvl>
    <w:lvl w:ilvl="1">
      <w:lvlJc w:val="left"/>
      <w:lvlText w:val="(%2)"/>
      <w:numFmt w:val="lowerLetter"/>
      <w:start w:val="1"/>
    </w:lvl>
  </w:abstractNum>
  <w:abstractNum w:abstractNumId="176">
    <w:nsid w:val="7843E45"/>
    <w:multiLevelType w:val="hybridMultilevel"/>
    <w:lvl w:ilvl="0">
      <w:lvlJc w:val="left"/>
      <w:lvlText w:val="-"/>
      <w:numFmt w:val="bullet"/>
      <w:start w:val="1"/>
    </w:lvl>
    <w:lvl w:ilvl="1">
      <w:lvlJc w:val="left"/>
      <w:lvlText w:val="(%2)"/>
      <w:numFmt w:val="lowerLetter"/>
      <w:start w:val="2"/>
    </w:lvl>
  </w:abstractNum>
  <w:abstractNum w:abstractNumId="177">
    <w:nsid w:val="9815DA3"/>
    <w:multiLevelType w:val="hybridMultilevel"/>
    <w:lvl w:ilvl="0">
      <w:lvlJc w:val="left"/>
      <w:lvlText w:val="(%1)"/>
      <w:numFmt w:val="lowerLetter"/>
      <w:start w:val="6"/>
    </w:lvl>
  </w:abstractNum>
  <w:abstractNum w:abstractNumId="178">
    <w:nsid w:val="5204A191"/>
    <w:multiLevelType w:val="hybridMultilevel"/>
    <w:lvl w:ilvl="0">
      <w:lvlJc w:val="left"/>
      <w:lvlText w:val="-"/>
      <w:numFmt w:val="bullet"/>
      <w:start w:val="1"/>
    </w:lvl>
    <w:lvl w:ilvl="1">
      <w:lvlJc w:val="left"/>
      <w:lvlText w:val="(%2)"/>
      <w:numFmt w:val="lowerLetter"/>
      <w:start w:val="1"/>
    </w:lvl>
  </w:abstractNum>
  <w:abstractNum w:abstractNumId="179">
    <w:nsid w:val="4C73A9C6"/>
    <w:multiLevelType w:val="hybridMultilevel"/>
    <w:lvl w:ilvl="0">
      <w:lvlJc w:val="left"/>
      <w:lvlText w:val="(%1)"/>
      <w:numFmt w:val="lowerLetter"/>
      <w:start w:val="3"/>
    </w:lvl>
  </w:abstractNum>
  <w:abstractNum w:abstractNumId="180">
    <w:nsid w:val="1C7E3C0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81">
    <w:nsid w:val="1C2201FF"/>
    <w:multiLevelType w:val="hybridMultilevel"/>
    <w:lvl w:ilvl="0">
      <w:lvlJc w:val="left"/>
      <w:lvlText w:val="(%1)"/>
      <w:numFmt w:val="lowerRoman"/>
      <w:start w:val="3"/>
    </w:lvl>
  </w:abstractNum>
  <w:abstractNum w:abstractNumId="182">
    <w:nsid w:val="50ABCEC9"/>
    <w:multiLevelType w:val="hybridMultilevel"/>
    <w:lvl w:ilvl="0">
      <w:lvlJc w:val="left"/>
      <w:lvlText w:val="-"/>
      <w:numFmt w:val="bullet"/>
      <w:start w:val="1"/>
    </w:lvl>
    <w:lvl w:ilvl="1">
      <w:lvlJc w:val="left"/>
      <w:lvlText w:val="(%2)"/>
      <w:numFmt w:val="lowerLetter"/>
      <w:start w:val="3"/>
    </w:lvl>
  </w:abstractNum>
  <w:abstractNum w:abstractNumId="183">
    <w:nsid w:val="7635AA2A"/>
    <w:multiLevelType w:val="hybridMultilevel"/>
    <w:lvl w:ilvl="0">
      <w:lvlJc w:val="left"/>
      <w:lvlText w:val="(%1)"/>
      <w:numFmt w:val="lowerLetter"/>
      <w:start w:val="5"/>
    </w:lvl>
  </w:abstractNum>
  <w:abstractNum w:abstractNumId="184">
    <w:nsid w:val="5E74C4D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85">
    <w:nsid w:val="3B3EBE1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186">
    <w:nsid w:val="3822CB01"/>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87">
    <w:nsid w:val="6CE00443"/>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188">
    <w:nsid w:val="79F0D62F"/>
    <w:multiLevelType w:val="hybridMultilevel"/>
    <w:lvl w:ilvl="0">
      <w:lvlJc w:val="left"/>
      <w:lvlText w:val="(%1)"/>
      <w:numFmt w:val="lowerRoman"/>
      <w:start w:val="4"/>
    </w:lvl>
  </w:abstractNum>
  <w:abstractNum w:abstractNumId="189">
    <w:nsid w:val="7975E8EE"/>
    <w:multiLevelType w:val="hybridMultilevel"/>
    <w:lvl w:ilvl="0">
      <w:lvlJc w:val="left"/>
      <w:lvlText w:val="%1"/>
      <w:numFmt w:val="lowerRoman"/>
      <w:start w:val="1"/>
    </w:lvl>
    <w:lvl w:ilvl="1">
      <w:lvlJc w:val="left"/>
      <w:lvlText w:val="(%2)"/>
      <w:numFmt w:val="lowerLetter"/>
      <w:start w:val="1"/>
    </w:lvl>
  </w:abstractNum>
  <w:abstractNum w:abstractNumId="190">
    <w:nsid w:val="73154115"/>
    <w:multiLevelType w:val="hybridMultilevel"/>
    <w:lvl w:ilvl="0">
      <w:lvlJc w:val="left"/>
      <w:lvlText w:val="(%1)"/>
      <w:numFmt w:val="lowerRoman"/>
      <w:start w:val="9"/>
    </w:lvl>
    <w:lvl w:ilvl="1">
      <w:lvlJc w:val="left"/>
      <w:lvlText w:val="%2"/>
      <w:numFmt w:val="lowerLetter"/>
      <w:start w:val="1"/>
    </w:lvl>
  </w:abstractNum>
  <w:abstractNum w:abstractNumId="191">
    <w:nsid w:val="622D8102"/>
    <w:multiLevelType w:val="hybridMultilevel"/>
    <w:lvl w:ilvl="0">
      <w:lvlJc w:val="left"/>
      <w:lvlText w:val="-"/>
      <w:numFmt w:val="bullet"/>
      <w:start w:val="1"/>
    </w:lvl>
    <w:lvl w:ilvl="1">
      <w:lvlJc w:val="left"/>
      <w:lvlText w:val="(%2)"/>
      <w:numFmt w:val="lowerLetter"/>
      <w:start w:val="2"/>
    </w:lvl>
  </w:abstractNum>
  <w:abstractNum w:abstractNumId="192">
    <w:nsid w:val="2AB26587"/>
    <w:multiLevelType w:val="hybridMultilevel"/>
    <w:lvl w:ilvl="0">
      <w:lvlJc w:val="left"/>
      <w:lvlText w:val="(%1)"/>
      <w:numFmt w:val="lowerLetter"/>
      <w:start w:val="7"/>
    </w:lvl>
  </w:abstractNum>
  <w:abstractNum w:abstractNumId="193">
    <w:nsid w:val="44B3FA61"/>
    <w:multiLevelType w:val="hybridMultilevel"/>
    <w:lvl w:ilvl="0">
      <w:lvlJc w:val="left"/>
      <w:lvlText w:val="-"/>
      <w:numFmt w:val="bullet"/>
      <w:start w:val="1"/>
    </w:lvl>
    <w:lvl w:ilvl="1">
      <w:lvlJc w:val="left"/>
      <w:lvlText w:val="(%2)"/>
      <w:numFmt w:val="lowerLetter"/>
      <w:start w:val="1"/>
    </w:lvl>
  </w:abstractNum>
  <w:abstractNum w:abstractNumId="194">
    <w:nsid w:val="1C0CA67C"/>
    <w:multiLevelType w:val="hybridMultilevel"/>
    <w:lvl w:ilvl="0">
      <w:lvlJc w:val="left"/>
      <w:lvlText w:val="(%1)"/>
      <w:numFmt w:val="lowerLetter"/>
      <w:start w:val="3"/>
    </w:lvl>
    <w:lvl w:ilvl="1">
      <w:lvlJc w:val="left"/>
      <w:lvlText w:val="(%2)"/>
      <w:numFmt w:val="lowerRoman"/>
      <w:start w:val="1"/>
    </w:lvl>
  </w:abstractNum>
  <w:abstractNum w:abstractNumId="195">
    <w:nsid w:val="3D206613"/>
    <w:multiLevelType w:val="hybridMultilevel"/>
    <w:lvl w:ilvl="0">
      <w:lvlJc w:val="left"/>
      <w:lvlText w:val="-"/>
      <w:numFmt w:val="bullet"/>
      <w:start w:val="1"/>
    </w:lvl>
    <w:lvl w:ilvl="1">
      <w:lvlJc w:val="left"/>
      <w:lvlText w:val="(%2)"/>
      <w:numFmt w:val="lowerLetter"/>
      <w:start w:val="6"/>
    </w:lvl>
  </w:abstractNum>
  <w:abstractNum w:abstractNumId="196">
    <w:nsid w:val="7993B662"/>
    <w:multiLevelType w:val="hybridMultilevel"/>
    <w:lvl w:ilvl="0">
      <w:lvlJc w:val="left"/>
      <w:lvlText w:val="(%1)"/>
      <w:numFmt w:val="lowerLetter"/>
      <w:start w:val="7"/>
    </w:lvl>
  </w:abstractNum>
  <w:abstractNum w:abstractNumId="197">
    <w:nsid w:val="3BAB699E"/>
    <w:multiLevelType w:val="hybridMultilevel"/>
    <w:lvl w:ilvl="0">
      <w:lvlJc w:val="left"/>
      <w:lvlText w:val="(%1)"/>
      <w:numFmt w:val="lowerLetter"/>
      <w:start w:val="1"/>
    </w:lvl>
    <w:lvl w:ilvl="1">
      <w:lvlJc w:val="left"/>
      <w:lvlText w:val="(%2)"/>
      <w:numFmt w:val="lowerRoman"/>
      <w:start w:val="1"/>
    </w:lvl>
  </w:abstractNum>
  <w:abstractNum w:abstractNumId="198">
    <w:nsid w:val="71315369"/>
    <w:multiLevelType w:val="hybridMultilevel"/>
    <w:lvl w:ilvl="0">
      <w:lvlJc w:val="left"/>
      <w:lvlText w:val="(%1)"/>
      <w:numFmt w:val="lowerLetter"/>
      <w:start w:val="1"/>
    </w:lvl>
  </w:abstractNum>
  <w:abstractNum w:abstractNumId="199">
    <w:nsid w:val="7BCFBAFC"/>
    <w:multiLevelType w:val="hybridMultilevel"/>
    <w:lvl w:ilvl="0">
      <w:lvlJc w:val="left"/>
      <w:lvlText w:val="(%1)"/>
      <w:numFmt w:val="lowerRoman"/>
      <w:start w:val="1"/>
    </w:lvl>
  </w:abstractNum>
  <w:abstractNum w:abstractNumId="200">
    <w:nsid w:val="17859F72"/>
    <w:multiLevelType w:val="hybridMultilevel"/>
    <w:lvl w:ilvl="0">
      <w:lvlJc w:val="left"/>
      <w:lvlText w:val="%1"/>
      <w:numFmt w:val="decimal"/>
      <w:start w:val="1"/>
    </w:lvl>
    <w:lvl w:ilvl="1">
      <w:lvlJc w:val="left"/>
      <w:lvlText w:val="%2."/>
      <w:numFmt w:val="decimal"/>
      <w:start w:val="1"/>
    </w:lvl>
  </w:abstractNum>
  <w:abstractNum w:abstractNumId="201">
    <w:nsid w:val="3AA10581"/>
    <w:multiLevelType w:val="hybridMultilevel"/>
    <w:lvl w:ilvl="0">
      <w:lvlJc w:val="left"/>
      <w:lvlText w:val="%1."/>
      <w:numFmt w:val="decimal"/>
      <w:start w:val="3"/>
    </w:lvl>
    <w:lvl w:ilvl="1">
      <w:lvlJc w:val="left"/>
      <w:lvlText w:val="%2"/>
      <w:numFmt w:val="decimal"/>
      <w:start w:val="1"/>
    </w:lvl>
  </w:abstractNum>
  <w:abstractNum w:abstractNumId="202">
    <w:nsid w:val="63DE60CD"/>
    <w:multiLevelType w:val="hybridMultilevel"/>
    <w:lvl w:ilvl="0">
      <w:lvlJc w:val="left"/>
      <w:lvlText w:val="(%1)"/>
      <w:numFmt w:val="lowerLetter"/>
      <w:start w:val="1"/>
    </w:lvl>
  </w:abstractNum>
  <w:abstractNum w:abstractNumId="203">
    <w:nsid w:val="621AF471"/>
    <w:multiLevelType w:val="hybridMultilevel"/>
    <w:lvl w:ilvl="0">
      <w:lvlJc w:val="left"/>
      <w:lvlText w:val="(%1)"/>
      <w:numFmt w:val="lowerLetter"/>
      <w:start w:val="1"/>
    </w:lvl>
  </w:abstractNum>
  <w:abstractNum w:abstractNumId="204">
    <w:nsid w:val="73CFE165"/>
    <w:multiLevelType w:val="hybridMultilevel"/>
    <w:lvl w:ilvl="0">
      <w:lvlJc w:val="left"/>
      <w:lvlText w:val="(%1)"/>
      <w:numFmt w:val="lowerLetter"/>
      <w:start w:val="5"/>
    </w:lvl>
  </w:abstractNum>
  <w:abstractNum w:abstractNumId="205">
    <w:nsid w:val="20F88EA6"/>
    <w:multiLevelType w:val="hybridMultilevel"/>
    <w:lvl w:ilvl="0">
      <w:lvlJc w:val="left"/>
      <w:lvlText w:val="-"/>
      <w:numFmt w:val="bullet"/>
      <w:start w:val="1"/>
    </w:lvl>
    <w:lvl w:ilvl="1">
      <w:lvlJc w:val="left"/>
      <w:lvlText w:val="(%2)"/>
      <w:numFmt w:val="lowerLetter"/>
      <w:start w:val="1"/>
    </w:lvl>
  </w:abstractNum>
  <w:abstractNum w:abstractNumId="206">
    <w:nsid w:val="617C843E"/>
    <w:multiLevelType w:val="hybridMultilevel"/>
    <w:lvl w:ilvl="0">
      <w:lvlJc w:val="left"/>
      <w:lvlText w:val="(%1)"/>
      <w:numFmt w:val="lowerLetter"/>
      <w:start w:val="2"/>
    </w:lvl>
  </w:abstractNum>
  <w:abstractNum w:abstractNumId="207">
    <w:nsid w:val="7B541FAB"/>
    <w:multiLevelType w:val="hybridMultilevel"/>
    <w:lvl w:ilvl="0">
      <w:lvlJc w:val="left"/>
      <w:lvlText w:val="(%1)"/>
      <w:numFmt w:val="lowerLetter"/>
      <w:start w:val="1"/>
    </w:lvl>
  </w:abstractNum>
  <w:abstractNum w:abstractNumId="208">
    <w:nsid w:val="2A79EC49"/>
    <w:multiLevelType w:val="hybridMultilevel"/>
    <w:lvl w:ilvl="0">
      <w:lvlJc w:val="left"/>
      <w:lvlText w:val="(%1)"/>
      <w:numFmt w:val="lowerLetter"/>
      <w:start w:val="2"/>
    </w:lvl>
  </w:abstractNum>
  <w:abstractNum w:abstractNumId="209">
    <w:nsid w:val="338125CF"/>
    <w:multiLevelType w:val="hybridMultilevel"/>
    <w:lvl w:ilvl="0">
      <w:lvlJc w:val="left"/>
      <w:lvlText w:val="(%1)"/>
      <w:numFmt w:val="lowerRoman"/>
      <w:start w:val="1"/>
    </w:lvl>
  </w:abstractNum>
  <w:abstractNum w:abstractNumId="210">
    <w:nsid w:val="47C7C971"/>
    <w:multiLevelType w:val="hybridMultilevel"/>
    <w:lvl w:ilvl="0">
      <w:lvlJc w:val="left"/>
      <w:lvlText w:val="(%1)"/>
      <w:numFmt w:val="lowerRoman"/>
      <w:start w:val="3"/>
    </w:lvl>
  </w:abstractNum>
  <w:abstractNum w:abstractNumId="211">
    <w:nsid w:val="46F8284B"/>
    <w:multiLevelType w:val="hybridMultilevel"/>
    <w:lvl w:ilvl="0">
      <w:lvlJc w:val="left"/>
      <w:lvlText w:val="(%1)"/>
      <w:numFmt w:val="lowerLetter"/>
      <w:start w:val="1"/>
    </w:lvl>
  </w:abstractNum>
  <w:abstractNum w:abstractNumId="212">
    <w:nsid w:val="4FA327CE"/>
    <w:multiLevelType w:val="hybridMultilevel"/>
    <w:lvl w:ilvl="0">
      <w:lvlJc w:val="left"/>
      <w:lvlText w:val="(%1)"/>
      <w:numFmt w:val="lowerLetter"/>
      <w:start w:val="1"/>
    </w:lvl>
  </w:abstractNum>
  <w:abstractNum w:abstractNumId="213">
    <w:nsid w:val="1873983A"/>
    <w:multiLevelType w:val="hybridMultilevel"/>
    <w:lvl w:ilvl="0">
      <w:lvlJc w:val="left"/>
      <w:lvlText w:val="(%1)"/>
      <w:numFmt w:val="lowerRoman"/>
      <w:start w:val="2"/>
    </w:lvl>
  </w:abstractNum>
  <w:abstractNum w:abstractNumId="214">
    <w:nsid w:val="3D2DD275"/>
    <w:multiLevelType w:val="hybridMultilevel"/>
    <w:lvl w:ilvl="0">
      <w:lvlJc w:val="left"/>
      <w:lvlText w:val="(%1)"/>
      <w:numFmt w:val="lowerRoman"/>
      <w:start w:val="1"/>
    </w:lvl>
  </w:abstractNum>
  <w:abstractNum w:abstractNumId="215">
    <w:nsid w:val="2E17ECA7"/>
    <w:multiLevelType w:val="hybridMultilevel"/>
    <w:lvl w:ilvl="0">
      <w:lvlJc w:val="left"/>
      <w:lvlText w:val="(%1)"/>
      <w:numFmt w:val="lowerLetter"/>
      <w:start w:val="3"/>
    </w:lvl>
  </w:abstractNum>
  <w:abstractNum w:abstractNumId="216">
    <w:nsid w:val="53B2564F"/>
    <w:multiLevelType w:val="hybridMultilevel"/>
    <w:lvl w:ilvl="0">
      <w:lvlJc w:val="left"/>
      <w:lvlText w:val="(%1)"/>
      <w:numFmt w:val="lowerLetter"/>
      <w:start w:val="1"/>
    </w:lvl>
  </w:abstractNum>
  <w:abstractNum w:abstractNumId="217">
    <w:nsid w:val="75509D76"/>
    <w:multiLevelType w:val="hybridMultilevel"/>
    <w:lvl w:ilvl="0">
      <w:lvlJc w:val="left"/>
      <w:lvlText w:val="(%1)"/>
      <w:numFmt w:val="lowerRoman"/>
      <w:start w:val="3"/>
    </w:lvl>
  </w:abstractNum>
  <w:abstractNum w:abstractNumId="218">
    <w:nsid w:val="1AF7F0EA"/>
    <w:multiLevelType w:val="hybridMultilevel"/>
    <w:lvl w:ilvl="0">
      <w:lvlJc w:val="left"/>
      <w:lvlText w:val="(%1)"/>
      <w:numFmt w:val="lowerLetter"/>
      <w:start w:val="3"/>
    </w:lvl>
  </w:abstractNum>
  <w:abstractNum w:abstractNumId="219">
    <w:nsid w:val="4DA32C7E"/>
    <w:multiLevelType w:val="hybridMultilevel"/>
    <w:lvl w:ilvl="0">
      <w:lvlJc w:val="left"/>
      <w:lvlText w:val="1"/>
      <w:numFmt w:val="bullet"/>
      <w:start w:val="1"/>
    </w:lvl>
    <w:lvl w:ilvl="1">
      <w:lvlJc w:val="left"/>
      <w:lvlText w:val="-"/>
      <w:numFmt w:val="bullet"/>
      <w:start w:val="1"/>
    </w:lvl>
  </w:abstractNum>
  <w:abstractNum w:abstractNumId="220">
    <w:nsid w:val="6EC68664"/>
    <w:multiLevelType w:val="hybridMultilevel"/>
    <w:lvl w:ilvl="0">
      <w:lvlJc w:val="left"/>
      <w:lvlText w:val="-"/>
      <w:numFmt w:val="bullet"/>
      <w:start w:val="1"/>
    </w:lvl>
    <w:lvl w:ilvl="1">
      <w:lvlJc w:val="left"/>
      <w:lvlText w:val="(%2)"/>
      <w:numFmt w:val="lowerLetter"/>
      <w:start w:val="1"/>
    </w:lvl>
  </w:abstractNum>
  <w:abstractNum w:abstractNumId="221">
    <w:nsid w:val="E0D31FF"/>
    <w:multiLevelType w:val="hybridMultilevel"/>
    <w:lvl w:ilvl="0">
      <w:lvlJc w:val="left"/>
      <w:lvlText w:val="(%1)"/>
      <w:numFmt w:val="lowerLetter"/>
      <w:start w:val="3"/>
    </w:lvl>
  </w:abstractNum>
  <w:abstractNum w:abstractNumId="222">
    <w:nsid w:val="2FD0AD81"/>
    <w:multiLevelType w:val="hybridMultilevel"/>
    <w:lvl w:ilvl="0">
      <w:lvlJc w:val="left"/>
      <w:lvlText w:val="-"/>
      <w:numFmt w:val="bullet"/>
      <w:start w:val="1"/>
    </w:lvl>
    <w:lvl w:ilvl="1">
      <w:lvlJc w:val="left"/>
      <w:lvlText w:val="(%2)"/>
      <w:numFmt w:val="lowerLetter"/>
      <w:start w:val="1"/>
    </w:lvl>
  </w:abstractNum>
  <w:abstractNum w:abstractNumId="223">
    <w:nsid w:val="1978EBEB"/>
    <w:multiLevelType w:val="hybridMultilevel"/>
    <w:lvl w:ilvl="0">
      <w:lvlJc w:val="left"/>
      <w:lvlText w:val="(%1)"/>
      <w:numFmt w:val="lowerLetter"/>
      <w:start w:val="3"/>
    </w:lvl>
  </w:abstractNum>
  <w:abstractNum w:abstractNumId="224">
    <w:nsid w:val="52C12C6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25">
    <w:nsid w:val="4BDD53F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226">
    <w:nsid w:val="569951FE"/>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27">
    <w:nsid w:val="4C54E2C3"/>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228">
    <w:nsid w:val="788BD9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29">
    <w:nsid w:val="47CAA56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230">
    <w:nsid w:val="48249DB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31">
    <w:nsid w:val="1F0E5D0D"/>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32">
    <w:nsid w:val="26BAAE9"/>
    <w:multiLevelType w:val="hybridMultilevel"/>
    <w:lvl w:ilvl="0">
      <w:lvlJc w:val="left"/>
      <w:lvlText w:val="-"/>
      <w:numFmt w:val="bullet"/>
      <w:start w:val="1"/>
    </w:lvl>
    <w:lvl w:ilvl="1">
      <w:lvlJc w:val="left"/>
      <w:lvlText w:val="(%2)"/>
      <w:numFmt w:val="lowerLetter"/>
      <w:start w:val="1"/>
    </w:lvl>
  </w:abstractNum>
  <w:abstractNum w:abstractNumId="233">
    <w:nsid w:val="2C02FE8C"/>
    <w:multiLevelType w:val="hybridMultilevel"/>
    <w:lvl w:ilvl="0">
      <w:lvlJc w:val="left"/>
      <w:lvlText w:val="-"/>
      <w:numFmt w:val="bullet"/>
      <w:start w:val="1"/>
    </w:lvl>
    <w:lvl w:ilvl="1">
      <w:lvlJc w:val="left"/>
      <w:lvlText w:val="(%2)"/>
      <w:numFmt w:val="lowerLetter"/>
      <w:start w:val="2"/>
    </w:lvl>
  </w:abstractNum>
  <w:abstractNum w:abstractNumId="234">
    <w:nsid w:val="129517E"/>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4"/>
    </w:lvl>
  </w:abstractNum>
  <w:abstractNum w:abstractNumId="235">
    <w:nsid w:val="763B8C4E"/>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7"/>
    </w:lvl>
  </w:abstractNum>
  <w:abstractNum w:abstractNumId="236">
    <w:nsid w:val="4CFB8D32"/>
    <w:multiLevelType w:val="hybridMultilevel"/>
    <w:lvl w:ilvl="0">
      <w:lvlJc w:val="left"/>
      <w:lvlText w:val="(%1)"/>
      <w:numFmt w:val="lowerRoman"/>
      <w:start w:val="1"/>
    </w:lvl>
    <w:lvl w:ilvl="1">
      <w:lvlJc w:val="left"/>
      <w:lvlText w:val="-"/>
      <w:numFmt w:val="bullet"/>
      <w:start w:val="1"/>
    </w:lvl>
  </w:abstractNum>
  <w:abstractNum w:abstractNumId="237">
    <w:nsid w:val="62A5D5BD"/>
    <w:multiLevelType w:val="hybridMultilevel"/>
    <w:lvl w:ilvl="0">
      <w:lvlJc w:val="left"/>
      <w:lvlText w:val="-"/>
      <w:numFmt w:val="bullet"/>
      <w:start w:val="1"/>
    </w:lvl>
    <w:lvl w:ilvl="1">
      <w:lvlJc w:val="left"/>
      <w:lvlText w:val="(%2)"/>
      <w:numFmt w:val="lowerLetter"/>
      <w:start w:val="8"/>
    </w:lvl>
  </w:abstractNum>
  <w:abstractNum w:abstractNumId="238">
    <w:nsid w:val="718FABF9"/>
    <w:multiLevelType w:val="hybridMultilevel"/>
    <w:lvl w:ilvl="0">
      <w:lvlJc w:val="left"/>
      <w:lvlText w:val="(%1)"/>
      <w:numFmt w:val="lowerLetter"/>
      <w:start w:val="9"/>
    </w:lvl>
    <w:lvl w:ilvl="1">
      <w:lvlJc w:val="left"/>
      <w:lvlText w:val="(%2)"/>
      <w:numFmt w:val="lowerLetter"/>
      <w:start w:val="11"/>
    </w:lvl>
  </w:abstractNum>
  <w:abstractNum w:abstractNumId="239">
    <w:nsid w:val="7775797C"/>
    <w:multiLevelType w:val="hybridMultilevel"/>
    <w:lvl w:ilvl="0">
      <w:lvlJc w:val="left"/>
      <w:lvlText w:val="(%1)"/>
      <w:numFmt w:val="lowerLetter"/>
      <w:start w:val="9"/>
    </w:lvl>
    <w:lvl w:ilvl="1">
      <w:lvlJc w:val="left"/>
      <w:lvlText w:val="%2"/>
      <w:numFmt w:val="lowerLetter"/>
      <w:start w:val="1"/>
    </w:lvl>
  </w:abstractNum>
  <w:abstractNum w:abstractNumId="240">
    <w:nsid w:val="1626FB8C"/>
    <w:multiLevelType w:val="hybridMultilevel"/>
    <w:lvl w:ilvl="0">
      <w:lvlJc w:val="left"/>
      <w:lvlText w:val="-"/>
      <w:numFmt w:val="bullet"/>
      <w:start w:val="1"/>
    </w:lvl>
    <w:lvl w:ilvl="1">
      <w:lvlJc w:val="left"/>
      <w:lvlText w:val="(%2)"/>
      <w:numFmt w:val="lowerLetter"/>
      <w:start w:val="1"/>
    </w:lvl>
  </w:abstractNum>
  <w:abstractNum w:abstractNumId="241">
    <w:nsid w:val="3957756A"/>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2"/>
    </w:lvl>
  </w:abstractNum>
  <w:abstractNum w:abstractNumId="242">
    <w:nsid w:val="3E6DA1C7"/>
    <w:multiLevelType w:val="hybridMultilevel"/>
    <w:lvl w:ilvl="0">
      <w:lvlJc w:val="left"/>
      <w:lvlText w:val="(%1)"/>
      <w:numFmt w:val="lowerLetter"/>
      <w:start w:val="5"/>
    </w:lvl>
    <w:lvl w:ilvl="1">
      <w:lvlJc w:val="left"/>
      <w:lvlText w:val="-"/>
      <w:numFmt w:val="bullet"/>
      <w:start w:val="1"/>
    </w:lvl>
    <w:lvl w:ilvl="2">
      <w:lvlJc w:val="left"/>
      <w:lvlText w:val="%3"/>
      <w:numFmt w:val="lowerLetter"/>
      <w:start w:val="1"/>
    </w:lvl>
  </w:abstractNum>
  <w:abstractNum w:abstractNumId="243">
    <w:nsid w:val="65CA235B"/>
    <w:multiLevelType w:val="hybridMultilevel"/>
    <w:lvl w:ilvl="0">
      <w:lvlJc w:val="left"/>
      <w:lvlText w:val="(%1)"/>
      <w:numFmt w:val="lowerRoman"/>
      <w:start w:val="5"/>
    </w:lvl>
  </w:abstractNum>
  <w:abstractNum w:abstractNumId="244">
    <w:nsid w:val="51CB0DA4"/>
    <w:multiLevelType w:val="hybridMultilevel"/>
    <w:lvl w:ilvl="0">
      <w:lvlJc w:val="left"/>
      <w:lvlText w:val="-"/>
      <w:numFmt w:val="bullet"/>
      <w:start w:val="1"/>
    </w:lvl>
    <w:lvl w:ilvl="1">
      <w:lvlJc w:val="left"/>
      <w:lvlText w:val="(%2)"/>
      <w:numFmt w:val="lowerLetter"/>
      <w:start w:val="1"/>
    </w:lvl>
  </w:abstractNum>
  <w:abstractNum w:abstractNumId="245">
    <w:nsid w:val="7B9B743C"/>
    <w:multiLevelType w:val="hybridMultilevel"/>
    <w:lvl w:ilvl="0">
      <w:lvlJc w:val="left"/>
      <w:lvlText w:val="(%1)"/>
      <w:numFmt w:val="lowerRoman"/>
      <w:start w:val="1"/>
    </w:lvl>
  </w:abstractNum>
  <w:abstractNum w:abstractNumId="246">
    <w:nsid w:val="13E21002"/>
    <w:multiLevelType w:val="hybridMultilevel"/>
    <w:lvl w:ilvl="0">
      <w:lvlJc w:val="left"/>
      <w:lvlText w:val="-"/>
      <w:numFmt w:val="bullet"/>
      <w:start w:val="1"/>
    </w:lvl>
    <w:lvl w:ilvl="1">
      <w:lvlJc w:val="left"/>
      <w:lvlText w:val="(%2)"/>
      <w:numFmt w:val="lowerLetter"/>
      <w:start w:val="2"/>
    </w:lvl>
  </w:abstractNum>
  <w:abstractNum w:abstractNumId="247">
    <w:nsid w:val="257D63F4"/>
    <w:multiLevelType w:val="hybridMultilevel"/>
    <w:lvl w:ilvl="0">
      <w:lvlJc w:val="left"/>
      <w:lvlText w:val="(%1)"/>
      <w:numFmt w:val="lowerLetter"/>
      <w:start w:val="1"/>
    </w:lvl>
  </w:abstractNum>
  <w:abstractNum w:abstractNumId="248">
    <w:nsid w:val="70EC11B2"/>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249">
    <w:nsid w:val="2EDA00ED"/>
    <w:multiLevelType w:val="hybridMultilevel"/>
    <w:lvl w:ilvl="0">
      <w:lvlJc w:val="left"/>
      <w:lvlText w:val="(%1)"/>
      <w:numFmt w:val="decimal"/>
      <w:start w:val="2"/>
    </w:lvl>
    <w:lvl w:ilvl="1">
      <w:lvlJc w:val="left"/>
      <w:lvlText w:val="-"/>
      <w:numFmt w:val="bullet"/>
      <w:start w:val="1"/>
    </w:lvl>
    <w:lvl w:ilvl="2">
      <w:lvlJc w:val="left"/>
      <w:lvlText w:val="(%3)"/>
      <w:numFmt w:val="lowerLetter"/>
      <w:start w:val="2"/>
    </w:lvl>
    <w:lvl w:ilvl="3">
      <w:lvlJc w:val="left"/>
      <w:lvlText w:val="(%4)"/>
      <w:numFmt w:val="lowerRoman"/>
      <w:start w:val="1"/>
    </w:lvl>
  </w:abstractNum>
  <w:abstractNum w:abstractNumId="250">
    <w:nsid w:val="73209072"/>
    <w:multiLevelType w:val="hybridMultilevel"/>
    <w:lvl w:ilvl="0">
      <w:lvlJc w:val="left"/>
      <w:lvlText w:val="(%1)"/>
      <w:numFmt w:val="lowerRoman"/>
      <w:start w:val="3"/>
    </w:lvl>
  </w:abstractNum>
  <w:abstractNum w:abstractNumId="251">
    <w:nsid w:val="5FB29816"/>
    <w:multiLevelType w:val="hybridMultilevel"/>
    <w:lvl w:ilvl="0">
      <w:lvlJc w:val="left"/>
      <w:lvlText w:val="(%1)"/>
      <w:numFmt w:val="decimal"/>
      <w:start w:val="3"/>
    </w:lvl>
    <w:lvl w:ilvl="1">
      <w:lvlJc w:val="left"/>
      <w:lvlText w:val="-"/>
      <w:numFmt w:val="bullet"/>
      <w:start w:val="1"/>
    </w:lvl>
  </w:abstractNum>
  <w:abstractNum w:abstractNumId="252">
    <w:nsid w:val="3CE732EC"/>
    <w:multiLevelType w:val="hybridMultilevel"/>
    <w:lvl w:ilvl="0">
      <w:lvlJc w:val="left"/>
      <w:lvlText w:val="(%1)"/>
      <w:numFmt w:val="lowerLetter"/>
      <w:start w:val="1"/>
    </w:lvl>
  </w:abstractNum>
  <w:abstractNum w:abstractNumId="253">
    <w:nsid w:val="22F13DF3"/>
    <w:multiLevelType w:val="hybridMultilevel"/>
    <w:lvl w:ilvl="0">
      <w:lvlJc w:val="left"/>
      <w:lvlText w:val="-"/>
      <w:numFmt w:val="bullet"/>
      <w:start w:val="1"/>
    </w:lvl>
    <w:lvl w:ilvl="1">
      <w:lvlJc w:val="left"/>
      <w:lvlText w:val="(%2)"/>
      <w:numFmt w:val="lowerLetter"/>
      <w:start w:val="1"/>
    </w:lvl>
  </w:abstractNum>
  <w:abstractNum w:abstractNumId="254">
    <w:nsid w:val="792B8401"/>
    <w:multiLevelType w:val="hybridMultilevel"/>
    <w:lvl w:ilvl="0">
      <w:lvlJc w:val="left"/>
      <w:lvlText w:val="(%1)"/>
      <w:numFmt w:val="lowerLetter"/>
      <w:start w:val="6"/>
    </w:lvl>
  </w:abstractNum>
  <w:abstractNum w:abstractNumId="255">
    <w:nsid w:val="FA85F4D"/>
    <w:multiLevelType w:val="hybridMultilevel"/>
    <w:lvl w:ilvl="0">
      <w:lvlJc w:val="left"/>
      <w:lvlText w:val="(%1)"/>
      <w:numFmt w:val="lowerLetter"/>
      <w:start w:val="1"/>
    </w:lvl>
  </w:abstractNum>
  <w:abstractNum w:abstractNumId="256">
    <w:nsid w:val="6ECE91F0"/>
    <w:multiLevelType w:val="hybridMultilevel"/>
    <w:lvl w:ilvl="0">
      <w:lvlJc w:val="left"/>
      <w:lvlText w:val="-"/>
      <w:numFmt w:val="bullet"/>
      <w:start w:val="1"/>
    </w:lvl>
    <w:lvl w:ilvl="1">
      <w:lvlJc w:val="left"/>
      <w:lvlText w:val="(%2)"/>
      <w:numFmt w:val="lowerLetter"/>
      <w:start w:val="1"/>
    </w:lvl>
  </w:abstractNum>
  <w:abstractNum w:abstractNumId="257">
    <w:nsid w:val="4FC4D600"/>
    <w:multiLevelType w:val="hybridMultilevel"/>
    <w:lvl w:ilvl="0">
      <w:lvlJc w:val="left"/>
      <w:lvlText w:val="(%1)"/>
      <w:numFmt w:val="lowerLetter"/>
      <w:start w:val="2"/>
    </w:lvl>
  </w:abstractNum>
  <w:abstractNum w:abstractNumId="258">
    <w:nsid w:val="5BFD4210"/>
    <w:multiLevelType w:val="hybridMultilevel"/>
    <w:lvl w:ilvl="0">
      <w:lvlJc w:val="left"/>
      <w:lvlText w:val="-"/>
      <w:numFmt w:val="bullet"/>
      <w:start w:val="1"/>
    </w:lvl>
    <w:lvl w:ilvl="1">
      <w:lvlJc w:val="left"/>
      <w:lvlText w:val="(%2)"/>
      <w:numFmt w:val="lowerLetter"/>
      <w:start w:val="1"/>
    </w:lvl>
  </w:abstractNum>
  <w:abstractNum w:abstractNumId="259">
    <w:nsid w:val="76574F8B"/>
    <w:multiLevelType w:val="hybridMultilevel"/>
    <w:lvl w:ilvl="0">
      <w:lvlJc w:val="left"/>
      <w:lvlText w:val="(%1)"/>
      <w:numFmt w:val="lowerLetter"/>
      <w:start w:val="2"/>
    </w:lvl>
  </w:abstractNum>
  <w:abstractNum w:abstractNumId="260">
    <w:nsid w:val="178F7B67"/>
    <w:multiLevelType w:val="hybridMultilevel"/>
    <w:lvl w:ilvl="0">
      <w:lvlJc w:val="left"/>
      <w:lvlText w:val="(%1)"/>
      <w:numFmt w:val="lowerLetter"/>
      <w:start w:val="1"/>
    </w:lvl>
  </w:abstractNum>
  <w:abstractNum w:abstractNumId="261">
    <w:nsid w:val="2421DFCF"/>
    <w:multiLevelType w:val="hybridMultilevel"/>
    <w:lvl w:ilvl="0">
      <w:lvlJc w:val="left"/>
      <w:lvlText w:val="2"/>
      <w:numFmt w:val="bullet"/>
      <w:start w:val="1"/>
    </w:lvl>
    <w:lvl w:ilvl="1">
      <w:lvlJc w:val="left"/>
      <w:lvlText w:val="-"/>
      <w:numFmt w:val="bullet"/>
      <w:start w:val="1"/>
    </w:lvl>
  </w:abstractNum>
  <w:abstractNum w:abstractNumId="262">
    <w:nsid w:val="1565AC99"/>
    <w:multiLevelType w:val="hybridMultilevel"/>
    <w:lvl w:ilvl="0">
      <w:lvlJc w:val="left"/>
      <w:lvlText w:val="%1"/>
      <w:numFmt w:val="lowerLetter"/>
      <w:start w:val="1"/>
    </w:lvl>
    <w:lvl w:ilvl="1">
      <w:lvlJc w:val="left"/>
      <w:lvlText w:val="(%2)"/>
      <w:numFmt w:val="lowerLetter"/>
      <w:start w:val="3"/>
    </w:lvl>
  </w:abstractNum>
  <w:abstractNum w:abstractNumId="263">
    <w:nsid w:val="19FB2650"/>
    <w:multiLevelType w:val="hybridMultilevel"/>
    <w:lvl w:ilvl="0">
      <w:lvlJc w:val="left"/>
      <w:lvlText w:val="(%1)"/>
      <w:numFmt w:val="lowerLetter"/>
      <w:start w:val="24"/>
    </w:lvl>
    <w:lvl w:ilvl="1">
      <w:lvlJc w:val="left"/>
      <w:lvlText w:val="(%2)"/>
      <w:numFmt w:val="lowerLetter"/>
      <w:start w:val="6"/>
    </w:lvl>
  </w:abstractNum>
  <w:abstractNum w:abstractNumId="264">
    <w:nsid w:val="5024DE5B"/>
    <w:multiLevelType w:val="hybridMultilevel"/>
    <w:lvl w:ilvl="0">
      <w:lvlJc w:val="left"/>
      <w:lvlText w:val="-"/>
      <w:numFmt w:val="bullet"/>
      <w:start w:val="1"/>
    </w:lvl>
    <w:lvl w:ilvl="1">
      <w:lvlJc w:val="left"/>
      <w:lvlText w:val="(%2)"/>
      <w:numFmt w:val="lowerLetter"/>
      <w:start w:val="1"/>
    </w:lvl>
  </w:abstractNum>
  <w:abstractNum w:abstractNumId="265">
    <w:nsid w:val="168EFE17"/>
    <w:multiLevelType w:val="hybridMultilevel"/>
    <w:lvl w:ilvl="0">
      <w:lvlJc w:val="left"/>
      <w:lvlText w:val="(%1)"/>
      <w:numFmt w:val="lowerLetter"/>
      <w:start w:val="3"/>
    </w:lvl>
    <w:lvl w:ilvl="1">
      <w:lvlJc w:val="left"/>
      <w:lvlText w:val="(%2)"/>
      <w:numFmt w:val="lowerRoman"/>
      <w:start w:val="1"/>
    </w:lvl>
  </w:abstractNum>
  <w:abstractNum w:abstractNumId="266">
    <w:nsid w:val="1036B29F"/>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267">
    <w:nsid w:val="1D206B8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268">
    <w:nsid w:val="7934D3D4"/>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269">
    <w:nsid w:val="1C65E98"/>
    <w:multiLevelType w:val="hybridMultilevel"/>
    <w:lvl w:ilvl="0">
      <w:lvlJc w:val="left"/>
      <w:lvlText w:val="-"/>
      <w:numFmt w:val="bullet"/>
      <w:start w:val="1"/>
    </w:lvl>
    <w:lvl w:ilvl="1">
      <w:lvlJc w:val="left"/>
      <w:lvlText w:val="(%2)"/>
      <w:numFmt w:val="lowerLetter"/>
      <w:start w:val="1"/>
    </w:lvl>
  </w:abstractNum>
  <w:abstractNum w:abstractNumId="270">
    <w:nsid w:val="1495E50A"/>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271">
    <w:nsid w:val="F5BCF61"/>
    <w:multiLevelType w:val="hybridMultilevel"/>
    <w:lvl w:ilvl="0">
      <w:lvlJc w:val="left"/>
      <w:lvlText w:val="(%1)"/>
      <w:numFmt w:val="upperLetter"/>
      <w:start w:val="2"/>
    </w:lvl>
    <w:lvl w:ilvl="1">
      <w:lvlJc w:val="left"/>
      <w:lvlText w:val="(%2)"/>
      <w:numFmt w:val="upperLetter"/>
      <w:start w:val="9"/>
    </w:lvl>
  </w:abstractNum>
  <w:abstractNum w:abstractNumId="272">
    <w:nsid w:val="3B1DD403"/>
    <w:multiLevelType w:val="hybridMultilevel"/>
    <w:lvl w:ilvl="0">
      <w:lvlJc w:val="left"/>
      <w:lvlText w:val="(%1)"/>
      <w:numFmt w:val="upperLetter"/>
      <w:start w:val="35"/>
    </w:lvl>
  </w:abstractNum>
  <w:abstractNum w:abstractNumId="273">
    <w:nsid w:val="530386D1"/>
    <w:multiLevelType w:val="hybridMultilevel"/>
    <w:lvl w:ilvl="0">
      <w:lvlJc w:val="left"/>
      <w:lvlText w:val="(%1)"/>
      <w:numFmt w:val="upperLetter"/>
      <w:start w:val="61"/>
    </w:lvl>
  </w:abstractNum>
  <w:abstractNum w:abstractNumId="274">
    <w:nsid w:val="7525F2BC"/>
    <w:multiLevelType w:val="hybridMultilevel"/>
    <w:lvl w:ilvl="0">
      <w:lvlJc w:val="left"/>
      <w:lvlText w:val="(%1)"/>
      <w:numFmt w:val="upperLetter"/>
      <w:start w:val="3"/>
    </w:lvl>
  </w:abstractNum>
  <w:abstractNum w:abstractNumId="275">
    <w:nsid w:val="CE8E1A7"/>
    <w:multiLevelType w:val="hybridMultilevel"/>
    <w:lvl w:ilvl="0">
      <w:lvlJc w:val="left"/>
      <w:lvlText w:val="-"/>
      <w:numFmt w:val="bullet"/>
      <w:start w:val="1"/>
    </w:lvl>
    <w:lvl w:ilvl="1">
      <w:lvlJc w:val="left"/>
      <w:lvlText w:val="(%2)"/>
      <w:numFmt w:val="lowerLetter"/>
      <w:start w:val="8"/>
    </w:lvl>
  </w:abstractNum>
  <w:abstractNum w:abstractNumId="276">
    <w:nsid w:val="4E9EFB0D"/>
    <w:multiLevelType w:val="hybridMultilevel"/>
    <w:lvl w:ilvl="0">
      <w:lvlJc w:val="left"/>
      <w:lvlText w:val="(%1)"/>
      <w:numFmt w:val="lowerRoman"/>
      <w:start w:val="1"/>
    </w:lvl>
  </w:abstractNum>
  <w:abstractNum w:abstractNumId="277">
    <w:nsid w:val="90802BE"/>
    <w:multiLevelType w:val="hybridMultilevel"/>
    <w:lvl w:ilvl="0">
      <w:lvlJc w:val="left"/>
      <w:lvlText w:val="(%1)"/>
      <w:numFmt w:val="lowerLetter"/>
      <w:start w:val="1"/>
    </w:lvl>
  </w:abstractNum>
  <w:abstractNum w:abstractNumId="278">
    <w:nsid w:val="3266459B"/>
    <w:multiLevelType w:val="hybridMultilevel"/>
    <w:lvl w:ilvl="0">
      <w:lvlJc w:val="left"/>
      <w:lvlText w:val="-"/>
      <w:numFmt w:val="bullet"/>
      <w:start w:val="1"/>
    </w:lvl>
    <w:lvl w:ilvl="1">
      <w:lvlJc w:val="left"/>
      <w:lvlText w:val="(%2)"/>
      <w:numFmt w:val="lowerLetter"/>
      <w:start w:val="3"/>
    </w:lvl>
  </w:abstractNum>
  <w:abstractNum w:abstractNumId="279">
    <w:nsid w:val="3F8B0CBF"/>
    <w:multiLevelType w:val="hybridMultilevel"/>
    <w:lvl w:ilvl="0">
      <w:lvlJc w:val="left"/>
      <w:lvlText w:val="-"/>
      <w:numFmt w:val="bullet"/>
      <w:start w:val="1"/>
    </w:lvl>
    <w:lvl w:ilvl="1">
      <w:lvlJc w:val="left"/>
      <w:lvlText w:val="(%2)"/>
      <w:numFmt w:val="lowerLetter"/>
      <w:start w:val="1"/>
    </w:lvl>
  </w:abstractNum>
  <w:abstractNum w:abstractNumId="280">
    <w:nsid w:val="37E203AB"/>
    <w:multiLevelType w:val="hybridMultilevel"/>
    <w:lvl w:ilvl="0">
      <w:lvlJc w:val="left"/>
      <w:lvlText w:val="(%1)"/>
      <w:numFmt w:val="lowerLetter"/>
      <w:start w:val="4"/>
    </w:lvl>
  </w:abstractNum>
  <w:abstractNum w:abstractNumId="281">
    <w:nsid w:val="2586D60E"/>
    <w:multiLevelType w:val="hybridMultilevel"/>
    <w:lvl w:ilvl="0">
      <w:lvlJc w:val="left"/>
      <w:lvlText w:val="-"/>
      <w:numFmt w:val="bullet"/>
      <w:start w:val="1"/>
    </w:lvl>
    <w:lvl w:ilvl="1">
      <w:lvlJc w:val="left"/>
      <w:lvlText w:val="(%2)"/>
      <w:numFmt w:val="lowerLetter"/>
      <w:start w:val="1"/>
    </w:lvl>
  </w:abstractNum>
  <w:abstractNum w:abstractNumId="282">
    <w:nsid w:val="1F3DA4D5"/>
    <w:multiLevelType w:val="hybridMultilevel"/>
    <w:lvl w:ilvl="0">
      <w:lvlJc w:val="left"/>
      <w:lvlText w:val="(%1)"/>
      <w:numFmt w:val="lowerRoman"/>
      <w:start w:val="1"/>
    </w:lvl>
  </w:abstractNum>
  <w:abstractNum w:abstractNumId="283">
    <w:nsid w:val="74C9369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4">
    <w:nsid w:val="48781401"/>
    <w:multiLevelType w:val="hybridMultilevel"/>
    <w:lvl w:ilvl="0">
      <w:lvlJc w:val="left"/>
      <w:lvlText w:val="%1"/>
      <w:numFmt w:val="lowerRoman"/>
      <w:start w:val="1"/>
    </w:lvl>
    <w:lvl w:ilvl="1">
      <w:lvlJc w:val="left"/>
      <w:lvlText w:val="(%2)"/>
      <w:numFmt w:val="upperLetter"/>
      <w:start w:val="2"/>
    </w:lvl>
  </w:abstractNum>
  <w:abstractNum w:abstractNumId="285">
    <w:nsid w:val="186928D6"/>
    <w:multiLevelType w:val="hybridMultilevel"/>
    <w:lvl w:ilvl="0">
      <w:lvlJc w:val="left"/>
      <w:lvlText w:val="(%1)"/>
      <w:numFmt w:val="lowerRoman"/>
      <w:start w:val="2"/>
    </w:lvl>
    <w:lvl w:ilvl="1">
      <w:lvlJc w:val="left"/>
      <w:lvlText w:val="%2"/>
      <w:numFmt w:val="upperLetter"/>
      <w:start w:val="1"/>
    </w:lvl>
  </w:abstractNum>
  <w:abstractNum w:abstractNumId="286">
    <w:nsid w:val="47195E5"/>
    <w:multiLevelType w:val="hybridMultilevel"/>
    <w:lvl w:ilvl="0">
      <w:lvlJc w:val="left"/>
      <w:lvlText w:val="(%1)"/>
      <w:numFmt w:val="lowerRoman"/>
      <w:start w:val="5"/>
    </w:lvl>
  </w:abstractNum>
  <w:abstractNum w:abstractNumId="287">
    <w:nsid w:val="3746A5F2"/>
    <w:multiLevelType w:val="hybridMultilevel"/>
    <w:lvl w:ilvl="0">
      <w:lvlJc w:val="left"/>
      <w:lvlText w:val="(%1)"/>
      <w:numFmt w:val="lowerLetter"/>
      <w:start w:val="1"/>
    </w:lvl>
  </w:abstractNum>
  <w:abstractNum w:abstractNumId="288">
    <w:nsid w:val="682DFED6"/>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289">
    <w:nsid w:val="606ED7F6"/>
    <w:multiLevelType w:val="hybridMultilevel"/>
    <w:lvl w:ilvl="0">
      <w:lvlJc w:val="left"/>
      <w:lvlText w:val="(%1)"/>
      <w:numFmt w:val="lowerRoman"/>
      <w:start w:val="2"/>
    </w:lvl>
  </w:abstractNum>
  <w:abstractNum w:abstractNumId="290">
    <w:nsid w:val="2D9DF57D"/>
    <w:multiLevelType w:val="hybridMultilevel"/>
    <w:lvl w:ilvl="0">
      <w:lvlJc w:val="left"/>
      <w:lvlText w:val="%1"/>
      <w:numFmt w:val="lowerLetter"/>
      <w:start w:val="1"/>
    </w:lvl>
    <w:lvl w:ilvl="1">
      <w:lvlJc w:val="left"/>
      <w:lvlText w:val="(%2)"/>
      <w:numFmt w:val="lowerLetter"/>
      <w:start w:val="2"/>
    </w:lvl>
  </w:abstractNum>
  <w:abstractNum w:abstractNumId="291">
    <w:nsid w:val="7FBD7A3E"/>
    <w:multiLevelType w:val="hybridMultilevel"/>
    <w:lvl w:ilvl="0">
      <w:lvlJc w:val="left"/>
      <w:lvlText w:val="(%1)"/>
      <w:numFmt w:val="lowerLetter"/>
      <w:start w:val="3"/>
    </w:lvl>
    <w:lvl w:ilvl="1">
      <w:lvlJc w:val="left"/>
      <w:lvlText w:val="%2"/>
      <w:numFmt w:val="lowerLetter"/>
      <w:start w:val="1"/>
    </w:lvl>
  </w:abstractNum>
  <w:abstractNum w:abstractNumId="292">
    <w:nsid w:val="490B7C5"/>
    <w:multiLevelType w:val="hybridMultilevel"/>
    <w:lvl w:ilvl="0">
      <w:lvlJc w:val="left"/>
      <w:lvlText w:val="(%1)"/>
      <w:numFmt w:val="lowerLetter"/>
      <w:start w:val="1"/>
    </w:lvl>
  </w:abstractNum>
  <w:abstractNum w:abstractNumId="293">
    <w:nsid w:val="4303A216"/>
    <w:multiLevelType w:val="hybridMultilevel"/>
    <w:lvl w:ilvl="0">
      <w:lvlJc w:val="left"/>
      <w:lvlText w:val="(%1)"/>
      <w:numFmt w:val="lowerRoman"/>
      <w:start w:val="1"/>
    </w:lvl>
  </w:abstractNum>
  <w:abstractNum w:abstractNumId="294">
    <w:nsid w:val="19B8A08E"/>
    <w:multiLevelType w:val="hybridMultilevel"/>
    <w:lvl w:ilvl="0">
      <w:lvlJc w:val="left"/>
      <w:lvlText w:val="%1"/>
      <w:numFmt w:val="lowerLetter"/>
      <w:start w:val="1"/>
    </w:lvl>
    <w:lvl w:ilvl="1">
      <w:lvlJc w:val="left"/>
      <w:lvlText w:val="(%2)"/>
      <w:numFmt w:val="lowerRoman"/>
      <w:start w:val="7"/>
    </w:lvl>
  </w:abstractNum>
  <w:abstractNum w:abstractNumId="295">
    <w:nsid w:val="54B59621"/>
    <w:multiLevelType w:val="hybridMultilevel"/>
    <w:lvl w:ilvl="0">
      <w:lvlJc w:val="left"/>
      <w:lvlText w:val="(%1)"/>
      <w:numFmt w:val="lowerLetter"/>
      <w:start w:val="2"/>
    </w:lvl>
    <w:lvl w:ilvl="1">
      <w:lvlJc w:val="left"/>
      <w:lvlText w:val="(%2)"/>
      <w:numFmt w:val="lowerRoman"/>
      <w:start w:val="1"/>
    </w:lvl>
  </w:abstractNum>
  <w:abstractNum w:abstractNumId="296">
    <w:nsid w:val="5992A02E"/>
    <w:multiLevelType w:val="hybridMultilevel"/>
    <w:lvl w:ilvl="0">
      <w:lvlJc w:val="left"/>
      <w:lvlText w:val="%1"/>
      <w:numFmt w:val="upperLetter"/>
      <w:start w:val="1"/>
    </w:lvl>
    <w:lvl w:ilvl="1">
      <w:lvlJc w:val="left"/>
      <w:lvlText w:val="(%2)"/>
      <w:numFmt w:val="lowerRoman"/>
      <w:start w:val="3"/>
    </w:lvl>
  </w:abstractNum>
  <w:abstractNum w:abstractNumId="297">
    <w:nsid w:val="29EF532D"/>
    <w:multiLevelType w:val="hybridMultilevel"/>
    <w:lvl w:ilvl="0">
      <w:lvlJc w:val="left"/>
      <w:lvlText w:val="(%1)"/>
      <w:numFmt w:val="upperLetter"/>
      <w:start w:val="2"/>
    </w:lvl>
    <w:lvl w:ilvl="1">
      <w:lvlJc w:val="left"/>
      <w:lvlText w:val="(%2)"/>
      <w:numFmt w:val="lowerRoman"/>
      <w:start w:val="4"/>
    </w:lvl>
  </w:abstractNum>
  <w:abstractNum w:abstractNumId="298">
    <w:nsid w:val="71D601AF"/>
    <w:multiLevelType w:val="hybridMultilevel"/>
    <w:lvl w:ilvl="0">
      <w:lvlJc w:val="left"/>
      <w:lvlText w:val="-"/>
      <w:numFmt w:val="bullet"/>
      <w:start w:val="1"/>
    </w:lvl>
    <w:lvl w:ilvl="1">
      <w:lvlJc w:val="left"/>
      <w:lvlText w:val="(%2)"/>
      <w:numFmt w:val="lowerLetter"/>
      <w:start w:val="1"/>
    </w:lvl>
  </w:abstractNum>
  <w:abstractNum w:abstractNumId="299">
    <w:nsid w:val="52C77402"/>
    <w:multiLevelType w:val="hybridMultilevel"/>
    <w:lvl w:ilvl="0">
      <w:lvlJc w:val="left"/>
      <w:lvlText w:val="-"/>
      <w:numFmt w:val="bullet"/>
      <w:start w:val="1"/>
    </w:lvl>
    <w:lvl w:ilvl="1">
      <w:lvlJc w:val="left"/>
      <w:lvlText w:val="(%2)"/>
      <w:numFmt w:val="lowerLetter"/>
      <w:start w:val="4"/>
    </w:lvl>
  </w:abstractNum>
  <w:abstractNum w:abstractNumId="300">
    <w:nsid w:val="2BB5B1C6"/>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9"/>
    </w:lvl>
  </w:abstractNum>
  <w:abstractNum w:abstractNumId="301">
    <w:nsid w:val="66BE6B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302">
    <w:nsid w:val="62234363"/>
    <w:multiLevelType w:val="hybridMultilevel"/>
    <w:lvl w:ilvl="0">
      <w:lvlJc w:val="left"/>
      <w:lvlText w:val="-"/>
      <w:numFmt w:val="bullet"/>
      <w:start w:val="1"/>
    </w:lvl>
    <w:lvl w:ilvl="1">
      <w:lvlJc w:val="left"/>
      <w:lvlText w:val="(%2)"/>
      <w:numFmt w:val="lowerLetter"/>
      <w:start w:val="14"/>
    </w:lvl>
    <w:lvl w:ilvl="2">
      <w:lvlJc w:val="left"/>
      <w:lvlText w:val="%3"/>
      <w:numFmt w:val="lowerRoman"/>
      <w:start w:val="1"/>
    </w:lvl>
  </w:abstractNum>
  <w:abstractNum w:abstractNumId="303">
    <w:nsid w:val="66D385C9"/>
    <w:multiLevelType w:val="hybridMultilevel"/>
    <w:lvl w:ilvl="0">
      <w:lvlJc w:val="left"/>
      <w:lvlText w:val="-"/>
      <w:numFmt w:val="bullet"/>
      <w:start w:val="1"/>
    </w:lvl>
    <w:lvl w:ilvl="1">
      <w:lvlJc w:val="left"/>
      <w:lvlText w:val="(%2)"/>
      <w:numFmt w:val="lowerLetter"/>
      <w:start w:val="16"/>
    </w:lvl>
  </w:abstractNum>
  <w:abstractNum w:abstractNumId="304">
    <w:nsid w:val="596F6D8A"/>
    <w:multiLevelType w:val="hybridMultilevel"/>
    <w:lvl w:ilvl="0">
      <w:lvlJc w:val="left"/>
      <w:lvlText w:val="-"/>
      <w:numFmt w:val="bullet"/>
      <w:start w:val="1"/>
    </w:lvl>
    <w:lvl w:ilvl="1">
      <w:lvlJc w:val="left"/>
      <w:lvlText w:val="(%2)"/>
      <w:numFmt w:val="lowerLetter"/>
      <w:start w:val="20"/>
    </w:lvl>
  </w:abstractNum>
  <w:abstractNum w:abstractNumId="305">
    <w:nsid w:val="5749361F"/>
    <w:multiLevelType w:val="hybridMultilevel"/>
    <w:lvl w:ilvl="0">
      <w:lvlJc w:val="left"/>
      <w:lvlText w:val="%1"/>
      <w:numFmt w:val="lowerRoman"/>
      <w:start w:val="1"/>
    </w:lvl>
    <w:lvl w:ilvl="1">
      <w:lvlJc w:val="left"/>
      <w:lvlText w:val="(%2)"/>
      <w:numFmt w:val="lowerRoman"/>
      <w:start w:val="10"/>
    </w:lvl>
  </w:abstractNum>
  <w:abstractNum w:abstractNumId="306">
    <w:nsid w:val="73BC6770"/>
    <w:multiLevelType w:val="hybridMultilevel"/>
    <w:lvl w:ilvl="0">
      <w:lvlJc w:val="left"/>
      <w:lvlText w:val="(%1)"/>
      <w:numFmt w:val="lowerRoman"/>
      <w:start w:val="3"/>
    </w:lvl>
    <w:lvl w:ilvl="1">
      <w:lvlJc w:val="left"/>
      <w:lvlText w:val="%2"/>
      <w:numFmt w:val="lowerRoman"/>
      <w:start w:val="1"/>
    </w:lvl>
  </w:abstractNum>
  <w:abstractNum w:abstractNumId="307">
    <w:nsid w:val="280E6897"/>
    <w:multiLevelType w:val="hybridMultilevel"/>
    <w:lvl w:ilvl="0">
      <w:lvlJc w:val="left"/>
      <w:lvlText w:val="%1"/>
      <w:numFmt w:val="lowerLetter"/>
      <w:start w:val="1"/>
    </w:lvl>
    <w:lvl w:ilvl="1">
      <w:lvlJc w:val="left"/>
      <w:lvlText w:val="(%2)"/>
      <w:numFmt w:val="lowerLetter"/>
      <w:start w:val="25"/>
    </w:lvl>
  </w:abstractNum>
  <w:abstractNum w:abstractNumId="308">
    <w:nsid w:val="605138DE"/>
    <w:multiLevelType w:val="hybridMultilevel"/>
    <w:lvl w:ilvl="0">
      <w:lvlJc w:val="left"/>
      <w:lvlText w:val="(%1)"/>
      <w:numFmt w:val="lowerLetter"/>
      <w:start w:val="26"/>
    </w:lvl>
    <w:lvl w:ilvl="1">
      <w:lvlJc w:val="left"/>
      <w:lvlText w:val="%2"/>
      <w:numFmt w:val="lowerLetter"/>
      <w:start w:val="1"/>
    </w:lvl>
  </w:abstractNum>
  <w:abstractNum w:abstractNumId="309">
    <w:nsid w:val="2622AD0C"/>
    <w:multiLevelType w:val="hybridMultilevel"/>
    <w:lvl w:ilvl="0">
      <w:lvlJc w:val="left"/>
      <w:lvlText w:val="(%1)"/>
      <w:numFmt w:val="lowerLetter"/>
      <w:start w:val="27"/>
    </w:lvl>
  </w:abstractNum>
  <w:abstractNum w:abstractNumId="310">
    <w:nsid w:val="67997556"/>
    <w:multiLevelType w:val="hybridMultilevel"/>
    <w:lvl w:ilvl="0">
      <w:lvlJc w:val="left"/>
      <w:lvlText w:val="(%1)"/>
      <w:numFmt w:val="lowerLetter"/>
      <w:start w:val="3"/>
    </w:lvl>
  </w:abstractNum>
  <w:abstractNum w:abstractNumId="311">
    <w:nsid w:val="18333C89"/>
    <w:multiLevelType w:val="hybridMultilevel"/>
    <w:lvl w:ilvl="0">
      <w:lvlJc w:val="left"/>
      <w:lvlText w:val="-"/>
      <w:numFmt w:val="bullet"/>
      <w:start w:val="1"/>
    </w:lvl>
    <w:lvl w:ilvl="1">
      <w:lvlJc w:val="left"/>
      <w:lvlText w:val="(%2)"/>
      <w:numFmt w:val="lowerLetter"/>
      <w:start w:val="1"/>
    </w:lvl>
  </w:abstractNum>
  <w:abstractNum w:abstractNumId="312">
    <w:nsid w:val="4BA9831A"/>
    <w:multiLevelType w:val="hybridMultilevel"/>
    <w:lvl w:ilvl="0">
      <w:lvlJc w:val="left"/>
      <w:lvlText w:val="-"/>
      <w:numFmt w:val="bullet"/>
      <w:start w:val="1"/>
    </w:lvl>
    <w:lvl w:ilvl="1">
      <w:lvlJc w:val="left"/>
      <w:lvlText w:val="(%2)"/>
      <w:numFmt w:val="lowerLetter"/>
      <w:start w:val="7"/>
    </w:lvl>
  </w:abstractNum>
  <w:abstractNum w:abstractNumId="313">
    <w:nsid w:val="6D71A2B"/>
    <w:multiLevelType w:val="hybridMultilevel"/>
    <w:lvl w:ilvl="0">
      <w:lvlJc w:val="left"/>
      <w:lvlText w:val="(%1)"/>
      <w:numFmt w:val="lowerLetter"/>
      <w:start w:val="1"/>
    </w:lvl>
  </w:abstractNum>
  <w:abstractNum w:abstractNumId="314">
    <w:nsid w:val="CFC7321"/>
    <w:multiLevelType w:val="hybridMultilevel"/>
    <w:lvl w:ilvl="0">
      <w:lvlJc w:val="left"/>
      <w:lvlText w:val="-"/>
      <w:numFmt w:val="bullet"/>
      <w:start w:val="1"/>
    </w:lvl>
    <w:lvl w:ilvl="1">
      <w:lvlJc w:val="left"/>
      <w:lvlText w:val="(%2)"/>
      <w:numFmt w:val="lowerLetter"/>
      <w:start w:val="1"/>
    </w:lvl>
  </w:abstractNum>
  <w:abstractNum w:abstractNumId="315">
    <w:nsid w:val="1421971B"/>
    <w:multiLevelType w:val="hybridMultilevel"/>
    <w:lvl w:ilvl="0">
      <w:lvlJc w:val="left"/>
      <w:lvlText w:val="(%1)"/>
      <w:numFmt w:val="lowerLetter"/>
      <w:start w:val="3"/>
    </w:lvl>
  </w:abstractNum>
  <w:abstractNum w:abstractNumId="316">
    <w:nsid w:val="1F404301"/>
    <w:multiLevelType w:val="hybridMultilevel"/>
    <w:lvl w:ilvl="0">
      <w:lvlJc w:val="left"/>
      <w:lvlText w:val="-"/>
      <w:numFmt w:val="bullet"/>
      <w:start w:val="1"/>
    </w:lvl>
    <w:lvl w:ilvl="1">
      <w:lvlJc w:val="left"/>
      <w:lvlText w:val="(%2)"/>
      <w:numFmt w:val="lowerLetter"/>
      <w:start w:val="7"/>
    </w:lvl>
  </w:abstractNum>
  <w:abstractNum w:abstractNumId="317">
    <w:nsid w:val="116E0907"/>
    <w:multiLevelType w:val="hybridMultilevel"/>
    <w:lvl w:ilvl="0">
      <w:lvlJc w:val="left"/>
      <w:lvlText w:val="(%1)"/>
      <w:numFmt w:val="lowerLetter"/>
      <w:start w:val="1"/>
    </w:lvl>
  </w:abstractNum>
  <w:abstractNum w:abstractNumId="318">
    <w:nsid w:val="4B683D0D"/>
    <w:multiLevelType w:val="hybridMultilevel"/>
    <w:lvl w:ilvl="0">
      <w:lvlJc w:val="left"/>
      <w:lvlText w:val="-"/>
      <w:numFmt w:val="bullet"/>
      <w:start w:val="1"/>
    </w:lvl>
    <w:lvl w:ilvl="1">
      <w:lvlJc w:val="left"/>
      <w:lvlText w:val="(%2)"/>
      <w:numFmt w:val="lowerLetter"/>
      <w:start w:val="1"/>
    </w:lvl>
  </w:abstractNum>
  <w:abstractNum w:abstractNumId="319">
    <w:nsid w:val="76E41D8"/>
    <w:multiLevelType w:val="hybridMultilevel"/>
    <w:lvl w:ilvl="0">
      <w:lvlJc w:val="left"/>
      <w:lvlText w:val="(%1)"/>
      <w:numFmt w:val="lowerLetter"/>
      <w:start w:val="1"/>
    </w:lvl>
    <w:lvl w:ilvl="1">
      <w:lvlJc w:val="left"/>
      <w:lvlText w:val="(%2)"/>
      <w:numFmt w:val="lowerRoman"/>
      <w:start w:val="1"/>
    </w:lvl>
  </w:abstractNum>
  <w:abstractNum w:abstractNumId="320">
    <w:nsid w:val="71DCE0FD"/>
    <w:multiLevelType w:val="hybridMultilevel"/>
    <w:lvl w:ilvl="0">
      <w:lvlJc w:val="left"/>
      <w:lvlText w:val="(%1)"/>
      <w:numFmt w:val="lowerLetter"/>
      <w:start w:val="1"/>
    </w:lvl>
  </w:abstractNum>
  <w:abstractNum w:abstractNumId="321">
    <w:nsid w:val="7906328B"/>
    <w:multiLevelType w:val="hybridMultilevel"/>
    <w:lvl w:ilvl="0">
      <w:lvlJc w:val="left"/>
      <w:lvlText w:val="-"/>
      <w:numFmt w:val="bullet"/>
      <w:start w:val="1"/>
    </w:lvl>
    <w:lvl w:ilvl="1">
      <w:lvlJc w:val="left"/>
      <w:lvlText w:val="(%2)"/>
      <w:numFmt w:val="lowerLetter"/>
      <w:start w:val="1"/>
    </w:lvl>
  </w:abstractNum>
  <w:abstractNum w:abstractNumId="322">
    <w:nsid w:val="72BBC1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23">
    <w:nsid w:val="766D98C2"/>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24">
    <w:nsid w:val="3C09D4A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25">
    <w:nsid w:val="20E45CA4"/>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326">
    <w:nsid w:val="4B232EE3"/>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27">
    <w:nsid w:val="159C74CF"/>
    <w:multiLevelType w:val="hybridMultilevel"/>
    <w:lvl w:ilvl="0">
      <w:lvlJc w:val="left"/>
      <w:lvlText w:val="-"/>
      <w:numFmt w:val="bullet"/>
      <w:start w:val="1"/>
    </w:lvl>
    <w:lvl w:ilvl="1">
      <w:lvlJc w:val="left"/>
      <w:lvlText w:val="(%2)"/>
      <w:numFmt w:val="lowerLetter"/>
      <w:start w:val="7"/>
    </w:lvl>
  </w:abstractNum>
  <w:abstractNum w:abstractNumId="328">
    <w:nsid w:val="4AD3AFD2"/>
    <w:multiLevelType w:val="hybridMultilevel"/>
    <w:lvl w:ilvl="0">
      <w:lvlJc w:val="left"/>
      <w:lvlText w:val="(%1)"/>
      <w:numFmt w:val="lowerLetter"/>
      <w:start w:val="9"/>
    </w:lvl>
    <w:lvl w:ilvl="1">
      <w:lvlJc w:val="left"/>
      <w:lvlText w:val="(%2)"/>
      <w:numFmt w:val="lowerRoman"/>
      <w:start w:val="1"/>
    </w:lvl>
  </w:abstractNum>
  <w:abstractNum w:abstractNumId="329">
    <w:nsid w:val="3CF93092"/>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330">
    <w:nsid w:val="6863E8D2"/>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331">
    <w:nsid w:val="76896198"/>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332">
    <w:nsid w:val="4365174B"/>
    <w:multiLevelType w:val="hybridMultilevel"/>
    <w:lvl w:ilvl="0">
      <w:lvlJc w:val="left"/>
      <w:lvlText w:val="(%1)"/>
      <w:numFmt w:val="lowerLetter"/>
      <w:start w:val="1"/>
    </w:lvl>
  </w:abstractNum>
  <w:abstractNum w:abstractNumId="333">
    <w:nsid w:val="4A872C35"/>
    <w:multiLevelType w:val="hybridMultilevel"/>
    <w:lvl w:ilvl="0">
      <w:lvlJc w:val="left"/>
      <w:lvlText w:val="(%1)"/>
      <w:numFmt w:val="lowerLetter"/>
      <w:start w:val="7"/>
    </w:lvl>
  </w:abstractNum>
  <w:abstractNum w:abstractNumId="334">
    <w:nsid w:val="5D5CE761"/>
    <w:multiLevelType w:val="hybridMultilevel"/>
    <w:lvl w:ilvl="0">
      <w:lvlJc w:val="left"/>
      <w:lvlText w:val="(%1)"/>
      <w:numFmt w:val="lowerLetter"/>
      <w:start w:val="1"/>
    </w:lvl>
  </w:abstractNum>
  <w:abstractNum w:abstractNumId="335">
    <w:nsid w:val="1CD484D5"/>
    <w:multiLevelType w:val="hybridMultilevel"/>
    <w:lvl w:ilvl="0">
      <w:lvlJc w:val="left"/>
      <w:lvlText w:val="3"/>
      <w:numFmt w:val="bullet"/>
      <w:start w:val="1"/>
    </w:lvl>
    <w:lvl w:ilvl="1">
      <w:lvlJc w:val="left"/>
      <w:lvlText w:val="-"/>
      <w:numFmt w:val="bullet"/>
      <w:start w:val="1"/>
    </w:lvl>
  </w:abstractNum>
  <w:abstractNum w:abstractNumId="336">
    <w:nsid w:val="21D06255"/>
    <w:multiLevelType w:val="hybridMultilevel"/>
    <w:lvl w:ilvl="0">
      <w:lvlJc w:val="left"/>
      <w:lvlText w:val="(%1)"/>
      <w:numFmt w:val="lowerLetter"/>
      <w:start w:val="5"/>
    </w:lvl>
  </w:abstractNum>
  <w:abstractNum w:abstractNumId="337">
    <w:nsid w:val="51194ED1"/>
    <w:multiLevelType w:val="hybridMultilevel"/>
    <w:lvl w:ilvl="0">
      <w:lvlJc w:val="left"/>
      <w:lvlText w:val="-"/>
      <w:numFmt w:val="bullet"/>
      <w:start w:val="1"/>
    </w:lvl>
    <w:lvl w:ilvl="1">
      <w:lvlJc w:val="left"/>
      <w:lvlText w:val="(%2)"/>
      <w:numFmt w:val="lowerLetter"/>
      <w:start w:val="1"/>
    </w:lvl>
  </w:abstractNum>
  <w:abstractNum w:abstractNumId="338">
    <w:nsid w:val="44E2ED6C"/>
    <w:multiLevelType w:val="hybridMultilevel"/>
    <w:lvl w:ilvl="0">
      <w:lvlJc w:val="left"/>
      <w:lvlText w:val="(%1)"/>
      <w:numFmt w:val="lowerLetter"/>
      <w:start w:val="2"/>
    </w:lvl>
  </w:abstractNum>
  <w:abstractNum w:abstractNumId="339">
    <w:nsid w:val="2219B33"/>
    <w:multiLevelType w:val="hybridMultilevel"/>
    <w:lvl w:ilvl="0">
      <w:lvlJc w:val="left"/>
      <w:lvlText w:val="-"/>
      <w:numFmt w:val="bullet"/>
      <w:start w:val="1"/>
    </w:lvl>
    <w:lvl w:ilvl="1">
      <w:lvlJc w:val="left"/>
      <w:lvlText w:val="(%2)"/>
      <w:numFmt w:val="lowerLetter"/>
      <w:start w:val="1"/>
    </w:lvl>
  </w:abstractNum>
  <w:abstractNum w:abstractNumId="340">
    <w:nsid w:val="773BFBDD"/>
    <w:multiLevelType w:val="hybridMultilevel"/>
    <w:lvl w:ilvl="0">
      <w:lvlJc w:val="left"/>
      <w:lvlText w:val="(%1)"/>
      <w:numFmt w:val="lowerLetter"/>
      <w:start w:val="2"/>
    </w:lvl>
  </w:abstractNum>
  <w:abstractNum w:abstractNumId="341">
    <w:nsid w:val="2C7C62C2"/>
    <w:multiLevelType w:val="hybridMultilevel"/>
    <w:lvl w:ilvl="0">
      <w:lvlJc w:val="left"/>
      <w:lvlText w:val="%1"/>
      <w:numFmt w:val="lowerLetter"/>
      <w:start w:val="1"/>
    </w:lvl>
    <w:lvl w:ilvl="1">
      <w:lvlJc w:val="left"/>
      <w:lvlText w:val="(%2)"/>
      <w:numFmt w:val="lowerLetter"/>
      <w:start w:val="1"/>
    </w:lvl>
  </w:abstractNum>
  <w:abstractNum w:abstractNumId="342">
    <w:nsid w:val="1A54D7BC"/>
    <w:multiLevelType w:val="hybridMultilevel"/>
    <w:lvl w:ilvl="0">
      <w:lvlJc w:val="left"/>
      <w:lvlText w:val="(%1)"/>
      <w:numFmt w:val="lowerLetter"/>
      <w:start w:val="9"/>
    </w:lvl>
    <w:lvl w:ilvl="1">
      <w:lvlJc w:val="left"/>
      <w:lvlText w:val="%2"/>
      <w:numFmt w:val="lowerLetter"/>
      <w:start w:val="1"/>
    </w:lvl>
  </w:abstractNum>
  <w:abstractNum w:abstractNumId="343">
    <w:nsid w:val="42E57EF7"/>
    <w:multiLevelType w:val="hybridMultilevel"/>
    <w:lvl w:ilvl="0">
      <w:lvlJc w:val="left"/>
      <w:lvlText w:val="-"/>
      <w:numFmt w:val="bullet"/>
      <w:start w:val="1"/>
    </w:lvl>
    <w:lvl w:ilvl="1">
      <w:lvlJc w:val="left"/>
      <w:lvlText w:val="(%2)"/>
      <w:numFmt w:val="lowerLetter"/>
      <w:start w:val="2"/>
    </w:lvl>
  </w:abstractNum>
  <w:abstractNum w:abstractNumId="344">
    <w:nsid w:val="33537CED"/>
    <w:multiLevelType w:val="hybridMultilevel"/>
    <w:lvl w:ilvl="0">
      <w:lvlJc w:val="left"/>
      <w:lvlText w:val="(%1)"/>
      <w:numFmt w:val="lowerLetter"/>
      <w:start w:val="6"/>
    </w:lvl>
  </w:abstractNum>
  <w:abstractNum w:abstractNumId="345">
    <w:nsid w:val="27514ADE"/>
    <w:multiLevelType w:val="hybridMultilevel"/>
    <w:lvl w:ilvl="0">
      <w:lvlJc w:val="left"/>
      <w:lvlText w:val="-"/>
      <w:numFmt w:val="bullet"/>
      <w:start w:val="1"/>
    </w:lvl>
    <w:lvl w:ilvl="1">
      <w:lvlJc w:val="left"/>
      <w:lvlText w:val="(%2)"/>
      <w:numFmt w:val="lowerLetter"/>
      <w:start w:val="1"/>
    </w:lvl>
  </w:abstractNum>
  <w:abstractNum w:abstractNumId="346">
    <w:nsid w:val="5707161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47">
    <w:nsid w:val="5293BFEF"/>
    <w:multiLevelType w:val="hybridMultilevel"/>
    <w:lvl w:ilvl="0">
      <w:lvlJc w:val="left"/>
      <w:lvlText w:val="-"/>
      <w:numFmt w:val="bullet"/>
      <w:start w:val="1"/>
    </w:lvl>
    <w:lvl w:ilvl="1">
      <w:lvlJc w:val="left"/>
      <w:lvlText w:val="%2"/>
      <w:numFmt w:val="lowerRoman"/>
      <w:start w:val="1"/>
    </w:lvl>
    <w:lvl w:ilvl="2">
      <w:lvlJc w:val="left"/>
      <w:lvlText w:val="(%3)"/>
      <w:numFmt w:val="upperLetter"/>
      <w:start w:val="3"/>
    </w:lvl>
  </w:abstractNum>
  <w:abstractNum w:abstractNumId="348">
    <w:nsid w:val="38BF53E5"/>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abstractNum>
  <w:abstractNum w:abstractNumId="349">
    <w:nsid w:val="226F5320"/>
    <w:multiLevelType w:val="hybridMultilevel"/>
    <w:lvl w:ilvl="0">
      <w:lvlJc w:val="left"/>
      <w:lvlText w:val="(%1)"/>
      <w:numFmt w:val="lowerRoman"/>
      <w:start w:val="6"/>
    </w:lvl>
  </w:abstractNum>
  <w:abstractNum w:abstractNumId="350">
    <w:nsid w:val="5A0201C7"/>
    <w:multiLevelType w:val="hybridMultilevel"/>
    <w:lvl w:ilvl="0">
      <w:lvlJc w:val="left"/>
      <w:lvlText w:val="-"/>
      <w:numFmt w:val="bullet"/>
      <w:start w:val="1"/>
    </w:lvl>
    <w:lvl w:ilvl="1">
      <w:lvlJc w:val="left"/>
      <w:lvlText w:val="(%2)"/>
      <w:numFmt w:val="lowerLetter"/>
      <w:start w:val="3"/>
    </w:lvl>
  </w:abstractNum>
  <w:abstractNum w:abstractNumId="351">
    <w:nsid w:val="2A9C34E2"/>
    <w:multiLevelType w:val="hybridMultilevel"/>
    <w:lvl w:ilvl="0">
      <w:lvlJc w:val="left"/>
      <w:lvlText w:val="-"/>
      <w:numFmt w:val="bullet"/>
      <w:start w:val="1"/>
    </w:lvl>
    <w:lvl w:ilvl="1">
      <w:lvlJc w:val="left"/>
      <w:lvlText w:val="(%2)"/>
      <w:numFmt w:val="lowerLetter"/>
      <w:start w:val="4"/>
    </w:lvl>
  </w:abstractNum>
  <w:abstractNum w:abstractNumId="352">
    <w:nsid w:val="1B7585AB"/>
    <w:multiLevelType w:val="hybridMultilevel"/>
    <w:lvl w:ilvl="0">
      <w:lvlJc w:val="left"/>
      <w:lvlText w:val="-"/>
      <w:numFmt w:val="bullet"/>
      <w:start w:val="1"/>
    </w:lvl>
    <w:lvl w:ilvl="1">
      <w:lvlJc w:val="left"/>
      <w:lvlText w:val="(%2)"/>
      <w:numFmt w:val="lowerLetter"/>
      <w:start w:val="6"/>
    </w:lvl>
  </w:abstractNum>
  <w:abstractNum w:abstractNumId="353">
    <w:nsid w:val="612DBDDD"/>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354">
    <w:nsid w:val="2109CDA4"/>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abstractNum>
  <w:abstractNum w:abstractNumId="355">
    <w:nsid w:val="577F5A4D"/>
    <w:multiLevelType w:val="hybridMultilevel"/>
    <w:lvl w:ilvl="0">
      <w:lvlJc w:val="left"/>
      <w:lvlText w:val="-"/>
      <w:numFmt w:val="bullet"/>
      <w:start w:val="1"/>
    </w:lvl>
    <w:lvl w:ilvl="1">
      <w:lvlJc w:val="left"/>
      <w:lvlText w:val="(%2)"/>
      <w:numFmt w:val="lowerRoman"/>
      <w:start w:val="3"/>
    </w:lvl>
    <w:lvl w:ilvl="2">
      <w:lvlJc w:val="left"/>
      <w:lvlText w:val="%3"/>
      <w:numFmt w:val="decimal"/>
      <w:start w:val="1"/>
    </w:lvl>
  </w:abstractNum>
  <w:abstractNum w:abstractNumId="356">
    <w:nsid w:val="2121A81"/>
    <w:multiLevelType w:val="hybridMultilevel"/>
    <w:lvl w:ilvl="0">
      <w:lvlJc w:val="left"/>
      <w:lvlText w:val="(%1)"/>
      <w:numFmt w:val="lowerRoman"/>
      <w:start w:val="4"/>
    </w:lvl>
  </w:abstractNum>
  <w:abstractNum w:abstractNumId="357">
    <w:nsid w:val="6C2CFC88"/>
    <w:multiLevelType w:val="hybridMultilevel"/>
    <w:lvl w:ilvl="0">
      <w:lvlJc w:val="left"/>
      <w:lvlText w:val="-"/>
      <w:numFmt w:val="bullet"/>
      <w:start w:val="1"/>
    </w:lvl>
    <w:lvl w:ilvl="1">
      <w:lvlJc w:val="left"/>
      <w:lvlText w:val="(%2)"/>
      <w:numFmt w:val="lowerRoman"/>
      <w:start w:val="6"/>
    </w:lvl>
  </w:abstractNum>
  <w:abstractNum w:abstractNumId="358">
    <w:nsid w:val="6D1BCF1C"/>
    <w:multiLevelType w:val="hybridMultilevel"/>
    <w:lvl w:ilvl="0">
      <w:lvlJc w:val="left"/>
      <w:lvlText w:val="%1"/>
      <w:numFmt w:val="lowerLetter"/>
      <w:start w:val="1"/>
    </w:lvl>
    <w:lvl w:ilvl="1">
      <w:lvlJc w:val="left"/>
      <w:lvlText w:val="(%2)"/>
      <w:numFmt w:val="lowerRoman"/>
      <w:start w:val="11"/>
    </w:lvl>
  </w:abstractNum>
  <w:abstractNum w:abstractNumId="359">
    <w:nsid w:val="4CE5CA53"/>
    <w:multiLevelType w:val="hybridMultilevel"/>
    <w:lvl w:ilvl="0">
      <w:lvlJc w:val="left"/>
      <w:lvlText w:val="(%1)"/>
      <w:numFmt w:val="lowerLetter"/>
      <w:start w:val="10"/>
    </w:lvl>
    <w:lvl w:ilvl="1">
      <w:lvlJc w:val="left"/>
      <w:lvlText w:val="%2"/>
      <w:numFmt w:val="lowerRoman"/>
      <w:start w:val="1"/>
    </w:lvl>
  </w:abstractNum>
  <w:abstractNum w:abstractNumId="360">
    <w:nsid w:val="29262D1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361">
    <w:nsid w:val="557FB7EE"/>
    <w:multiLevelType w:val="hybridMultilevel"/>
    <w:lvl w:ilvl="0">
      <w:lvlJc w:val="left"/>
      <w:lvlText w:val="(%1)"/>
      <w:numFmt w:val="lowerRoman"/>
      <w:start w:val="2"/>
    </w:lvl>
  </w:abstractNum>
  <w:abstractNum w:abstractNumId="362">
    <w:nsid w:val="436F2BEB"/>
    <w:multiLevelType w:val="hybridMultilevel"/>
    <w:lvl w:ilvl="0">
      <w:lvlJc w:val="left"/>
      <w:lvlText w:val="4"/>
      <w:numFmt w:val="bullet"/>
      <w:start w:val="1"/>
    </w:lvl>
    <w:lvl w:ilvl="1">
      <w:lvlJc w:val="left"/>
      <w:lvlText w:val="-"/>
      <w:numFmt w:val="bullet"/>
      <w:start w:val="1"/>
    </w:lvl>
  </w:abstractNum>
  <w:abstractNum w:abstractNumId="363">
    <w:nsid w:val="6C8B446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1"/>
    </w:lvl>
  </w:abstractNum>
  <w:abstractNum w:abstractNumId="364">
    <w:nsid w:val="2006E424"/>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365">
    <w:nsid w:val="20CC134C"/>
    <w:multiLevelType w:val="hybridMultilevel"/>
    <w:lvl w:ilvl="0">
      <w:lvlJc w:val="left"/>
      <w:lvlText w:val="(%1)"/>
      <w:numFmt w:val="lowerLetter"/>
      <w:start w:val="4"/>
    </w:lvl>
  </w:abstractNum>
  <w:abstractNum w:abstractNumId="366">
    <w:nsid w:val="95FC93B"/>
    <w:multiLevelType w:val="hybridMultilevel"/>
    <w:lvl w:ilvl="0">
      <w:lvlJc w:val="left"/>
      <w:lvlText w:val="5"/>
      <w:numFmt w:val="bullet"/>
      <w:start w:val="1"/>
    </w:lvl>
    <w:lvl w:ilvl="1">
      <w:lvlJc w:val="left"/>
      <w:lvlText w:val="-"/>
      <w:numFmt w:val="bullet"/>
      <w:start w:val="1"/>
    </w:lvl>
  </w:abstractNum>
  <w:abstractNum w:abstractNumId="367">
    <w:nsid w:val="41D74679"/>
    <w:multiLevelType w:val="hybridMultilevel"/>
    <w:lvl w:ilvl="0">
      <w:lvlJc w:val="left"/>
      <w:lvlText w:val="-"/>
      <w:numFmt w:val="bullet"/>
      <w:start w:val="1"/>
    </w:lvl>
    <w:lvl w:ilvl="1">
      <w:lvlJc w:val="left"/>
      <w:lvlText w:val="(%2)"/>
      <w:numFmt w:val="lowerLetter"/>
      <w:start w:val="1"/>
    </w:lvl>
  </w:abstractNum>
  <w:abstractNum w:abstractNumId="368">
    <w:nsid w:val="71E5621E"/>
    <w:multiLevelType w:val="hybridMultilevel"/>
    <w:lvl w:ilvl="0">
      <w:lvlJc w:val="left"/>
      <w:lvlText w:val="-"/>
      <w:numFmt w:val="bullet"/>
      <w:start w:val="1"/>
    </w:lvl>
    <w:lvl w:ilvl="1">
      <w:lvlJc w:val="left"/>
      <w:lvlText w:val="(%2)"/>
      <w:numFmt w:val="lowerLetter"/>
      <w:start w:val="2"/>
    </w:lvl>
  </w:abstractNum>
  <w:abstractNum w:abstractNumId="369">
    <w:nsid w:val="4E42B6A8"/>
    <w:multiLevelType w:val="hybridMultilevel"/>
    <w:lvl w:ilvl="0">
      <w:lvlJc w:val="left"/>
      <w:lvlText w:val="(%1)"/>
      <w:numFmt w:val="lowerLetter"/>
      <w:start w:val="6"/>
    </w:lvl>
  </w:abstractNum>
  <w:abstractNum w:abstractNumId="370">
    <w:nsid w:val="43F8E1AC"/>
    <w:multiLevelType w:val="hybridMultilevel"/>
    <w:lvl w:ilvl="0">
      <w:lvlJc w:val="left"/>
      <w:lvlText w:val="-"/>
      <w:numFmt w:val="bullet"/>
      <w:start w:val="1"/>
    </w:lvl>
    <w:lvl w:ilvl="1">
      <w:lvlJc w:val="left"/>
      <w:lvlText w:val="(%2)"/>
      <w:numFmt w:val="lowerLetter"/>
      <w:start w:val="1"/>
    </w:lvl>
  </w:abstractNum>
  <w:abstractNum w:abstractNumId="371">
    <w:nsid w:val="69215DFB"/>
    <w:multiLevelType w:val="hybridMultilevel"/>
    <w:lvl w:ilvl="0">
      <w:lvlJc w:val="left"/>
      <w:lvlText w:val="(%1)"/>
      <w:numFmt w:val="lowerLetter"/>
      <w:start w:val="4"/>
    </w:lvl>
    <w:lvl w:ilvl="1">
      <w:lvlJc w:val="left"/>
      <w:lvlText w:val="(%2)"/>
      <w:numFmt w:val="lowerRoman"/>
      <w:start w:val="1"/>
    </w:lvl>
  </w:abstractNum>
  <w:abstractNum w:abstractNumId="372">
    <w:nsid w:val="7ABF196A"/>
    <w:multiLevelType w:val="hybridMultilevel"/>
    <w:lvl w:ilvl="0">
      <w:lvlJc w:val="left"/>
      <w:lvlText w:val="-"/>
      <w:numFmt w:val="bullet"/>
      <w:start w:val="1"/>
    </w:lvl>
    <w:lvl w:ilvl="1">
      <w:lvlJc w:val="left"/>
      <w:lvlText w:val="(%2)"/>
      <w:numFmt w:val="lowerLetter"/>
      <w:start w:val="6"/>
    </w:lvl>
  </w:abstractNum>
  <w:abstractNum w:abstractNumId="373">
    <w:nsid w:val="5E4DB968"/>
    <w:multiLevelType w:val="hybridMultilevel"/>
    <w:lvl w:ilvl="0">
      <w:lvlJc w:val="left"/>
      <w:lvlText w:val="(%1)"/>
      <w:numFmt w:val="lowerLetter"/>
      <w:start w:val="1"/>
    </w:lvl>
  </w:abstractNum>
  <w:abstractNum w:abstractNumId="374">
    <w:nsid w:val="2C06DCF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75">
    <w:nsid w:val="2E129658"/>
    <w:multiLevelType w:val="hybridMultilevel"/>
    <w:lvl w:ilvl="0">
      <w:lvlJc w:val="left"/>
      <w:lvlText w:val="(%1)"/>
      <w:numFmt w:val="lowerLetter"/>
      <w:start w:val="1"/>
    </w:lvl>
  </w:abstractNum>
  <w:abstractNum w:abstractNumId="376">
    <w:nsid w:val="59F0446"/>
    <w:multiLevelType w:val="hybridMultilevel"/>
    <w:lvl w:ilvl="0">
      <w:lvlJc w:val="left"/>
      <w:lvlText w:val="(%1)"/>
      <w:numFmt w:val="lowerRoman"/>
      <w:start w:val="1"/>
    </w:lvl>
  </w:abstractNum>
  <w:abstractNum w:abstractNumId="377">
    <w:nsid w:val="30DF30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78">
    <w:nsid w:val="A65647"/>
    <w:multiLevelType w:val="hybridMultilevel"/>
    <w:lvl w:ilvl="0">
      <w:lvlJc w:val="left"/>
      <w:lvlText w:val="%1"/>
      <w:numFmt w:val="lowerLetter"/>
      <w:start w:val="1"/>
    </w:lvl>
    <w:lvl w:ilvl="1">
      <w:lvlJc w:val="left"/>
      <w:lvlText w:val="(%2)"/>
      <w:numFmt w:val="lowerLetter"/>
      <w:start w:val="61"/>
    </w:lvl>
  </w:abstractNum>
  <w:abstractNum w:abstractNumId="379">
    <w:nsid w:val="3E5E582B"/>
    <w:multiLevelType w:val="hybridMultilevel"/>
    <w:lvl w:ilvl="0">
      <w:lvlJc w:val="left"/>
      <w:lvlText w:val="(%1)"/>
      <w:numFmt w:val="lowerLetter"/>
      <w:start w:val="2"/>
    </w:lvl>
    <w:lvl w:ilvl="1">
      <w:lvlJc w:val="left"/>
      <w:lvlText w:val="%2"/>
      <w:numFmt w:val="lowerLetter"/>
      <w:start w:val="1"/>
    </w:lvl>
  </w:abstractNum>
  <w:abstractNum w:abstractNumId="380">
    <w:nsid w:val="257D4626"/>
    <w:multiLevelType w:val="hybridMultilevel"/>
    <w:lvl w:ilvl="0">
      <w:lvlJc w:val="left"/>
      <w:lvlText w:val="-"/>
      <w:numFmt w:val="bullet"/>
      <w:start w:val="1"/>
    </w:lvl>
    <w:lvl w:ilvl="1">
      <w:lvlJc w:val="left"/>
      <w:lvlText w:val="(%2)"/>
      <w:numFmt w:val="lowerLetter"/>
      <w:start w:val="1"/>
    </w:lvl>
  </w:abstractNum>
  <w:abstractNum w:abstractNumId="381">
    <w:nsid w:val="5AA8580E"/>
    <w:multiLevelType w:val="hybridMultilevel"/>
    <w:lvl w:ilvl="0">
      <w:lvlJc w:val="left"/>
      <w:lvlText w:val="(%1)"/>
      <w:numFmt w:val="upperLetter"/>
      <w:start w:val="3"/>
    </w:lvl>
    <w:lvl w:ilvl="1">
      <w:lvlJc w:val="left"/>
      <w:lvlText w:val="(%2)"/>
      <w:numFmt w:val="lowerLetter"/>
      <w:start w:val="3"/>
    </w:lvl>
  </w:abstractNum>
  <w:abstractNum w:abstractNumId="382">
    <w:nsid w:val="68FA8D0D"/>
    <w:multiLevelType w:val="hybridMultilevel"/>
    <w:lvl w:ilvl="0">
      <w:lvlJc w:val="left"/>
      <w:lvlText w:val="(%1)"/>
      <w:numFmt w:val="lowerLetter"/>
      <w:start w:val="4"/>
    </w:lvl>
    <w:lvl w:ilvl="1">
      <w:lvlJc w:val="left"/>
      <w:lvlText w:val="-"/>
      <w:numFmt w:val="bullet"/>
      <w:start w:val="1"/>
    </w:lvl>
  </w:abstractNum>
  <w:abstractNum w:abstractNumId="383">
    <w:nsid w:val="40F2CBD2"/>
    <w:multiLevelType w:val="hybridMultilevel"/>
    <w:lvl w:ilvl="0">
      <w:lvlJc w:val="left"/>
      <w:lvlText w:val="(%1)"/>
      <w:numFmt w:val="lowerLetter"/>
      <w:start w:val="1"/>
    </w:lvl>
    <w:lvl w:ilvl="1">
      <w:lvlJc w:val="left"/>
      <w:lvlText w:val="(%2)"/>
      <w:numFmt w:val="lowerRoman"/>
      <w:start w:val="1"/>
    </w:lvl>
  </w:abstractNum>
  <w:abstractNum w:abstractNumId="384">
    <w:nsid w:val="3BD615EB"/>
    <w:multiLevelType w:val="hybridMultilevel"/>
    <w:lvl w:ilvl="0">
      <w:lvlJc w:val="left"/>
      <w:lvlText w:val="(%1)"/>
      <w:numFmt w:val="lowerRoman"/>
      <w:start w:val="5"/>
    </w:lvl>
  </w:abstractNum>
  <w:abstractNum w:abstractNumId="385">
    <w:nsid w:val="A045AB2"/>
    <w:multiLevelType w:val="hybridMultilevel"/>
    <w:lvl w:ilvl="0">
      <w:lvlJc w:val="left"/>
      <w:lvlText w:val="(%1)"/>
      <w:numFmt w:val="lowerLetter"/>
      <w:start w:val="3"/>
    </w:lvl>
  </w:abstractNum>
  <w:abstractNum w:abstractNumId="386">
    <w:nsid w:val="1872261F"/>
    <w:multiLevelType w:val="hybridMultilevel"/>
    <w:lvl w:ilvl="0">
      <w:lvlJc w:val="left"/>
      <w:lvlText w:val="%1."/>
      <w:numFmt w:val="decimal"/>
      <w:start w:val="1"/>
    </w:lvl>
    <w:lvl w:ilvl="1">
      <w:lvlJc w:val="left"/>
      <w:lvlText w:val="(%2)"/>
      <w:numFmt w:val="lowerLetter"/>
      <w:start w:val="1"/>
    </w:lvl>
  </w:abstractNum>
  <w:abstractNum w:abstractNumId="387">
    <w:nsid w:val="3DE8306C"/>
    <w:multiLevelType w:val="hybridMultilevel"/>
    <w:lvl w:ilvl="0">
      <w:lvlJc w:val="left"/>
      <w:lvlText w:val="%1."/>
      <w:numFmt w:val="decimal"/>
      <w:start w:val="1"/>
    </w:lvl>
    <w:lvl w:ilvl="1">
      <w:lvlJc w:val="left"/>
      <w:lvlText w:val="(%2)"/>
      <w:numFmt w:val="lowerLetter"/>
      <w:start w:val="1"/>
    </w:lvl>
  </w:abstractNum>
  <w:abstractNum w:abstractNumId="388">
    <w:nsid w:val="7631573A"/>
    <w:multiLevelType w:val="hybridMultilevel"/>
    <w:lvl w:ilvl="0">
      <w:lvlJc w:val="left"/>
      <w:lvlText w:val="%1."/>
      <w:numFmt w:val="decimal"/>
      <w:start w:val="1"/>
    </w:lvl>
    <w:lvl w:ilvl="1">
      <w:lvlJc w:val="left"/>
      <w:lvlText w:val="(%2)"/>
      <w:numFmt w:val="lowerLetter"/>
      <w:start w:val="1"/>
    </w:lvl>
  </w:abstractNum>
  <w:abstractNum w:abstractNumId="389">
    <w:nsid w:val="58DF53B"/>
    <w:multiLevelType w:val="hybridMultilevel"/>
    <w:lvl w:ilvl="0">
      <w:lvlJc w:val="left"/>
      <w:lvlText w:val="%1."/>
      <w:numFmt w:val="decimal"/>
      <w:start w:val="1"/>
    </w:lvl>
    <w:lvl w:ilvl="1">
      <w:lvlJc w:val="left"/>
      <w:lvlText w:val="(%2)"/>
      <w:numFmt w:val="lowerLetter"/>
      <w:start w:val="1"/>
    </w:lvl>
  </w:abstractNum>
  <w:abstractNum w:abstractNumId="390">
    <w:nsid w:val="ACDFAC0"/>
    <w:multiLevelType w:val="hybridMultilevel"/>
    <w:lvl w:ilvl="0">
      <w:lvlJc w:val="left"/>
      <w:lvlText w:val="%1."/>
      <w:numFmt w:val="decimal"/>
      <w:start w:val="1"/>
    </w:lvl>
  </w:abstractNum>
  <w:abstractNum w:abstractNumId="391">
    <w:nsid w:val="1F578454"/>
    <w:multiLevelType w:val="hybridMultilevel"/>
    <w:lvl w:ilvl="0">
      <w:lvlJc w:val="left"/>
      <w:lvlText w:val="%1."/>
      <w:numFmt w:val="decimal"/>
      <w:start w:val="1"/>
    </w:lvl>
  </w:abstractNum>
  <w:abstractNum w:abstractNumId="392">
    <w:nsid w:val="5B0DAD2A"/>
    <w:multiLevelType w:val="hybridMultilevel"/>
    <w:lvl w:ilvl="0">
      <w:lvlJc w:val="left"/>
      <w:lvlText w:val="%1."/>
      <w:numFmt w:val="decimal"/>
      <w:start w:val="1"/>
    </w:lvl>
  </w:abstractNum>
  <w:abstractNum w:abstractNumId="393">
    <w:nsid w:val="4E3D26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96" Type="http://schemas.openxmlformats.org/officeDocument/2006/relationships/hyperlink" Target="https://www.sec.gov/Archives/edgar/data/1040971/000110465926024682/tm26780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2026-05-01T09:07:17Z</dcterms:created>
  <dcterms:modified xsi:type="dcterms:W3CDTF">2026-05-01T09:07:17Z</dcterms:modified>
</cp:coreProperties>
</file>