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2799080</wp:posOffset>
            </wp:positionH>
            <wp:positionV relativeFrom="page">
              <wp:posOffset>294640</wp:posOffset>
            </wp:positionV>
            <wp:extent cx="196405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64055" cy="55753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7"/>
          <w:szCs w:val="17"/>
          <w:color w:val="auto"/>
        </w:rPr>
        <w:t>April 23, 2013</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620" w:val="left"/>
        </w:tabs>
        <w:rPr>
          <w:sz w:val="20"/>
          <w:szCs w:val="20"/>
          <w:color w:val="auto"/>
        </w:rPr>
      </w:pPr>
      <w:r>
        <w:rPr>
          <w:rFonts w:ascii="Arial" w:cs="Arial" w:eastAsia="Arial" w:hAnsi="Arial"/>
          <w:sz w:val="18"/>
          <w:szCs w:val="18"/>
          <w:color w:val="auto"/>
        </w:rPr>
        <w:t>Attn:</w:t>
        <w:tab/>
        <w:t>Daniel L. Gordon</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Branch Chief</w:t>
      </w:r>
    </w:p>
    <w:p>
      <w:pPr>
        <w:sectPr>
          <w:pgSz w:w="11900" w:h="16838" w:orient="portrait"/>
          <w:cols w:equalWidth="0" w:num="1">
            <w:col w:w="11360"/>
          </w:cols>
          <w:pgMar w:left="240" w:top="1440" w:right="299" w:bottom="0" w:gutter="0" w:footer="0" w:header="0"/>
        </w:sectPr>
      </w:pPr>
    </w:p>
    <w:p>
      <w:pPr>
        <w:spacing w:after="0" w:line="20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the year ended December 31, 2012</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February 27, 2013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001-13199</w:t>
      </w:r>
    </w:p>
    <w:p>
      <w:pPr>
        <w:spacing w:after="0" w:line="200" w:lineRule="exact"/>
        <w:rPr>
          <w:sz w:val="24"/>
          <w:szCs w:val="24"/>
          <w:color w:val="auto"/>
        </w:rPr>
      </w:pPr>
    </w:p>
    <w:p>
      <w:pPr>
        <w:sectPr>
          <w:pgSz w:w="11900" w:h="16838" w:orient="portrait"/>
          <w:cols w:equalWidth="0" w:num="2">
            <w:col w:w="920" w:space="380"/>
            <w:col w:w="10060"/>
          </w:cols>
          <w:pgMar w:left="240" w:top="1440" w:right="299" w:bottom="0" w:gutter="0" w:footer="0" w:header="0"/>
          <w:type w:val="continuous"/>
        </w:sectPr>
      </w:pPr>
    </w:p>
    <w:p>
      <w:pPr>
        <w:spacing w:after="0" w:line="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SL Green Operating Partnership, L.P.</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Form 10-K for the year ended December 31, 2012</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March 4, 2013</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No. 333-167793-02</w:t>
      </w:r>
    </w:p>
    <w:p>
      <w:pPr>
        <w:sectPr>
          <w:pgSz w:w="11900" w:h="16838" w:orient="portrait"/>
          <w:cols w:equalWidth="0" w:num="1">
            <w:col w:w="11360"/>
          </w:cols>
          <w:pgMar w:left="240" w:top="1440" w:right="299" w:bottom="0" w:gutter="0" w:footer="0" w:header="0"/>
          <w:type w:val="continuous"/>
        </w:sect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Gordon:</w:t>
      </w:r>
    </w:p>
    <w:p>
      <w:pPr>
        <w:spacing w:after="0" w:line="225" w:lineRule="exact"/>
        <w:rPr>
          <w:sz w:val="24"/>
          <w:szCs w:val="24"/>
          <w:color w:val="auto"/>
        </w:rPr>
      </w:pPr>
    </w:p>
    <w:p>
      <w:pPr>
        <w:ind w:firstLine="648"/>
        <w:spacing w:after="0" w:line="273" w:lineRule="auto"/>
        <w:rPr>
          <w:sz w:val="20"/>
          <w:szCs w:val="20"/>
          <w:color w:val="auto"/>
        </w:rPr>
      </w:pPr>
      <w:r>
        <w:rPr>
          <w:rFonts w:ascii="Arial" w:cs="Arial" w:eastAsia="Arial" w:hAnsi="Arial"/>
          <w:sz w:val="17"/>
          <w:szCs w:val="17"/>
          <w:color w:val="auto"/>
        </w:rPr>
        <w:t>Set forth below are responses to the comments of the staff (the “</w:t>
      </w:r>
      <w:r>
        <w:rPr>
          <w:rFonts w:ascii="Arial" w:cs="Arial" w:eastAsia="Arial" w:hAnsi="Arial"/>
          <w:sz w:val="17"/>
          <w:szCs w:val="17"/>
          <w:u w:val="single" w:color="auto"/>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contained in your letter, dated April 18, 2013 (the “</w:t>
      </w:r>
      <w:r>
        <w:rPr>
          <w:rFonts w:ascii="Arial" w:cs="Arial" w:eastAsia="Arial" w:hAnsi="Arial"/>
          <w:sz w:val="17"/>
          <w:szCs w:val="17"/>
          <w:u w:val="single" w:color="auto"/>
          <w:color w:val="auto"/>
        </w:rPr>
        <w:t>Comment Letter</w:t>
      </w:r>
      <w:r>
        <w:rPr>
          <w:rFonts w:ascii="Arial" w:cs="Arial" w:eastAsia="Arial" w:hAnsi="Arial"/>
          <w:sz w:val="17"/>
          <w:szCs w:val="17"/>
          <w:color w:val="auto"/>
        </w:rPr>
        <w:t>”), relating to (i) the Annual Report on Form 10-K for the year ended December 31, 2012 (the “</w:t>
      </w:r>
      <w:r>
        <w:rPr>
          <w:rFonts w:ascii="Arial" w:cs="Arial" w:eastAsia="Arial" w:hAnsi="Arial"/>
          <w:sz w:val="17"/>
          <w:szCs w:val="17"/>
          <w:u w:val="single" w:color="auto"/>
          <w:color w:val="auto"/>
        </w:rPr>
        <w:t>SL Green</w:t>
      </w:r>
      <w:r>
        <w:rPr>
          <w:rFonts w:ascii="Arial" w:cs="Arial" w:eastAsia="Arial" w:hAnsi="Arial"/>
          <w:sz w:val="17"/>
          <w:szCs w:val="17"/>
          <w:color w:val="auto"/>
        </w:rPr>
        <w:t xml:space="preserve"> </w:t>
      </w:r>
      <w:r>
        <w:rPr>
          <w:rFonts w:ascii="Arial" w:cs="Arial" w:eastAsia="Arial" w:hAnsi="Arial"/>
          <w:sz w:val="17"/>
          <w:szCs w:val="17"/>
          <w:u w:val="single" w:color="auto"/>
          <w:color w:val="auto"/>
        </w:rPr>
        <w:t>Form 10-K</w:t>
      </w:r>
      <w:r>
        <w:rPr>
          <w:rFonts w:ascii="Arial" w:cs="Arial" w:eastAsia="Arial" w:hAnsi="Arial"/>
          <w:sz w:val="17"/>
          <w:szCs w:val="17"/>
          <w:color w:val="auto"/>
        </w:rPr>
        <w:t>”) filed by SL Green Realty Corp. (the “</w:t>
      </w:r>
      <w:r>
        <w:rPr>
          <w:rFonts w:ascii="Arial" w:cs="Arial" w:eastAsia="Arial" w:hAnsi="Arial"/>
          <w:sz w:val="17"/>
          <w:szCs w:val="17"/>
          <w:u w:val="single" w:color="auto"/>
          <w:color w:val="auto"/>
        </w:rPr>
        <w:t>Company</w:t>
      </w:r>
      <w:r>
        <w:rPr>
          <w:rFonts w:ascii="Arial" w:cs="Arial" w:eastAsia="Arial" w:hAnsi="Arial"/>
          <w:sz w:val="17"/>
          <w:szCs w:val="17"/>
          <w:color w:val="auto"/>
        </w:rPr>
        <w:t>”) on February 28, 2012 and (ii) the Annual Report on Form 10-K for the year ended December 31, 2012 (together with the SL Green Form 10-K, the “</w:t>
      </w:r>
      <w:r>
        <w:rPr>
          <w:rFonts w:ascii="Arial" w:cs="Arial" w:eastAsia="Arial" w:hAnsi="Arial"/>
          <w:sz w:val="17"/>
          <w:szCs w:val="17"/>
          <w:u w:val="single" w:color="auto"/>
          <w:color w:val="auto"/>
        </w:rPr>
        <w:t>Form 10-Ks</w:t>
      </w:r>
      <w:r>
        <w:rPr>
          <w:rFonts w:ascii="Arial" w:cs="Arial" w:eastAsia="Arial" w:hAnsi="Arial"/>
          <w:sz w:val="17"/>
          <w:szCs w:val="17"/>
          <w:color w:val="auto"/>
        </w:rPr>
        <w:t>”) filed by SL Green Operating Partnership, L.P. on March 4, 2013. The headings and numbered paragraphs of this letter correspond to the headings and numbered paragraphs contained in the Comment Letter, and to facilitate your review, we have reproduced the text of the Staff’s comments in italics below.</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420 Lexington Avenue · New York, NY 10170 · (212) 594-2700 · Fax (212) 216-1790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SL Green Realty Corp Form 10-K</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4"/>
          <w:szCs w:val="24"/>
          <w:color w:val="auto"/>
        </w:rPr>
      </w:pPr>
    </w:p>
    <w:p>
      <w:pPr>
        <w:ind w:left="660" w:right="200" w:hanging="652"/>
        <w:spacing w:after="0" w:line="563"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 xml:space="preserve">We note your response to comment 1 of our comment letter dated March 21, 2013. We will continue to monitor for your response to this comment. </w:t>
      </w:r>
      <w:r>
        <w:rPr>
          <w:rFonts w:ascii="Arial" w:cs="Arial" w:eastAsia="Arial" w:hAnsi="Arial"/>
          <w:sz w:val="16"/>
          <w:szCs w:val="16"/>
          <w:color w:val="auto"/>
        </w:rPr>
        <w:t>The Company acknowledges that the Staff may issue additional comments after the Company files its proxy statement on Schedule 14A.</w:t>
      </w:r>
    </w:p>
    <w:p>
      <w:pPr>
        <w:spacing w:after="0" w:line="1" w:lineRule="exact"/>
        <w:rPr>
          <w:rFonts w:ascii="Arial" w:cs="Arial" w:eastAsia="Arial" w:hAnsi="Arial"/>
          <w:sz w:val="16"/>
          <w:szCs w:val="16"/>
          <w:color w:val="auto"/>
        </w:rPr>
      </w:pPr>
    </w:p>
    <w:p>
      <w:pPr>
        <w:ind w:left="660" w:right="40" w:hanging="652"/>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We note your response to comment 2 of our comment letter dated March 21, 2013. In future periodic reports, to the extent your portfolio of properties listed in the development category is material, please also disclose the anticipated completion dates, the budgeted costs, the costs incurred to date and the development costs incurred per square foot for any significant redevelopment and repositioning projects in addition to your ground-up development projects.</w:t>
      </w:r>
    </w:p>
    <w:p>
      <w:pPr>
        <w:spacing w:after="0" w:line="187" w:lineRule="exact"/>
        <w:rPr>
          <w:sz w:val="24"/>
          <w:szCs w:val="24"/>
          <w:color w:val="auto"/>
        </w:rPr>
      </w:pPr>
    </w:p>
    <w:p>
      <w:pPr>
        <w:ind w:right="380" w:firstLine="567"/>
        <w:spacing w:after="0" w:line="264" w:lineRule="auto"/>
        <w:rPr>
          <w:sz w:val="20"/>
          <w:szCs w:val="20"/>
          <w:color w:val="auto"/>
        </w:rPr>
      </w:pPr>
      <w:r>
        <w:rPr>
          <w:rFonts w:ascii="Arial" w:cs="Arial" w:eastAsia="Arial" w:hAnsi="Arial"/>
          <w:sz w:val="18"/>
          <w:szCs w:val="18"/>
          <w:color w:val="auto"/>
        </w:rPr>
        <w:t>The Company advises the Staff that in future filings, to the extent the Company’s portfolio of development and redevelopment projects becomes material, the Company will disclose the anticipated completion date, the budgeted cost and the costs incurred to date as well as the development costs incurred per square foot.</w:t>
      </w:r>
    </w:p>
    <w:p>
      <w:pPr>
        <w:spacing w:after="0" w:line="181" w:lineRule="exact"/>
        <w:rPr>
          <w:sz w:val="24"/>
          <w:szCs w:val="24"/>
          <w:color w:val="auto"/>
        </w:rPr>
      </w:pPr>
    </w:p>
    <w:p>
      <w:pPr>
        <w:ind w:left="5020"/>
        <w:spacing w:after="0"/>
        <w:tabs>
          <w:tab w:leader="none" w:pos="5640" w:val="left"/>
          <w:tab w:leader="none" w:pos="6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 accordance with your request, the Company hereby acknowledges that:</w:t>
      </w:r>
    </w:p>
    <w:p>
      <w:pPr>
        <w:spacing w:after="0" w:line="225" w:lineRule="exact"/>
        <w:rPr>
          <w:sz w:val="24"/>
          <w:szCs w:val="24"/>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each of the Form 10-Ks;</w:t>
      </w:r>
    </w:p>
    <w:p>
      <w:pPr>
        <w:spacing w:after="0" w:line="225" w:lineRule="exact"/>
        <w:rPr>
          <w:rFonts w:ascii="Arial" w:cs="Arial" w:eastAsia="Arial" w:hAnsi="Arial"/>
          <w:sz w:val="18"/>
          <w:szCs w:val="18"/>
          <w:color w:val="auto"/>
        </w:rPr>
      </w:pPr>
    </w:p>
    <w:p>
      <w:pPr>
        <w:ind w:left="340" w:right="60" w:hanging="332"/>
        <w:spacing w:after="0" w:line="277" w:lineRule="auto"/>
        <w:tabs>
          <w:tab w:leader="none" w:pos="304"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SEC from taking any action with respect to the Form 10-Ks; and</w:t>
      </w:r>
    </w:p>
    <w:p>
      <w:pPr>
        <w:spacing w:after="0" w:line="170" w:lineRule="exact"/>
        <w:rPr>
          <w:rFonts w:ascii="Arial" w:cs="Arial" w:eastAsia="Arial" w:hAnsi="Arial"/>
          <w:sz w:val="18"/>
          <w:szCs w:val="18"/>
          <w:color w:val="auto"/>
        </w:rPr>
      </w:pPr>
    </w:p>
    <w:p>
      <w:pPr>
        <w:ind w:left="340" w:right="240" w:hanging="332"/>
        <w:spacing w:after="0" w:line="277" w:lineRule="auto"/>
        <w:tabs>
          <w:tab w:leader="none" w:pos="30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SEC or any person under the federal securities laws of the United States.</w:t>
      </w:r>
    </w:p>
    <w:p>
      <w:pPr>
        <w:spacing w:after="0" w:line="170" w:lineRule="exact"/>
        <w:rPr>
          <w:rFonts w:ascii="Arial" w:cs="Arial" w:eastAsia="Arial" w:hAnsi="Arial"/>
          <w:sz w:val="18"/>
          <w:szCs w:val="18"/>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1">
            <w:col w:w="11360"/>
          </w:cols>
          <w:pgMar w:left="240" w:top="1440" w:right="299" w:bottom="0" w:gutter="0" w:footer="0" w:header="0"/>
          <w:type w:val="continuous"/>
        </w:sectPr>
      </w:pPr>
    </w:p>
    <w:bookmarkStart w:id="1" w:name="page2"/>
    <w:bookmarkEnd w:id="1"/>
    <w:p>
      <w:pPr>
        <w:ind w:right="360" w:firstLine="648"/>
        <w:spacing w:after="0" w:line="277" w:lineRule="auto"/>
        <w:rPr>
          <w:sz w:val="20"/>
          <w:szCs w:val="20"/>
          <w:color w:val="auto"/>
        </w:rPr>
      </w:pPr>
      <w:r>
        <w:rPr>
          <w:rFonts w:ascii="Arial" w:cs="Arial" w:eastAsia="Arial" w:hAnsi="Arial"/>
          <w:sz w:val="18"/>
          <w:szCs w:val="18"/>
          <w:color w:val="auto"/>
        </w:rPr>
        <w:t>If you have any questions with respect to the foregoing, please contact me at (212) 216-1716 or Andrew Levine, Esq., our Chief Legal Officer, at (212) 216-1615.</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SL GREEN REALTY CORP.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jc w:val="right"/>
              <w:ind w:right="41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Mead</w:t>
            </w:r>
          </w:p>
        </w:tc>
        <w:tc>
          <w:tcPr>
            <w:tcW w:w="40" w:type="dxa"/>
            <w:vAlign w:val="bottom"/>
          </w:tcPr>
          <w:p>
            <w:pPr>
              <w:spacing w:after="0"/>
              <w:rPr>
                <w:sz w:val="20"/>
                <w:szCs w:val="20"/>
                <w:color w:val="auto"/>
              </w:rPr>
            </w:pPr>
          </w:p>
        </w:tc>
      </w:tr>
      <w:tr>
        <w:trPr>
          <w:trHeight w:val="195"/>
        </w:trPr>
        <w:tc>
          <w:tcPr>
            <w:tcW w:w="648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James Mead</w:t>
            </w:r>
          </w:p>
        </w:tc>
        <w:tc>
          <w:tcPr>
            <w:tcW w:w="40" w:type="dxa"/>
            <w:vAlign w:val="bottom"/>
          </w:tcPr>
          <w:p>
            <w:pPr>
              <w:spacing w:after="0"/>
              <w:rPr>
                <w:sz w:val="16"/>
                <w:szCs w:val="16"/>
                <w:color w:val="auto"/>
              </w:rPr>
            </w:pPr>
          </w:p>
        </w:tc>
      </w:tr>
      <w:tr>
        <w:trPr>
          <w:trHeight w:val="230"/>
        </w:trPr>
        <w:tc>
          <w:tcPr>
            <w:tcW w:w="6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6480" w:type="dxa"/>
            <w:vAlign w:val="bottom"/>
          </w:tcPr>
          <w:p>
            <w:pPr>
              <w:jc w:val="right"/>
              <w:ind w:right="630"/>
              <w:spacing w:after="0"/>
              <w:rPr>
                <w:sz w:val="20"/>
                <w:szCs w:val="20"/>
                <w:color w:val="auto"/>
              </w:rPr>
            </w:pPr>
            <w:r>
              <w:rPr>
                <w:rFonts w:ascii="Arial" w:cs="Arial" w:eastAsia="Arial" w:hAnsi="Arial"/>
                <w:sz w:val="18"/>
                <w:szCs w:val="18"/>
                <w:color w:val="auto"/>
              </w:rPr>
              <w:t>2</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2019-12-06T18:48:48Z</dcterms:created>
  <dcterms:modified xsi:type="dcterms:W3CDTF">2019-12-06T18:48:48Z</dcterms:modified>
</cp:coreProperties>
</file>