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jc w:val="center"/>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14A</w:t>
      </w:r>
    </w:p>
    <w:p>
      <w:pPr>
        <w:spacing w:after="0" w:line="20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Proxy Statement Pursuant to Section 14(a) of the</w:t>
      </w:r>
    </w:p>
    <w:p>
      <w:pPr>
        <w:ind w:left="3620"/>
        <w:spacing w:after="0"/>
        <w:rPr>
          <w:sz w:val="20"/>
          <w:szCs w:val="20"/>
          <w:color w:val="auto"/>
        </w:rPr>
      </w:pPr>
      <w:r>
        <w:rPr>
          <w:rFonts w:ascii="Arial" w:cs="Arial" w:eastAsia="Arial" w:hAnsi="Arial"/>
          <w:sz w:val="18"/>
          <w:szCs w:val="18"/>
          <w:color w:val="auto"/>
        </w:rPr>
        <w:t>Securities Exchange Act of 1934 (Amendment No. )</w:t>
      </w:r>
    </w:p>
    <w:p>
      <w:pPr>
        <w:spacing w:after="0" w:line="147" w:lineRule="exact"/>
        <w:rPr>
          <w:sz w:val="24"/>
          <w:szCs w:val="24"/>
          <w:color w:val="auto"/>
        </w:rPr>
      </w:pPr>
    </w:p>
    <w:p>
      <w:pPr>
        <w:spacing w:after="0" w:line="242" w:lineRule="exact"/>
        <w:tabs>
          <w:tab w:leader="none" w:pos="740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3"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33"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22"/>
          <w:szCs w:val="22"/>
          <w:color w:val="auto"/>
        </w:rPr>
      </w:pPr>
    </w:p>
    <w:p>
      <w:pPr>
        <w:ind w:left="80" w:right="4440"/>
        <w:spacing w:after="0" w:line="256" w:lineRule="exact"/>
        <w:tabs>
          <w:tab w:leader="none" w:pos="548"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46"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-803275</wp:posOffset>
            </wp:positionV>
            <wp:extent cx="713232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29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156210</wp:posOffset>
            </wp:positionV>
            <wp:extent cx="128587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587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SL Green Realty Corp.</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of Registrant as Specified In Its Charter)</w:t>
      </w:r>
    </w:p>
    <w:p>
      <w:pPr>
        <w:jc w:val="center"/>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32"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33"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697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697355"/>
                    </a:xfrm>
                    <a:prstGeom prst="rect">
                      <a:avLst/>
                    </a:prstGeom>
                    <a:noFill/>
                  </pic:spPr>
                </pic:pic>
              </a:graphicData>
            </a:graphic>
          </wp:anchor>
        </w:drawing>
      </w:r>
    </w:p>
    <w:p>
      <w:pPr>
        <w:spacing w:after="0" w:line="9"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computed on table below per Exchange Act Rules 14a-6(i)(1) and 0-11.</w:t>
      </w:r>
    </w:p>
    <w:p>
      <w:pPr>
        <w:spacing w:after="0" w:line="14" w:lineRule="exact"/>
        <w:rPr>
          <w:rFonts w:ascii="MS PGothic" w:cs="MS PGothic" w:eastAsia="MS PGothic" w:hAnsi="MS PGothic"/>
          <w:sz w:val="22"/>
          <w:szCs w:val="22"/>
          <w:color w:val="auto"/>
        </w:rPr>
      </w:pP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ind w:left="700" w:hanging="4"/>
        <w:spacing w:after="0" w:line="238" w:lineRule="auto"/>
        <w:tabs>
          <w:tab w:leader="none" w:pos="857" w:val="left"/>
        </w:tabs>
        <w:numPr>
          <w:ilvl w:val="1"/>
          <w:numId w:val="3"/>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3" w:lineRule="exact"/>
        <w:rPr>
          <w:rFonts w:ascii="Arial" w:cs="Arial" w:eastAsia="Arial" w:hAnsi="Arial"/>
          <w:sz w:val="13"/>
          <w:szCs w:val="13"/>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32" w:lineRule="exact"/>
        <w:rPr>
          <w:rFonts w:ascii="MS PGothic" w:cs="MS PGothic" w:eastAsia="MS PGothic" w:hAnsi="MS PGothic"/>
          <w:sz w:val="22"/>
          <w:szCs w:val="22"/>
          <w:color w:val="auto"/>
        </w:rPr>
      </w:pPr>
    </w:p>
    <w:p>
      <w:pPr>
        <w:ind w:left="540" w:right="300" w:hanging="460"/>
        <w:spacing w:after="0" w:line="233" w:lineRule="auto"/>
        <w:tabs>
          <w:tab w:leader="none" w:pos="540" w:val="left"/>
        </w:tabs>
        <w:numPr>
          <w:ilvl w:val="0"/>
          <w:numId w:val="3"/>
        </w:numPr>
        <w:rPr>
          <w:rFonts w:ascii="MS PGothic" w:cs="MS PGothic" w:eastAsia="MS PGothic" w:hAnsi="MS PGothic"/>
          <w:sz w:val="21"/>
          <w:szCs w:val="2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21"/>
          <w:szCs w:val="21"/>
          <w:color w:val="auto"/>
        </w:rPr>
      </w:pP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Amount previously paid:</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Filing Party:</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229235</wp:posOffset>
            </wp:positionV>
            <wp:extent cx="715327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10">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53275" cy="82061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820610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55889"/>
        </w:rPr>
        <w:t>2020 PROXY STATEMENT HIGHLIGHTS</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9" w:lineRule="exact"/>
        <w:rPr>
          <w:sz w:val="20"/>
          <w:szCs w:val="20"/>
          <w:color w:val="auto"/>
        </w:rPr>
      </w:pPr>
    </w:p>
    <w:tbl>
      <w:tblPr>
        <w:tblLayout w:type="fixed"/>
        <w:tblInd w:w="800" w:type="dxa"/>
        <w:tblCellMar>
          <w:top w:w="0" w:type="dxa"/>
          <w:left w:w="0" w:type="dxa"/>
          <w:bottom w:w="0" w:type="dxa"/>
          <w:right w:w="0" w:type="dxa"/>
        </w:tblCellMar>
      </w:tblPr>
      <w:tr>
        <w:trPr>
          <w:trHeight w:val="247"/>
        </w:trPr>
        <w:tc>
          <w:tcPr>
            <w:tcW w:w="2820" w:type="dxa"/>
            <w:vAlign w:val="bottom"/>
          </w:tcPr>
          <w:p>
            <w:pPr>
              <w:spacing w:after="0"/>
              <w:rPr>
                <w:sz w:val="20"/>
                <w:szCs w:val="20"/>
                <w:color w:val="auto"/>
              </w:rPr>
            </w:pPr>
            <w:r>
              <w:rPr>
                <w:rFonts w:ascii="Arial" w:cs="Arial" w:eastAsia="Arial" w:hAnsi="Arial"/>
                <w:sz w:val="20"/>
                <w:szCs w:val="20"/>
                <w:b w:val="1"/>
                <w:bCs w:val="1"/>
                <w:color w:val="355889"/>
              </w:rPr>
              <w:t>Date &amp; Time</w:t>
            </w:r>
          </w:p>
        </w:tc>
        <w:tc>
          <w:tcPr>
            <w:tcW w:w="3920" w:type="dxa"/>
            <w:vAlign w:val="bottom"/>
          </w:tcPr>
          <w:p>
            <w:pPr>
              <w:ind w:left="940"/>
              <w:spacing w:after="0"/>
              <w:rPr>
                <w:sz w:val="20"/>
                <w:szCs w:val="20"/>
                <w:color w:val="auto"/>
              </w:rPr>
            </w:pPr>
            <w:r>
              <w:rPr>
                <w:rFonts w:ascii="Arial" w:cs="Arial" w:eastAsia="Arial" w:hAnsi="Arial"/>
                <w:sz w:val="20"/>
                <w:szCs w:val="20"/>
                <w:b w:val="1"/>
                <w:bCs w:val="1"/>
                <w:color w:val="355889"/>
              </w:rPr>
              <w:t>Location</w:t>
            </w:r>
          </w:p>
        </w:tc>
        <w:tc>
          <w:tcPr>
            <w:tcW w:w="2120" w:type="dxa"/>
            <w:vAlign w:val="bottom"/>
          </w:tcPr>
          <w:p>
            <w:pPr>
              <w:ind w:left="900"/>
              <w:spacing w:after="0"/>
              <w:rPr>
                <w:sz w:val="20"/>
                <w:szCs w:val="20"/>
                <w:color w:val="auto"/>
              </w:rPr>
            </w:pPr>
            <w:r>
              <w:rPr>
                <w:rFonts w:ascii="Arial" w:cs="Arial" w:eastAsia="Arial" w:hAnsi="Arial"/>
                <w:sz w:val="20"/>
                <w:szCs w:val="20"/>
                <w:b w:val="1"/>
                <w:bCs w:val="1"/>
                <w:color w:val="355889"/>
              </w:rPr>
              <w:t>Record Date</w:t>
            </w:r>
          </w:p>
        </w:tc>
      </w:tr>
      <w:tr>
        <w:trPr>
          <w:trHeight w:val="203"/>
        </w:trPr>
        <w:tc>
          <w:tcPr>
            <w:tcW w:w="2820" w:type="dxa"/>
            <w:vAlign w:val="bottom"/>
          </w:tcPr>
          <w:p>
            <w:pPr>
              <w:spacing w:after="0" w:line="202" w:lineRule="exact"/>
              <w:rPr>
                <w:sz w:val="20"/>
                <w:szCs w:val="20"/>
                <w:color w:val="auto"/>
              </w:rPr>
            </w:pPr>
            <w:r>
              <w:rPr>
                <w:rFonts w:ascii="Arial" w:cs="Arial" w:eastAsia="Arial" w:hAnsi="Arial"/>
                <w:sz w:val="18"/>
                <w:szCs w:val="18"/>
                <w:color w:val="auto"/>
              </w:rPr>
              <w:t>Thursday, May 28, 2020</w:t>
            </w:r>
          </w:p>
        </w:tc>
        <w:tc>
          <w:tcPr>
            <w:tcW w:w="3920" w:type="dxa"/>
            <w:vAlign w:val="bottom"/>
          </w:tcPr>
          <w:p>
            <w:pPr>
              <w:ind w:left="940"/>
              <w:spacing w:after="0" w:line="202" w:lineRule="exact"/>
              <w:rPr>
                <w:sz w:val="20"/>
                <w:szCs w:val="20"/>
                <w:color w:val="auto"/>
              </w:rPr>
            </w:pPr>
            <w:r>
              <w:rPr>
                <w:rFonts w:ascii="Arial" w:cs="Arial" w:eastAsia="Arial" w:hAnsi="Arial"/>
                <w:sz w:val="18"/>
                <w:szCs w:val="18"/>
                <w:color w:val="auto"/>
              </w:rPr>
              <w:t>Andaz 5th Avenue (ground</w:t>
            </w:r>
          </w:p>
        </w:tc>
        <w:tc>
          <w:tcPr>
            <w:tcW w:w="2120" w:type="dxa"/>
            <w:vAlign w:val="bottom"/>
          </w:tcPr>
          <w:p>
            <w:pPr>
              <w:ind w:left="900"/>
              <w:spacing w:after="0" w:line="202" w:lineRule="exact"/>
              <w:rPr>
                <w:sz w:val="20"/>
                <w:szCs w:val="20"/>
                <w:color w:val="auto"/>
              </w:rPr>
            </w:pPr>
            <w:r>
              <w:rPr>
                <w:rFonts w:ascii="Arial" w:cs="Arial" w:eastAsia="Arial" w:hAnsi="Arial"/>
                <w:sz w:val="18"/>
                <w:szCs w:val="18"/>
                <w:color w:val="auto"/>
                <w:w w:val="95"/>
              </w:rPr>
              <w:t>March 31, 2020</w:t>
            </w:r>
          </w:p>
        </w:tc>
      </w:tr>
      <w:tr>
        <w:trPr>
          <w:trHeight w:val="202"/>
        </w:trPr>
        <w:tc>
          <w:tcPr>
            <w:tcW w:w="2820" w:type="dxa"/>
            <w:vAlign w:val="bottom"/>
          </w:tcPr>
          <w:p>
            <w:pPr>
              <w:spacing w:after="0" w:line="202" w:lineRule="exact"/>
              <w:rPr>
                <w:sz w:val="20"/>
                <w:szCs w:val="20"/>
                <w:color w:val="auto"/>
              </w:rPr>
            </w:pPr>
            <w:r>
              <w:rPr>
                <w:rFonts w:ascii="Arial" w:cs="Arial" w:eastAsia="Arial" w:hAnsi="Arial"/>
                <w:sz w:val="18"/>
                <w:szCs w:val="18"/>
                <w:color w:val="auto"/>
              </w:rPr>
              <w:t>at 10:00 a.m., local time</w:t>
            </w:r>
          </w:p>
        </w:tc>
        <w:tc>
          <w:tcPr>
            <w:tcW w:w="3920" w:type="dxa"/>
            <w:vAlign w:val="bottom"/>
          </w:tcPr>
          <w:p>
            <w:pPr>
              <w:ind w:left="940"/>
              <w:spacing w:after="0" w:line="202" w:lineRule="exact"/>
              <w:rPr>
                <w:sz w:val="20"/>
                <w:szCs w:val="20"/>
                <w:color w:val="auto"/>
              </w:rPr>
            </w:pPr>
            <w:r>
              <w:rPr>
                <w:rFonts w:ascii="Arial" w:cs="Arial" w:eastAsia="Arial" w:hAnsi="Arial"/>
                <w:sz w:val="18"/>
                <w:szCs w:val="18"/>
                <w:color w:val="auto"/>
              </w:rPr>
              <w:t>floor), 485 5th Ave,</w:t>
            </w:r>
          </w:p>
        </w:tc>
        <w:tc>
          <w:tcPr>
            <w:tcW w:w="2120" w:type="dxa"/>
            <w:vAlign w:val="bottom"/>
          </w:tcPr>
          <w:p>
            <w:pPr>
              <w:spacing w:after="0"/>
              <w:rPr>
                <w:sz w:val="17"/>
                <w:szCs w:val="17"/>
                <w:color w:val="auto"/>
              </w:rPr>
            </w:pPr>
          </w:p>
        </w:tc>
      </w:tr>
      <w:tr>
        <w:trPr>
          <w:trHeight w:val="375"/>
        </w:trPr>
        <w:tc>
          <w:tcPr>
            <w:tcW w:w="2820" w:type="dxa"/>
            <w:vAlign w:val="bottom"/>
          </w:tcPr>
          <w:p>
            <w:pPr>
              <w:spacing w:after="0"/>
              <w:rPr>
                <w:sz w:val="24"/>
                <w:szCs w:val="24"/>
                <w:color w:val="auto"/>
              </w:rPr>
            </w:pPr>
          </w:p>
        </w:tc>
        <w:tc>
          <w:tcPr>
            <w:tcW w:w="3920" w:type="dxa"/>
            <w:vAlign w:val="bottom"/>
          </w:tcPr>
          <w:p>
            <w:pPr>
              <w:ind w:left="940"/>
              <w:spacing w:after="0"/>
              <w:rPr>
                <w:sz w:val="20"/>
                <w:szCs w:val="20"/>
                <w:color w:val="auto"/>
              </w:rPr>
            </w:pPr>
            <w:r>
              <w:rPr>
                <w:rFonts w:ascii="Arial" w:cs="Arial" w:eastAsia="Arial" w:hAnsi="Arial"/>
                <w:sz w:val="18"/>
                <w:szCs w:val="18"/>
                <w:color w:val="auto"/>
              </w:rPr>
              <w:t>New York, NY 10017</w:t>
            </w:r>
            <w:r>
              <w:rPr>
                <w:rFonts w:ascii="Arial" w:cs="Arial" w:eastAsia="Arial" w:hAnsi="Arial"/>
                <w:sz w:val="29"/>
                <w:szCs w:val="29"/>
                <w:color w:val="auto"/>
                <w:vertAlign w:val="superscript"/>
              </w:rPr>
              <w:t>*</w:t>
            </w:r>
          </w:p>
        </w:tc>
        <w:tc>
          <w:tcPr>
            <w:tcW w:w="2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-633095</wp:posOffset>
            </wp:positionV>
            <wp:extent cx="377190"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7190" cy="3257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-633095</wp:posOffset>
            </wp:positionV>
            <wp:extent cx="368300"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300" cy="31750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-633095</wp:posOffset>
            </wp:positionV>
            <wp:extent cx="37719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7190" cy="32575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Roadmap of Voting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You are being asked to vote on the following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2314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3145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355889"/>
        </w:rPr>
        <w:t>Proposal</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Board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Recommendation</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See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Page</w:t>
      </w:r>
    </w:p>
    <w:p>
      <w:pPr>
        <w:spacing w:after="0" w:line="53" w:lineRule="exact"/>
        <w:rPr>
          <w:sz w:val="20"/>
          <w:szCs w:val="20"/>
          <w:color w:val="auto"/>
        </w:rPr>
      </w:pPr>
    </w:p>
    <w:p>
      <w:pPr>
        <w:sectPr>
          <w:pgSz w:w="11900" w:h="16838" w:orient="portrait"/>
          <w:cols w:equalWidth="0" w:num="3">
            <w:col w:w="8600" w:space="720"/>
            <w:col w:w="1140" w:space="340"/>
            <w:col w:w="440"/>
          </w:cols>
          <w:pgMar w:left="320" w:top="121" w:right="339" w:bottom="1440" w:gutter="0" w:footer="0" w:header="0"/>
          <w:type w:val="continuous"/>
        </w:sectPr>
      </w:pPr>
    </w:p>
    <w:tbl>
      <w:tblPr>
        <w:tblLayout w:type="fixed"/>
        <w:tblInd w:w="120" w:type="dxa"/>
        <w:tblCellMar>
          <w:top w:w="0" w:type="dxa"/>
          <w:left w:w="0" w:type="dxa"/>
          <w:bottom w:w="0" w:type="dxa"/>
          <w:right w:w="0" w:type="dxa"/>
        </w:tblCellMar>
      </w:tblPr>
      <w:tr>
        <w:trPr>
          <w:trHeight w:val="261"/>
        </w:trPr>
        <w:tc>
          <w:tcPr>
            <w:tcW w:w="9060" w:type="dxa"/>
            <w:vAlign w:val="bottom"/>
          </w:tcPr>
          <w:p>
            <w:pPr>
              <w:spacing w:after="0"/>
              <w:rPr>
                <w:sz w:val="20"/>
                <w:szCs w:val="20"/>
                <w:color w:val="auto"/>
              </w:rPr>
            </w:pPr>
            <w:r>
              <w:rPr>
                <w:rFonts w:ascii="Arial" w:cs="Arial" w:eastAsia="Arial" w:hAnsi="Arial"/>
                <w:sz w:val="20"/>
                <w:szCs w:val="20"/>
                <w:b w:val="1"/>
                <w:bCs w:val="1"/>
                <w:color w:val="355889"/>
              </w:rPr>
              <w:t>1  Election of Directors</w:t>
            </w:r>
          </w:p>
        </w:tc>
        <w:tc>
          <w:tcPr>
            <w:tcW w:w="1360" w:type="dxa"/>
            <w:vAlign w:val="bottom"/>
            <w:vMerge w:val="restart"/>
          </w:tcPr>
          <w:p>
            <w:pPr>
              <w:ind w:left="140"/>
              <w:spacing w:after="0" w:line="207" w:lineRule="exact"/>
              <w:rPr>
                <w:sz w:val="20"/>
                <w:szCs w:val="20"/>
                <w:color w:val="auto"/>
              </w:rPr>
            </w:pPr>
            <w:r>
              <w:rPr>
                <w:rFonts w:ascii="MS PGothic" w:cs="MS PGothic" w:eastAsia="MS PGothic" w:hAnsi="MS PGothic"/>
                <w:sz w:val="18"/>
                <w:szCs w:val="18"/>
                <w:color w:val="000000"/>
              </w:rPr>
              <w:t>✓</w:t>
            </w:r>
            <w:r>
              <w:rPr>
                <w:rFonts w:ascii="Arial" w:cs="Arial" w:eastAsia="Arial" w:hAnsi="Arial"/>
                <w:sz w:val="18"/>
                <w:szCs w:val="18"/>
                <w:b w:val="1"/>
                <w:bCs w:val="1"/>
                <w:color w:val="355889"/>
              </w:rPr>
              <w:t xml:space="preserve"> FOR</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9060" w:type="dxa"/>
            <w:vAlign w:val="bottom"/>
          </w:tcPr>
          <w:p>
            <w:pPr>
              <w:ind w:left="300"/>
              <w:spacing w:after="0"/>
              <w:rPr>
                <w:sz w:val="20"/>
                <w:szCs w:val="20"/>
                <w:color w:val="auto"/>
              </w:rPr>
            </w:pPr>
            <w:r>
              <w:rPr>
                <w:rFonts w:ascii="Arial" w:cs="Arial" w:eastAsia="Arial" w:hAnsi="Arial"/>
                <w:sz w:val="18"/>
                <w:szCs w:val="18"/>
                <w:color w:val="auto"/>
              </w:rPr>
              <w:t>The Board unanimously recommends a vote for each of John H. Alschuler, Betsy Atkins, Edwin T. Burton, III,</w:t>
            </w:r>
          </w:p>
        </w:tc>
        <w:tc>
          <w:tcPr>
            <w:tcW w:w="1360" w:type="dxa"/>
            <w:vAlign w:val="bottom"/>
            <w:vMerge w:val="continue"/>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9060" w:type="dxa"/>
            <w:vAlign w:val="bottom"/>
          </w:tcPr>
          <w:p>
            <w:pPr>
              <w:ind w:left="300"/>
              <w:spacing w:after="0" w:line="202" w:lineRule="exact"/>
              <w:rPr>
                <w:sz w:val="20"/>
                <w:szCs w:val="20"/>
                <w:color w:val="auto"/>
              </w:rPr>
            </w:pPr>
            <w:r>
              <w:rPr>
                <w:rFonts w:ascii="Arial" w:cs="Arial" w:eastAsia="Arial" w:hAnsi="Arial"/>
                <w:sz w:val="18"/>
                <w:szCs w:val="18"/>
                <w:color w:val="auto"/>
                <w:w w:val="99"/>
              </w:rPr>
              <w:t>Lauren B. Dillard, Stephen L. Green, Craig M. Hatkoff, Marc Holliday, John S. Levy and Andrew W. Mathias to</w:t>
            </w:r>
          </w:p>
        </w:tc>
        <w:tc>
          <w:tcPr>
            <w:tcW w:w="1360" w:type="dxa"/>
            <w:vAlign w:val="bottom"/>
          </w:tcPr>
          <w:p>
            <w:pPr>
              <w:ind w:left="400"/>
              <w:spacing w:after="0" w:line="202" w:lineRule="exact"/>
              <w:rPr>
                <w:sz w:val="20"/>
                <w:szCs w:val="20"/>
                <w:color w:val="auto"/>
              </w:rPr>
            </w:pPr>
            <w:r>
              <w:rPr>
                <w:rFonts w:ascii="Arial" w:cs="Arial" w:eastAsia="Arial" w:hAnsi="Arial"/>
                <w:sz w:val="18"/>
                <w:szCs w:val="18"/>
                <w:color w:val="auto"/>
              </w:rPr>
              <w:t>Each</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tcPr>
          <w:p>
            <w:pPr>
              <w:ind w:left="300"/>
              <w:spacing w:after="0" w:line="202" w:lineRule="exact"/>
              <w:rPr>
                <w:sz w:val="20"/>
                <w:szCs w:val="20"/>
                <w:color w:val="auto"/>
              </w:rPr>
            </w:pPr>
            <w:r>
              <w:rPr>
                <w:rFonts w:ascii="Arial" w:cs="Arial" w:eastAsia="Arial" w:hAnsi="Arial"/>
                <w:sz w:val="18"/>
                <w:szCs w:val="18"/>
                <w:color w:val="auto"/>
                <w:w w:val="98"/>
              </w:rPr>
              <w:t>serve as directors until the 2021 annual meeting of stockholders and until their successors are duly elected and</w:t>
            </w:r>
          </w:p>
        </w:tc>
        <w:tc>
          <w:tcPr>
            <w:tcW w:w="1360" w:type="dxa"/>
            <w:vAlign w:val="bottom"/>
          </w:tcPr>
          <w:p>
            <w:pPr>
              <w:ind w:left="400"/>
              <w:spacing w:after="0" w:line="202" w:lineRule="exact"/>
              <w:rPr>
                <w:sz w:val="20"/>
                <w:szCs w:val="20"/>
                <w:color w:val="auto"/>
              </w:rPr>
            </w:pPr>
            <w:r>
              <w:rPr>
                <w:rFonts w:ascii="Arial" w:cs="Arial" w:eastAsia="Arial" w:hAnsi="Arial"/>
                <w:sz w:val="18"/>
                <w:szCs w:val="18"/>
                <w:color w:val="auto"/>
              </w:rPr>
              <w:t>Nominee</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060" w:type="dxa"/>
            <w:vAlign w:val="bottom"/>
          </w:tcPr>
          <w:p>
            <w:pPr>
              <w:ind w:left="300"/>
              <w:spacing w:after="0"/>
              <w:rPr>
                <w:sz w:val="20"/>
                <w:szCs w:val="20"/>
                <w:color w:val="auto"/>
              </w:rPr>
            </w:pPr>
            <w:r>
              <w:rPr>
                <w:rFonts w:ascii="Arial" w:cs="Arial" w:eastAsia="Arial" w:hAnsi="Arial"/>
                <w:sz w:val="18"/>
                <w:szCs w:val="18"/>
                <w:color w:val="auto"/>
              </w:rPr>
              <w:t>qualify.</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0260" w:type="dxa"/>
            <w:vAlign w:val="bottom"/>
          </w:tcPr>
          <w:p>
            <w:pPr>
              <w:spacing w:after="0"/>
              <w:rPr>
                <w:sz w:val="20"/>
                <w:szCs w:val="20"/>
                <w:color w:val="auto"/>
              </w:rPr>
            </w:pPr>
            <w:r>
              <w:rPr>
                <w:rFonts w:ascii="Arial" w:cs="Arial" w:eastAsia="Arial" w:hAnsi="Arial"/>
                <w:sz w:val="20"/>
                <w:szCs w:val="20"/>
                <w:b w:val="1"/>
                <w:bCs w:val="1"/>
                <w:color w:val="355889"/>
              </w:rPr>
              <w:t>2  Advisory Approval of Executive Compensation</w:t>
            </w:r>
          </w:p>
        </w:tc>
        <w:tc>
          <w:tcPr>
            <w:tcW w:w="620" w:type="dxa"/>
            <w:vAlign w:val="bottom"/>
          </w:tcPr>
          <w:p>
            <w:pPr>
              <w:spacing w:after="0"/>
              <w:rPr>
                <w:sz w:val="19"/>
                <w:szCs w:val="19"/>
                <w:color w:val="auto"/>
              </w:rPr>
            </w:pPr>
          </w:p>
        </w:tc>
      </w:tr>
      <w:tr>
        <w:trPr>
          <w:trHeight w:val="247"/>
        </w:trPr>
        <w:tc>
          <w:tcPr>
            <w:tcW w:w="10260" w:type="dxa"/>
            <w:vAlign w:val="bottom"/>
          </w:tcPr>
          <w:p>
            <w:pPr>
              <w:ind w:left="300"/>
              <w:spacing w:after="0" w:line="207" w:lineRule="exact"/>
              <w:rPr>
                <w:sz w:val="20"/>
                <w:szCs w:val="20"/>
                <w:color w:val="auto"/>
              </w:rPr>
            </w:pPr>
            <w:r>
              <w:rPr>
                <w:rFonts w:ascii="Arial" w:cs="Arial" w:eastAsia="Arial" w:hAnsi="Arial"/>
                <w:sz w:val="18"/>
                <w:szCs w:val="18"/>
                <w:color w:val="auto"/>
              </w:rPr>
              <w:t xml:space="preserve">The Company seeks non-binding stockholder approval of the compensation of the Company’s named executive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355889"/>
              </w:rPr>
              <w:t>FOR</w:t>
            </w: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3"/>
        </w:trPr>
        <w:tc>
          <w:tcPr>
            <w:tcW w:w="10260" w:type="dxa"/>
            <w:vAlign w:val="bottom"/>
          </w:tcPr>
          <w:p>
            <w:pPr>
              <w:ind w:left="300"/>
              <w:spacing w:after="0" w:line="202" w:lineRule="exact"/>
              <w:rPr>
                <w:sz w:val="20"/>
                <w:szCs w:val="20"/>
                <w:color w:val="auto"/>
              </w:rPr>
            </w:pPr>
            <w:r>
              <w:rPr>
                <w:rFonts w:ascii="Arial" w:cs="Arial" w:eastAsia="Arial" w:hAnsi="Arial"/>
                <w:sz w:val="18"/>
                <w:szCs w:val="18"/>
                <w:color w:val="auto"/>
              </w:rPr>
              <w:t>officers, as described in the Compensation Discussion and Analysis section and compensation tables included</w:t>
            </w:r>
          </w:p>
        </w:tc>
        <w:tc>
          <w:tcPr>
            <w:tcW w:w="620" w:type="dxa"/>
            <w:vAlign w:val="bottom"/>
          </w:tcPr>
          <w:p>
            <w:pPr>
              <w:spacing w:after="0"/>
              <w:rPr>
                <w:sz w:val="17"/>
                <w:szCs w:val="17"/>
                <w:color w:val="auto"/>
              </w:rPr>
            </w:pPr>
          </w:p>
        </w:tc>
      </w:tr>
      <w:tr>
        <w:trPr>
          <w:trHeight w:val="211"/>
        </w:trPr>
        <w:tc>
          <w:tcPr>
            <w:tcW w:w="10260" w:type="dxa"/>
            <w:vAlign w:val="bottom"/>
          </w:tcPr>
          <w:p>
            <w:pPr>
              <w:ind w:left="300"/>
              <w:spacing w:after="0"/>
              <w:rPr>
                <w:sz w:val="20"/>
                <w:szCs w:val="20"/>
                <w:color w:val="auto"/>
              </w:rPr>
            </w:pPr>
            <w:r>
              <w:rPr>
                <w:rFonts w:ascii="Arial" w:cs="Arial" w:eastAsia="Arial" w:hAnsi="Arial"/>
                <w:sz w:val="18"/>
                <w:szCs w:val="18"/>
                <w:color w:val="auto"/>
              </w:rPr>
              <w:t>in this proxy statement.</w:t>
            </w:r>
          </w:p>
        </w:tc>
        <w:tc>
          <w:tcPr>
            <w:tcW w:w="620" w:type="dxa"/>
            <w:vAlign w:val="bottom"/>
          </w:tcPr>
          <w:p>
            <w:pPr>
              <w:spacing w:after="0"/>
              <w:rPr>
                <w:sz w:val="18"/>
                <w:szCs w:val="18"/>
                <w:color w:val="auto"/>
              </w:rPr>
            </w:pPr>
          </w:p>
        </w:tc>
      </w:tr>
    </w:tbl>
    <w:p>
      <w:pPr>
        <w:spacing w:after="0" w:line="96" w:lineRule="exact"/>
        <w:rPr>
          <w:sz w:val="20"/>
          <w:szCs w:val="20"/>
          <w:color w:val="auto"/>
        </w:rPr>
      </w:pPr>
    </w:p>
    <w:p>
      <w:pPr>
        <w:ind w:left="120"/>
        <w:spacing w:after="0"/>
        <w:tabs>
          <w:tab w:leader="none" w:pos="400" w:val="left"/>
        </w:tabs>
        <w:rPr>
          <w:sz w:val="20"/>
          <w:szCs w:val="20"/>
          <w:color w:val="auto"/>
        </w:rPr>
      </w:pPr>
      <w:r>
        <w:rPr>
          <w:rFonts w:ascii="Arial" w:cs="Arial" w:eastAsia="Arial" w:hAnsi="Arial"/>
          <w:sz w:val="20"/>
          <w:szCs w:val="20"/>
          <w:b w:val="1"/>
          <w:bCs w:val="1"/>
          <w:color w:val="355889"/>
        </w:rPr>
        <w:t>3</w:t>
      </w:r>
      <w:r>
        <w:rPr>
          <w:sz w:val="20"/>
          <w:szCs w:val="20"/>
          <w:color w:val="auto"/>
        </w:rPr>
        <w:tab/>
      </w:r>
      <w:r>
        <w:rPr>
          <w:rFonts w:ascii="Arial" w:cs="Arial" w:eastAsia="Arial" w:hAnsi="Arial"/>
          <w:sz w:val="19"/>
          <w:szCs w:val="19"/>
          <w:b w:val="1"/>
          <w:bCs w:val="1"/>
          <w:color w:val="355889"/>
        </w:rPr>
        <w:t>Ratification of Independent Registered Public Accounting Firm</w:t>
      </w:r>
    </w:p>
    <w:p>
      <w:pPr>
        <w:spacing w:after="0" w:line="31" w:lineRule="exact"/>
        <w:rPr>
          <w:sz w:val="20"/>
          <w:szCs w:val="20"/>
          <w:color w:val="auto"/>
        </w:rPr>
      </w:pPr>
    </w:p>
    <w:p>
      <w:pPr>
        <w:ind w:left="420" w:right="240"/>
        <w:spacing w:after="0" w:line="209" w:lineRule="exact"/>
        <w:rPr>
          <w:sz w:val="20"/>
          <w:szCs w:val="20"/>
          <w:color w:val="auto"/>
        </w:rPr>
      </w:pPr>
      <w:r>
        <w:rPr>
          <w:rFonts w:ascii="Arial" w:cs="Arial" w:eastAsia="Arial" w:hAnsi="Arial"/>
          <w:sz w:val="18"/>
          <w:szCs w:val="18"/>
          <w:color w:val="auto"/>
        </w:rPr>
        <w:t xml:space="preserve">The Audit Committee and the Board believe that the continued appointment of Ernst &amp; Young LLP to serve as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355889"/>
        </w:rPr>
        <w:t>FOR</w:t>
      </w:r>
      <w:r>
        <w:rPr>
          <w:rFonts w:ascii="Arial" w:cs="Arial" w:eastAsia="Arial" w:hAnsi="Arial"/>
          <w:sz w:val="18"/>
          <w:szCs w:val="18"/>
          <w:color w:val="auto"/>
        </w:rPr>
        <w:t xml:space="preserve"> 63 our independent registered public accounting firm for the fiscal year ending December 31, 2020 is in the best interest of the Company and its stockholders.</w:t>
      </w:r>
    </w:p>
    <w:p>
      <w:pPr>
        <w:spacing w:after="0" w:line="345"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In addition, stockholders may be asked to consider and vote upon any other matters that may properly be brought before the annual meeting and at any adjournments or postponements thereof.</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Your Vote is Important—Vote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Your vote is very important to us. Please vote as soon as possible by one of the methods shown below:</w:t>
      </w:r>
    </w:p>
    <w:p>
      <w:pPr>
        <w:spacing w:after="0" w:line="181" w:lineRule="exact"/>
        <w:rPr>
          <w:sz w:val="20"/>
          <w:szCs w:val="20"/>
          <w:color w:val="auto"/>
        </w:rPr>
      </w:pPr>
    </w:p>
    <w:tbl>
      <w:tblPr>
        <w:tblLayout w:type="fixed"/>
        <w:tblInd w:w="800" w:type="dxa"/>
        <w:tblCellMar>
          <w:top w:w="0" w:type="dxa"/>
          <w:left w:w="0" w:type="dxa"/>
          <w:bottom w:w="0" w:type="dxa"/>
          <w:right w:w="0" w:type="dxa"/>
        </w:tblCellMar>
      </w:tblPr>
      <w:tr>
        <w:trPr>
          <w:trHeight w:val="247"/>
        </w:trPr>
        <w:tc>
          <w:tcPr>
            <w:tcW w:w="2900" w:type="dxa"/>
            <w:vAlign w:val="bottom"/>
          </w:tcPr>
          <w:p>
            <w:pPr>
              <w:spacing w:after="0"/>
              <w:rPr>
                <w:sz w:val="20"/>
                <w:szCs w:val="20"/>
                <w:color w:val="auto"/>
              </w:rPr>
            </w:pPr>
            <w:r>
              <w:rPr>
                <w:rFonts w:ascii="Arial" w:cs="Arial" w:eastAsia="Arial" w:hAnsi="Arial"/>
                <w:sz w:val="20"/>
                <w:szCs w:val="20"/>
                <w:b w:val="1"/>
                <w:bCs w:val="1"/>
                <w:color w:val="355889"/>
              </w:rPr>
              <w:t>By Internet</w:t>
            </w:r>
          </w:p>
        </w:tc>
        <w:tc>
          <w:tcPr>
            <w:tcW w:w="4060" w:type="dxa"/>
            <w:vAlign w:val="bottom"/>
          </w:tcPr>
          <w:p>
            <w:pPr>
              <w:ind w:left="960"/>
              <w:spacing w:after="0"/>
              <w:rPr>
                <w:sz w:val="20"/>
                <w:szCs w:val="20"/>
                <w:color w:val="auto"/>
              </w:rPr>
            </w:pPr>
            <w:r>
              <w:rPr>
                <w:rFonts w:ascii="Arial" w:cs="Arial" w:eastAsia="Arial" w:hAnsi="Arial"/>
                <w:sz w:val="20"/>
                <w:szCs w:val="20"/>
                <w:b w:val="1"/>
                <w:bCs w:val="1"/>
                <w:color w:val="355889"/>
              </w:rPr>
              <w:t>By Tablet or Smartphone</w:t>
            </w:r>
          </w:p>
        </w:tc>
        <w:tc>
          <w:tcPr>
            <w:tcW w:w="2320" w:type="dxa"/>
            <w:vAlign w:val="bottom"/>
          </w:tcPr>
          <w:p>
            <w:pPr>
              <w:ind w:left="720"/>
              <w:spacing w:after="0"/>
              <w:rPr>
                <w:sz w:val="20"/>
                <w:szCs w:val="20"/>
                <w:color w:val="auto"/>
              </w:rPr>
            </w:pPr>
            <w:r>
              <w:rPr>
                <w:rFonts w:ascii="Arial" w:cs="Arial" w:eastAsia="Arial" w:hAnsi="Arial"/>
                <w:sz w:val="20"/>
                <w:szCs w:val="20"/>
                <w:b w:val="1"/>
                <w:bCs w:val="1"/>
                <w:color w:val="355889"/>
              </w:rPr>
              <w:t>By Telephone</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Visit www.proxyvote.com</w:t>
            </w:r>
          </w:p>
        </w:tc>
        <w:tc>
          <w:tcPr>
            <w:tcW w:w="4060" w:type="dxa"/>
            <w:vAlign w:val="bottom"/>
          </w:tcPr>
          <w:p>
            <w:pPr>
              <w:ind w:left="960"/>
              <w:spacing w:after="0" w:line="202" w:lineRule="exact"/>
              <w:rPr>
                <w:sz w:val="20"/>
                <w:szCs w:val="20"/>
                <w:color w:val="auto"/>
              </w:rPr>
            </w:pPr>
            <w:r>
              <w:rPr>
                <w:rFonts w:ascii="Arial" w:cs="Arial" w:eastAsia="Arial" w:hAnsi="Arial"/>
                <w:sz w:val="18"/>
                <w:szCs w:val="18"/>
                <w:color w:val="auto"/>
              </w:rPr>
              <w:t>Scan this QR code to vote with</w:t>
            </w:r>
          </w:p>
        </w:tc>
        <w:tc>
          <w:tcPr>
            <w:tcW w:w="2320" w:type="dxa"/>
            <w:vAlign w:val="bottom"/>
          </w:tcPr>
          <w:p>
            <w:pPr>
              <w:ind w:left="720"/>
              <w:spacing w:after="0" w:line="202" w:lineRule="exact"/>
              <w:rPr>
                <w:sz w:val="20"/>
                <w:szCs w:val="20"/>
                <w:color w:val="auto"/>
              </w:rPr>
            </w:pPr>
            <w:r>
              <w:rPr>
                <w:rFonts w:ascii="Arial" w:cs="Arial" w:eastAsia="Arial" w:hAnsi="Arial"/>
                <w:sz w:val="18"/>
                <w:szCs w:val="18"/>
                <w:color w:val="auto"/>
                <w:w w:val="96"/>
              </w:rPr>
              <w:t>Call 1-800-454-8683</w:t>
            </w:r>
          </w:p>
        </w:tc>
      </w:tr>
      <w:tr>
        <w:trPr>
          <w:trHeight w:val="211"/>
        </w:trPr>
        <w:tc>
          <w:tcPr>
            <w:tcW w:w="2900" w:type="dxa"/>
            <w:vAlign w:val="bottom"/>
          </w:tcPr>
          <w:p>
            <w:pPr>
              <w:spacing w:after="0"/>
              <w:rPr>
                <w:sz w:val="18"/>
                <w:szCs w:val="18"/>
                <w:color w:val="auto"/>
              </w:rPr>
            </w:pPr>
          </w:p>
        </w:tc>
        <w:tc>
          <w:tcPr>
            <w:tcW w:w="4060" w:type="dxa"/>
            <w:vAlign w:val="bottom"/>
          </w:tcPr>
          <w:p>
            <w:pPr>
              <w:ind w:left="960"/>
              <w:spacing w:after="0"/>
              <w:rPr>
                <w:sz w:val="20"/>
                <w:szCs w:val="20"/>
                <w:color w:val="auto"/>
              </w:rPr>
            </w:pPr>
            <w:r>
              <w:rPr>
                <w:rFonts w:ascii="Arial" w:cs="Arial" w:eastAsia="Arial" w:hAnsi="Arial"/>
                <w:sz w:val="18"/>
                <w:szCs w:val="18"/>
                <w:color w:val="auto"/>
              </w:rPr>
              <w:t>your mobile device</w:t>
            </w:r>
          </w:p>
        </w:tc>
        <w:tc>
          <w:tcPr>
            <w:tcW w:w="2320" w:type="dxa"/>
            <w:vAlign w:val="bottom"/>
          </w:tcPr>
          <w:p>
            <w:pPr>
              <w:ind w:left="720"/>
              <w:spacing w:after="0"/>
              <w:rPr>
                <w:sz w:val="20"/>
                <w:szCs w:val="20"/>
                <w:color w:val="auto"/>
              </w:rPr>
            </w:pPr>
            <w:r>
              <w:rPr>
                <w:rFonts w:ascii="Arial" w:cs="Arial" w:eastAsia="Arial" w:hAnsi="Arial"/>
                <w:sz w:val="18"/>
                <w:szCs w:val="18"/>
                <w:color w:val="auto"/>
              </w:rPr>
              <w:t>24h/7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130" cy="1650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16503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-401320</wp:posOffset>
            </wp:positionV>
            <wp:extent cx="377190"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7190" cy="3257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-401320</wp:posOffset>
            </wp:positionV>
            <wp:extent cx="325755"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-401320</wp:posOffset>
            </wp:positionV>
            <wp:extent cx="213995"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995" cy="325755"/>
                    </a:xfrm>
                    <a:prstGeom prst="rect">
                      <a:avLst/>
                    </a:prstGeom>
                    <a:noFill/>
                  </pic:spPr>
                </pic:pic>
              </a:graphicData>
            </a:graphic>
          </wp:anchor>
        </w:drawing>
      </w:r>
    </w:p>
    <w:p>
      <w:pPr>
        <w:spacing w:after="0" w:line="336" w:lineRule="exact"/>
        <w:rPr>
          <w:sz w:val="20"/>
          <w:szCs w:val="20"/>
          <w:color w:val="auto"/>
        </w:rPr>
      </w:pPr>
    </w:p>
    <w:p>
      <w:pPr>
        <w:ind w:left="140" w:right="240"/>
        <w:spacing w:after="0" w:line="271" w:lineRule="auto"/>
        <w:rPr>
          <w:sz w:val="20"/>
          <w:szCs w:val="20"/>
          <w:color w:val="auto"/>
        </w:rPr>
      </w:pPr>
      <w:r>
        <w:rPr>
          <w:rFonts w:ascii="Arial" w:cs="Arial" w:eastAsia="Arial" w:hAnsi="Arial"/>
          <w:sz w:val="16"/>
          <w:szCs w:val="16"/>
          <w:color w:val="auto"/>
        </w:rPr>
        <w:t>*Since becoming a public company, we have always held our annual meetings in person, and it remains our intention to do so. However, we are actively monitoring information about the coronavirus (COVID-19), and we are sensitive to the public health and travel concerns our stockholders may have and the protocols that federal, state, and local governments may impose. In the event it is not possible or we deem it inadvisable to hold the annual meeting in person or at the originally scheduled date, time and location, we will announce alternative arrangements for the meeting as promptly as practicable, which may include holding the meeting solely by means of remote communication, and we will file the announcement as definitive additional soliciting material with the U.S. Securities and Exchange Commission (the “SEC”).</w:t>
      </w:r>
    </w:p>
    <w:p>
      <w:pPr>
        <w:spacing w:after="0" w:line="76" w:lineRule="exact"/>
        <w:rPr>
          <w:sz w:val="20"/>
          <w:szCs w:val="20"/>
          <w:color w:val="auto"/>
        </w:rPr>
      </w:pPr>
    </w:p>
    <w:p>
      <w:pPr>
        <w:ind w:left="140" w:right="260"/>
        <w:spacing w:after="0" w:line="236" w:lineRule="auto"/>
        <w:rPr>
          <w:sz w:val="20"/>
          <w:szCs w:val="20"/>
          <w:color w:val="auto"/>
        </w:rPr>
      </w:pPr>
      <w:r>
        <w:rPr>
          <w:rFonts w:ascii="Arial" w:cs="Arial" w:eastAsia="Arial" w:hAnsi="Arial"/>
          <w:sz w:val="18"/>
          <w:szCs w:val="18"/>
          <w:color w:val="auto"/>
        </w:rPr>
        <w:t>Please monitor our website at www.slgreen.com for updated information. If we decide to hold the meeting solely by means of remote communication, you will be able to attend our annual meeting through a link at this location on our website using your control number, which is included in the proxy card sent to you or, if you are a beneficial owner who did not receive such number, may be obtained upon request to the broker, bank, or other nominee that holds your shares. As always, we strongly encourage you to vote your shares by proxy prior to the annual meeting.</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2020 PROXY STATEMENT HIGHLIGHTS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Business Overview and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b w:val="1"/>
                <w:bCs w:val="1"/>
                <w:color w:val="auto"/>
              </w:rPr>
              <w:t>Our Mission</w:t>
            </w:r>
          </w:p>
        </w:tc>
        <w:tc>
          <w:tcPr>
            <w:tcW w:w="9580" w:type="dxa"/>
            <w:vAlign w:val="bottom"/>
          </w:tcPr>
          <w:p>
            <w:pPr>
              <w:ind w:left="140"/>
              <w:spacing w:after="0"/>
              <w:rPr>
                <w:sz w:val="20"/>
                <w:szCs w:val="20"/>
                <w:color w:val="auto"/>
              </w:rPr>
            </w:pPr>
            <w:r>
              <w:rPr>
                <w:rFonts w:ascii="Arial" w:cs="Arial" w:eastAsia="Arial" w:hAnsi="Arial"/>
                <w:sz w:val="13"/>
                <w:szCs w:val="13"/>
                <w:color w:val="auto"/>
              </w:rPr>
              <w:t>SL Green Realty Corp., an S&amp;P 500 company and Manhattan’s largest office landlord, is a fully integrated real estate investment trust, or REIT, that is focused</w:t>
            </w:r>
          </w:p>
        </w:tc>
      </w:tr>
      <w:tr>
        <w:trPr>
          <w:trHeight w:val="162"/>
        </w:trPr>
        <w:tc>
          <w:tcPr>
            <w:tcW w:w="1160" w:type="dxa"/>
            <w:vAlign w:val="bottom"/>
          </w:tcPr>
          <w:p>
            <w:pPr>
              <w:spacing w:after="0"/>
              <w:rPr>
                <w:sz w:val="14"/>
                <w:szCs w:val="14"/>
                <w:color w:val="auto"/>
              </w:rPr>
            </w:pPr>
          </w:p>
        </w:tc>
        <w:tc>
          <w:tcPr>
            <w:tcW w:w="9580" w:type="dxa"/>
            <w:vAlign w:val="bottom"/>
          </w:tcPr>
          <w:p>
            <w:pPr>
              <w:ind w:left="140"/>
              <w:spacing w:after="0"/>
              <w:rPr>
                <w:sz w:val="20"/>
                <w:szCs w:val="20"/>
                <w:color w:val="auto"/>
              </w:rPr>
            </w:pPr>
            <w:r>
              <w:rPr>
                <w:rFonts w:ascii="Arial" w:cs="Arial" w:eastAsia="Arial" w:hAnsi="Arial"/>
                <w:sz w:val="13"/>
                <w:szCs w:val="13"/>
                <w:color w:val="auto"/>
              </w:rPr>
              <w:t>primarily on acquiring, developing, managing, and maximizing the value of Manhattan commercial properties.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25400</wp:posOffset>
            </wp:positionV>
            <wp:extent cx="17145" cy="548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 cy="54864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25400</wp:posOffset>
            </wp:positionV>
            <wp:extent cx="17145"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 cy="54864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17145" cy="548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 cy="54864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1300" w:type="dxa"/>
            <w:vAlign w:val="bottom"/>
          </w:tcPr>
          <w:p>
            <w:pPr>
              <w:spacing w:after="0"/>
              <w:rPr>
                <w:sz w:val="20"/>
                <w:szCs w:val="20"/>
                <w:color w:val="auto"/>
              </w:rPr>
            </w:pPr>
            <w:r>
              <w:rPr>
                <w:rFonts w:ascii="Arial" w:cs="Arial" w:eastAsia="Arial" w:hAnsi="Arial"/>
                <w:sz w:val="18"/>
                <w:szCs w:val="18"/>
                <w:b w:val="1"/>
                <w:bCs w:val="1"/>
                <w:color w:val="auto"/>
              </w:rPr>
              <w:t>Who We Are</w:t>
            </w:r>
            <w:r>
              <w:rPr>
                <w:rFonts w:ascii="Arial" w:cs="Arial" w:eastAsia="Arial" w:hAnsi="Arial"/>
                <w:sz w:val="29"/>
                <w:szCs w:val="29"/>
                <w:b w:val="1"/>
                <w:bCs w:val="1"/>
                <w:color w:val="auto"/>
                <w:vertAlign w:val="superscript"/>
              </w:rPr>
              <w:t>1</w:t>
            </w:r>
          </w:p>
        </w:tc>
        <w:tc>
          <w:tcPr>
            <w:tcW w:w="2460" w:type="dxa"/>
            <w:vAlign w:val="bottom"/>
            <w:shd w:val="clear" w:color="auto" w:fill="9BA8C3"/>
          </w:tcPr>
          <w:p>
            <w:pPr>
              <w:jc w:val="center"/>
              <w:spacing w:after="0"/>
              <w:rPr>
                <w:sz w:val="20"/>
                <w:szCs w:val="20"/>
                <w:color w:val="auto"/>
              </w:rPr>
            </w:pPr>
            <w:r>
              <w:rPr>
                <w:rFonts w:ascii="Arial" w:cs="Arial" w:eastAsia="Arial" w:hAnsi="Arial"/>
                <w:sz w:val="22"/>
                <w:szCs w:val="22"/>
                <w:b w:val="1"/>
                <w:bCs w:val="1"/>
                <w:color w:val="FFFFFF"/>
                <w:w w:val="98"/>
              </w:rPr>
              <w:t>$1.7 Billion</w:t>
            </w:r>
          </w:p>
        </w:tc>
        <w:tc>
          <w:tcPr>
            <w:tcW w:w="2620" w:type="dxa"/>
            <w:vAlign w:val="bottom"/>
            <w:shd w:val="clear" w:color="auto" w:fill="9BA8C3"/>
          </w:tcPr>
          <w:p>
            <w:pPr>
              <w:jc w:val="center"/>
              <w:spacing w:after="0"/>
              <w:rPr>
                <w:sz w:val="20"/>
                <w:szCs w:val="20"/>
                <w:color w:val="auto"/>
              </w:rPr>
            </w:pPr>
            <w:r>
              <w:rPr>
                <w:rFonts w:ascii="Arial" w:cs="Arial" w:eastAsia="Arial" w:hAnsi="Arial"/>
                <w:sz w:val="22"/>
                <w:szCs w:val="22"/>
                <w:b w:val="1"/>
                <w:bCs w:val="1"/>
                <w:color w:val="FFFFFF"/>
                <w:w w:val="97"/>
              </w:rPr>
              <w:t>#1</w:t>
            </w:r>
          </w:p>
        </w:tc>
        <w:tc>
          <w:tcPr>
            <w:tcW w:w="2460" w:type="dxa"/>
            <w:vAlign w:val="bottom"/>
            <w:shd w:val="clear" w:color="auto" w:fill="9BA8C3"/>
          </w:tcPr>
          <w:p>
            <w:pPr>
              <w:jc w:val="center"/>
              <w:ind w:right="7"/>
              <w:spacing w:after="0"/>
              <w:rPr>
                <w:sz w:val="20"/>
                <w:szCs w:val="20"/>
                <w:color w:val="auto"/>
              </w:rPr>
            </w:pPr>
            <w:r>
              <w:rPr>
                <w:rFonts w:ascii="Arial" w:cs="Arial" w:eastAsia="Arial" w:hAnsi="Arial"/>
                <w:sz w:val="22"/>
                <w:szCs w:val="22"/>
                <w:b w:val="1"/>
                <w:bCs w:val="1"/>
                <w:color w:val="FFFFFF"/>
                <w:w w:val="97"/>
              </w:rPr>
              <w:t>46.5 Million</w:t>
            </w:r>
          </w:p>
        </w:tc>
        <w:tc>
          <w:tcPr>
            <w:tcW w:w="2400" w:type="dxa"/>
            <w:vAlign w:val="bottom"/>
            <w:shd w:val="clear" w:color="auto" w:fill="9BA8C3"/>
          </w:tcPr>
          <w:p>
            <w:pPr>
              <w:jc w:val="center"/>
              <w:spacing w:after="0"/>
              <w:rPr>
                <w:sz w:val="20"/>
                <w:szCs w:val="20"/>
                <w:color w:val="auto"/>
              </w:rPr>
            </w:pPr>
            <w:r>
              <w:rPr>
                <w:rFonts w:ascii="Arial" w:cs="Arial" w:eastAsia="Arial" w:hAnsi="Arial"/>
                <w:sz w:val="22"/>
                <w:szCs w:val="22"/>
                <w:b w:val="1"/>
                <w:bCs w:val="1"/>
                <w:color w:val="FFFFFF"/>
                <w:w w:val="98"/>
              </w:rPr>
              <w:t>$17.8 Billion</w:t>
            </w:r>
          </w:p>
        </w:tc>
      </w:tr>
      <w:tr>
        <w:trPr>
          <w:trHeight w:val="221"/>
        </w:trPr>
        <w:tc>
          <w:tcPr>
            <w:tcW w:w="1300" w:type="dxa"/>
            <w:vAlign w:val="bottom"/>
          </w:tcPr>
          <w:p>
            <w:pPr>
              <w:spacing w:after="0"/>
              <w:rPr>
                <w:sz w:val="19"/>
                <w:szCs w:val="19"/>
                <w:color w:val="auto"/>
              </w:rPr>
            </w:pPr>
          </w:p>
        </w:tc>
        <w:tc>
          <w:tcPr>
            <w:tcW w:w="2460" w:type="dxa"/>
            <w:vAlign w:val="bottom"/>
            <w:shd w:val="clear" w:color="auto" w:fill="9BA8C3"/>
          </w:tcPr>
          <w:p>
            <w:pPr>
              <w:jc w:val="center"/>
              <w:spacing w:after="0"/>
              <w:rPr>
                <w:sz w:val="20"/>
                <w:szCs w:val="20"/>
                <w:color w:val="auto"/>
              </w:rPr>
            </w:pPr>
            <w:r>
              <w:rPr>
                <w:rFonts w:ascii="Arial" w:cs="Arial" w:eastAsia="Arial" w:hAnsi="Arial"/>
                <w:sz w:val="18"/>
                <w:szCs w:val="18"/>
                <w:b w:val="1"/>
                <w:bCs w:val="1"/>
                <w:color w:val="355889"/>
                <w:w w:val="96"/>
              </w:rPr>
              <w:t>Combined Revenues</w:t>
            </w:r>
          </w:p>
        </w:tc>
        <w:tc>
          <w:tcPr>
            <w:tcW w:w="2620" w:type="dxa"/>
            <w:vAlign w:val="bottom"/>
            <w:shd w:val="clear" w:color="auto" w:fill="9BA8C3"/>
          </w:tcPr>
          <w:p>
            <w:pPr>
              <w:jc w:val="center"/>
              <w:spacing w:after="0"/>
              <w:rPr>
                <w:sz w:val="20"/>
                <w:szCs w:val="20"/>
                <w:color w:val="auto"/>
              </w:rPr>
            </w:pPr>
            <w:r>
              <w:rPr>
                <w:rFonts w:ascii="Arial" w:cs="Arial" w:eastAsia="Arial" w:hAnsi="Arial"/>
                <w:sz w:val="18"/>
                <w:szCs w:val="18"/>
                <w:b w:val="1"/>
                <w:bCs w:val="1"/>
                <w:color w:val="355889"/>
                <w:w w:val="96"/>
              </w:rPr>
              <w:t>Owner of Office</w:t>
            </w:r>
          </w:p>
        </w:tc>
        <w:tc>
          <w:tcPr>
            <w:tcW w:w="2460" w:type="dxa"/>
            <w:vAlign w:val="bottom"/>
            <w:shd w:val="clear" w:color="auto" w:fill="9BA8C3"/>
          </w:tcPr>
          <w:p>
            <w:pPr>
              <w:jc w:val="center"/>
              <w:spacing w:after="0" w:line="221" w:lineRule="exact"/>
              <w:rPr>
                <w:sz w:val="20"/>
                <w:szCs w:val="20"/>
                <w:color w:val="auto"/>
              </w:rPr>
            </w:pPr>
            <w:r>
              <w:rPr>
                <w:rFonts w:ascii="Arial" w:cs="Arial" w:eastAsia="Arial" w:hAnsi="Arial"/>
                <w:sz w:val="16"/>
                <w:szCs w:val="16"/>
                <w:b w:val="1"/>
                <w:bCs w:val="1"/>
                <w:color w:val="355889"/>
              </w:rPr>
              <w:t>Total Square Feet</w:t>
            </w:r>
            <w:r>
              <w:rPr>
                <w:rFonts w:ascii="Arial" w:cs="Arial" w:eastAsia="Arial" w:hAnsi="Arial"/>
                <w:sz w:val="25"/>
                <w:szCs w:val="25"/>
                <w:b w:val="1"/>
                <w:bCs w:val="1"/>
                <w:color w:val="355889"/>
                <w:vertAlign w:val="superscript"/>
              </w:rPr>
              <w:t>2</w:t>
            </w:r>
          </w:p>
        </w:tc>
        <w:tc>
          <w:tcPr>
            <w:tcW w:w="2400" w:type="dxa"/>
            <w:vAlign w:val="bottom"/>
            <w:shd w:val="clear" w:color="auto" w:fill="9BA8C3"/>
          </w:tcPr>
          <w:p>
            <w:pPr>
              <w:jc w:val="center"/>
              <w:spacing w:after="0"/>
              <w:rPr>
                <w:sz w:val="20"/>
                <w:szCs w:val="20"/>
                <w:color w:val="auto"/>
              </w:rPr>
            </w:pPr>
            <w:r>
              <w:rPr>
                <w:rFonts w:ascii="Arial" w:cs="Arial" w:eastAsia="Arial" w:hAnsi="Arial"/>
                <w:sz w:val="18"/>
                <w:szCs w:val="18"/>
                <w:b w:val="1"/>
                <w:bCs w:val="1"/>
                <w:color w:val="355889"/>
                <w:w w:val="97"/>
              </w:rPr>
              <w:t>Enterprise Value</w:t>
            </w:r>
          </w:p>
        </w:tc>
      </w:tr>
      <w:tr>
        <w:trPr>
          <w:trHeight w:val="233"/>
        </w:trPr>
        <w:tc>
          <w:tcPr>
            <w:tcW w:w="1300" w:type="dxa"/>
            <w:vAlign w:val="bottom"/>
          </w:tcPr>
          <w:p>
            <w:pPr>
              <w:spacing w:after="0"/>
              <w:rPr>
                <w:sz w:val="20"/>
                <w:szCs w:val="20"/>
                <w:color w:val="auto"/>
              </w:rPr>
            </w:pPr>
          </w:p>
        </w:tc>
        <w:tc>
          <w:tcPr>
            <w:tcW w:w="2460" w:type="dxa"/>
            <w:vAlign w:val="bottom"/>
            <w:shd w:val="clear" w:color="auto" w:fill="9BA8C3"/>
          </w:tcPr>
          <w:p>
            <w:pPr>
              <w:spacing w:after="0"/>
              <w:rPr>
                <w:sz w:val="20"/>
                <w:szCs w:val="20"/>
                <w:color w:val="auto"/>
              </w:rPr>
            </w:pPr>
          </w:p>
        </w:tc>
        <w:tc>
          <w:tcPr>
            <w:tcW w:w="2620" w:type="dxa"/>
            <w:vAlign w:val="bottom"/>
            <w:shd w:val="clear" w:color="auto" w:fill="9BA8C3"/>
          </w:tcPr>
          <w:p>
            <w:pPr>
              <w:jc w:val="center"/>
              <w:spacing w:after="0"/>
              <w:rPr>
                <w:sz w:val="20"/>
                <w:szCs w:val="20"/>
                <w:color w:val="auto"/>
              </w:rPr>
            </w:pPr>
            <w:r>
              <w:rPr>
                <w:rFonts w:ascii="Arial" w:cs="Arial" w:eastAsia="Arial" w:hAnsi="Arial"/>
                <w:sz w:val="18"/>
                <w:szCs w:val="18"/>
                <w:b w:val="1"/>
                <w:bCs w:val="1"/>
                <w:color w:val="355889"/>
                <w:w w:val="97"/>
              </w:rPr>
              <w:t>Property in Manhattan</w:t>
            </w:r>
          </w:p>
        </w:tc>
        <w:tc>
          <w:tcPr>
            <w:tcW w:w="2460" w:type="dxa"/>
            <w:vAlign w:val="bottom"/>
            <w:shd w:val="clear" w:color="auto" w:fill="9BA8C3"/>
          </w:tcPr>
          <w:p>
            <w:pPr>
              <w:spacing w:after="0"/>
              <w:rPr>
                <w:sz w:val="20"/>
                <w:szCs w:val="20"/>
                <w:color w:val="auto"/>
              </w:rPr>
            </w:pPr>
          </w:p>
        </w:tc>
        <w:tc>
          <w:tcPr>
            <w:tcW w:w="2400" w:type="dxa"/>
            <w:vAlign w:val="bottom"/>
            <w:shd w:val="clear" w:color="auto" w:fill="9BA8C3"/>
          </w:tcPr>
          <w:p>
            <w:pPr>
              <w:spacing w:after="0"/>
              <w:rPr>
                <w:sz w:val="20"/>
                <w:szCs w:val="20"/>
                <w:color w:val="auto"/>
              </w:rPr>
            </w:pPr>
          </w:p>
        </w:tc>
      </w:tr>
      <w:tr>
        <w:trPr>
          <w:trHeight w:val="78"/>
        </w:trPr>
        <w:tc>
          <w:tcPr>
            <w:tcW w:w="1300" w:type="dxa"/>
            <w:vAlign w:val="bottom"/>
          </w:tcPr>
          <w:p>
            <w:pPr>
              <w:spacing w:after="0"/>
              <w:rPr>
                <w:sz w:val="6"/>
                <w:szCs w:val="6"/>
                <w:color w:val="auto"/>
              </w:rPr>
            </w:pPr>
          </w:p>
        </w:tc>
        <w:tc>
          <w:tcPr>
            <w:tcW w:w="2460" w:type="dxa"/>
            <w:vAlign w:val="bottom"/>
            <w:shd w:val="clear" w:color="auto" w:fill="9BA8C3"/>
          </w:tcPr>
          <w:p>
            <w:pPr>
              <w:spacing w:after="0"/>
              <w:rPr>
                <w:sz w:val="6"/>
                <w:szCs w:val="6"/>
                <w:color w:val="auto"/>
              </w:rPr>
            </w:pPr>
          </w:p>
        </w:tc>
        <w:tc>
          <w:tcPr>
            <w:tcW w:w="2620" w:type="dxa"/>
            <w:vAlign w:val="bottom"/>
            <w:shd w:val="clear" w:color="auto" w:fill="9BA8C3"/>
          </w:tcPr>
          <w:p>
            <w:pPr>
              <w:spacing w:after="0"/>
              <w:rPr>
                <w:sz w:val="6"/>
                <w:szCs w:val="6"/>
                <w:color w:val="auto"/>
              </w:rPr>
            </w:pPr>
          </w:p>
        </w:tc>
        <w:tc>
          <w:tcPr>
            <w:tcW w:w="2460" w:type="dxa"/>
            <w:vAlign w:val="bottom"/>
            <w:shd w:val="clear" w:color="auto" w:fill="9BA8C3"/>
          </w:tcPr>
          <w:p>
            <w:pPr>
              <w:spacing w:after="0"/>
              <w:rPr>
                <w:sz w:val="6"/>
                <w:szCs w:val="6"/>
                <w:color w:val="auto"/>
              </w:rPr>
            </w:pPr>
          </w:p>
        </w:tc>
        <w:tc>
          <w:tcPr>
            <w:tcW w:w="2400" w:type="dxa"/>
            <w:vAlign w:val="bottom"/>
            <w:shd w:val="clear" w:color="auto" w:fill="9BA8C3"/>
          </w:tcPr>
          <w:p>
            <w:pPr>
              <w:spacing w:after="0"/>
              <w:rPr>
                <w:sz w:val="6"/>
                <w:szCs w:val="6"/>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differentiate ourselves from our peers and competitors in four key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34290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5" w:lineRule="exact"/>
        <w:rPr>
          <w:sz w:val="20"/>
          <w:szCs w:val="20"/>
          <w:color w:val="auto"/>
        </w:rPr>
      </w:pPr>
    </w:p>
    <w:p>
      <w:pPr>
        <w:ind w:left="80"/>
        <w:spacing w:after="0" w:line="241" w:lineRule="auto"/>
        <w:rPr>
          <w:sz w:val="20"/>
          <w:szCs w:val="20"/>
          <w:color w:val="auto"/>
        </w:rPr>
      </w:pPr>
      <w:r>
        <w:rPr>
          <w:rFonts w:ascii="Arial" w:cs="Arial" w:eastAsia="Arial" w:hAnsi="Arial"/>
          <w:sz w:val="20"/>
          <w:szCs w:val="20"/>
          <w:b w:val="1"/>
          <w:bCs w:val="1"/>
          <w:color w:val="355889"/>
        </w:rPr>
        <w:t>Active and Engaged Business Strategy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238" w:hanging="238"/>
        <w:spacing w:after="0"/>
        <w:tabs>
          <w:tab w:leader="none" w:pos="238" w:val="left"/>
        </w:tabs>
        <w:numPr>
          <w:ilvl w:val="0"/>
          <w:numId w:val="4"/>
        </w:numPr>
        <w:rPr>
          <w:rFonts w:ascii="Arial" w:cs="Arial" w:eastAsia="Arial" w:hAnsi="Arial"/>
          <w:sz w:val="16"/>
          <w:szCs w:val="16"/>
          <w:color w:val="355889"/>
        </w:rPr>
      </w:pPr>
      <w:r>
        <w:rPr>
          <w:rFonts w:ascii="Arial" w:cs="Arial" w:eastAsia="Arial" w:hAnsi="Arial"/>
          <w:sz w:val="16"/>
          <w:szCs w:val="16"/>
          <w:color w:val="auto"/>
        </w:rPr>
        <w:t>SLG does not subscribe to a traditional “buy and hold” strategy and is a very active transaction-oriented company</w:t>
      </w:r>
    </w:p>
    <w:p>
      <w:pPr>
        <w:spacing w:after="0" w:line="99" w:lineRule="exact"/>
        <w:rPr>
          <w:rFonts w:ascii="Arial" w:cs="Arial" w:eastAsia="Arial" w:hAnsi="Arial"/>
          <w:sz w:val="16"/>
          <w:szCs w:val="16"/>
          <w:color w:val="355889"/>
        </w:rPr>
      </w:pPr>
    </w:p>
    <w:p>
      <w:pPr>
        <w:ind w:left="258" w:right="220" w:hanging="258"/>
        <w:spacing w:after="0" w:line="254" w:lineRule="auto"/>
        <w:tabs>
          <w:tab w:leader="none" w:pos="235" w:val="left"/>
        </w:tabs>
        <w:numPr>
          <w:ilvl w:val="0"/>
          <w:numId w:val="4"/>
        </w:numPr>
        <w:rPr>
          <w:rFonts w:ascii="Arial" w:cs="Arial" w:eastAsia="Arial" w:hAnsi="Arial"/>
          <w:sz w:val="17"/>
          <w:szCs w:val="17"/>
          <w:color w:val="355889"/>
        </w:rPr>
      </w:pPr>
      <w:r>
        <w:rPr>
          <w:rFonts w:ascii="Arial" w:cs="Arial" w:eastAsia="Arial" w:hAnsi="Arial"/>
          <w:sz w:val="18"/>
          <w:szCs w:val="18"/>
          <w:color w:val="auto"/>
        </w:rPr>
        <w:t>In any given year, we execute more transactions than many of our competitors do over a much longer, multi-year period</w:t>
      </w:r>
    </w:p>
    <w:p>
      <w:pPr>
        <w:spacing w:after="0" w:line="61" w:lineRule="exact"/>
        <w:rPr>
          <w:rFonts w:ascii="Arial" w:cs="Arial" w:eastAsia="Arial" w:hAnsi="Arial"/>
          <w:sz w:val="17"/>
          <w:szCs w:val="17"/>
          <w:color w:val="355889"/>
        </w:rPr>
      </w:pPr>
    </w:p>
    <w:p>
      <w:pPr>
        <w:ind w:left="238" w:hanging="238"/>
        <w:spacing w:after="0"/>
        <w:tabs>
          <w:tab w:leader="none" w:pos="238" w:val="left"/>
        </w:tabs>
        <w:numPr>
          <w:ilvl w:val="0"/>
          <w:numId w:val="4"/>
        </w:numPr>
        <w:rPr>
          <w:rFonts w:ascii="Arial" w:cs="Arial" w:eastAsia="Arial" w:hAnsi="Arial"/>
          <w:sz w:val="17"/>
          <w:szCs w:val="17"/>
          <w:color w:val="355889"/>
        </w:rPr>
      </w:pPr>
      <w:r>
        <w:rPr>
          <w:rFonts w:ascii="Arial" w:cs="Arial" w:eastAsia="Arial" w:hAnsi="Arial"/>
          <w:sz w:val="18"/>
          <w:szCs w:val="18"/>
          <w:color w:val="auto"/>
        </w:rPr>
        <w:t>Accordingly, we frequently capitalize on opportunities in the market, maximizing returns</w:t>
      </w:r>
    </w:p>
    <w:p>
      <w:pPr>
        <w:spacing w:after="0" w:line="32" w:lineRule="exact"/>
        <w:rPr>
          <w:sz w:val="20"/>
          <w:szCs w:val="20"/>
          <w:color w:val="auto"/>
        </w:rPr>
      </w:pPr>
    </w:p>
    <w:p>
      <w:pPr>
        <w:sectPr>
          <w:pgSz w:w="11900" w:h="16838" w:orient="portrait"/>
          <w:cols w:equalWidth="0" w:num="2">
            <w:col w:w="1860" w:space="182"/>
            <w:col w:w="9198"/>
          </w:cols>
          <w:pgMar w:left="320" w:top="121" w:right="339" w:bottom="1440" w:gutter="0" w:footer="0" w:header="0"/>
          <w:type w:val="continuous"/>
        </w:sectPr>
      </w:pPr>
    </w:p>
    <w:tbl>
      <w:tblPr>
        <w:tblLayout w:type="fixed"/>
        <w:tblInd w:w="10" w:type="dxa"/>
        <w:tblCellMar>
          <w:top w:w="0" w:type="dxa"/>
          <w:left w:w="0" w:type="dxa"/>
          <w:bottom w:w="0" w:type="dxa"/>
          <w:right w:w="0" w:type="dxa"/>
        </w:tblCellMar>
      </w:tblPr>
      <w:tr>
        <w:trPr>
          <w:trHeight w:val="230"/>
        </w:trPr>
        <w:tc>
          <w:tcPr>
            <w:tcW w:w="1920" w:type="dxa"/>
            <w:vAlign w:val="bottom"/>
          </w:tcPr>
          <w:p>
            <w:pPr>
              <w:ind w:left="80"/>
              <w:spacing w:after="0"/>
              <w:rPr>
                <w:sz w:val="20"/>
                <w:szCs w:val="20"/>
                <w:color w:val="auto"/>
              </w:rPr>
            </w:pPr>
            <w:r>
              <w:rPr>
                <w:rFonts w:ascii="Arial" w:cs="Arial" w:eastAsia="Arial" w:hAnsi="Arial"/>
                <w:sz w:val="20"/>
                <w:szCs w:val="20"/>
                <w:b w:val="1"/>
                <w:bCs w:val="1"/>
                <w:color w:val="355889"/>
              </w:rPr>
              <w:t>Operations on</w:t>
            </w:r>
          </w:p>
        </w:tc>
        <w:tc>
          <w:tcPr>
            <w:tcW w:w="300" w:type="dxa"/>
            <w:vAlign w:val="bottom"/>
          </w:tcPr>
          <w:p>
            <w:pPr>
              <w:ind w:left="120"/>
              <w:spacing w:after="0"/>
              <w:rPr>
                <w:sz w:val="20"/>
                <w:szCs w:val="20"/>
                <w:color w:val="auto"/>
              </w:rPr>
            </w:pPr>
            <w:r>
              <w:rPr>
                <w:rFonts w:ascii="Arial" w:cs="Arial" w:eastAsia="Arial" w:hAnsi="Arial"/>
                <w:sz w:val="17"/>
                <w:szCs w:val="17"/>
                <w:color w:val="355889"/>
              </w:rPr>
              <w:t>●</w:t>
            </w:r>
          </w:p>
        </w:tc>
        <w:tc>
          <w:tcPr>
            <w:tcW w:w="9020" w:type="dxa"/>
            <w:vAlign w:val="bottom"/>
            <w:gridSpan w:val="3"/>
          </w:tcPr>
          <w:p>
            <w:pPr>
              <w:ind w:left="60"/>
              <w:spacing w:after="0"/>
              <w:rPr>
                <w:sz w:val="20"/>
                <w:szCs w:val="20"/>
                <w:color w:val="auto"/>
              </w:rPr>
            </w:pPr>
            <w:r>
              <w:rPr>
                <w:rFonts w:ascii="Arial" w:cs="Arial" w:eastAsia="Arial" w:hAnsi="Arial"/>
                <w:sz w:val="18"/>
                <w:szCs w:val="18"/>
                <w:color w:val="auto"/>
              </w:rPr>
              <w:t>Buy and sell properties independently and collaborate with other organizations through joint ventures when</w:t>
            </w:r>
          </w:p>
        </w:tc>
      </w:tr>
      <w:tr>
        <w:trPr>
          <w:trHeight w:val="261"/>
        </w:trPr>
        <w:tc>
          <w:tcPr>
            <w:tcW w:w="1920" w:type="dxa"/>
            <w:vAlign w:val="bottom"/>
          </w:tcPr>
          <w:p>
            <w:pPr>
              <w:ind w:left="80"/>
              <w:spacing w:after="0"/>
              <w:rPr>
                <w:sz w:val="20"/>
                <w:szCs w:val="20"/>
                <w:color w:val="auto"/>
              </w:rPr>
            </w:pPr>
            <w:r>
              <w:rPr>
                <w:rFonts w:ascii="Arial" w:cs="Arial" w:eastAsia="Arial" w:hAnsi="Arial"/>
                <w:sz w:val="20"/>
                <w:szCs w:val="20"/>
                <w:b w:val="1"/>
                <w:bCs w:val="1"/>
                <w:color w:val="355889"/>
              </w:rPr>
              <w:t>Multiple Platforms</w:t>
            </w:r>
          </w:p>
        </w:tc>
        <w:tc>
          <w:tcPr>
            <w:tcW w:w="300" w:type="dxa"/>
            <w:vAlign w:val="bottom"/>
          </w:tcPr>
          <w:p>
            <w:pPr>
              <w:spacing w:after="0"/>
              <w:rPr>
                <w:sz w:val="22"/>
                <w:szCs w:val="22"/>
                <w:color w:val="auto"/>
              </w:rPr>
            </w:pPr>
          </w:p>
        </w:tc>
        <w:tc>
          <w:tcPr>
            <w:tcW w:w="2540" w:type="dxa"/>
            <w:vAlign w:val="bottom"/>
          </w:tcPr>
          <w:p>
            <w:pPr>
              <w:ind w:left="80"/>
              <w:spacing w:after="0"/>
              <w:rPr>
                <w:sz w:val="20"/>
                <w:szCs w:val="20"/>
                <w:color w:val="auto"/>
              </w:rPr>
            </w:pPr>
            <w:r>
              <w:rPr>
                <w:rFonts w:ascii="Arial" w:cs="Arial" w:eastAsia="Arial" w:hAnsi="Arial"/>
                <w:sz w:val="18"/>
                <w:szCs w:val="18"/>
                <w:color w:val="auto"/>
              </w:rPr>
              <w:t>advantageous</w:t>
            </w:r>
          </w:p>
        </w:tc>
        <w:tc>
          <w:tcPr>
            <w:tcW w:w="2660" w:type="dxa"/>
            <w:vAlign w:val="bottom"/>
          </w:tcPr>
          <w:p>
            <w:pPr>
              <w:spacing w:after="0"/>
              <w:rPr>
                <w:sz w:val="22"/>
                <w:szCs w:val="22"/>
                <w:color w:val="auto"/>
              </w:rPr>
            </w:pPr>
          </w:p>
        </w:tc>
        <w:tc>
          <w:tcPr>
            <w:tcW w:w="3820" w:type="dxa"/>
            <w:vAlign w:val="bottom"/>
          </w:tcPr>
          <w:p>
            <w:pPr>
              <w:spacing w:after="0"/>
              <w:rPr>
                <w:sz w:val="22"/>
                <w:szCs w:val="22"/>
                <w:color w:val="auto"/>
              </w:rPr>
            </w:pPr>
          </w:p>
        </w:tc>
      </w:tr>
      <w:tr>
        <w:trPr>
          <w:trHeight w:val="250"/>
        </w:trPr>
        <w:tc>
          <w:tcPr>
            <w:tcW w:w="1920" w:type="dxa"/>
            <w:vAlign w:val="bottom"/>
          </w:tcPr>
          <w:p>
            <w:pPr>
              <w:spacing w:after="0"/>
              <w:rPr>
                <w:sz w:val="21"/>
                <w:szCs w:val="21"/>
                <w:color w:val="auto"/>
              </w:rPr>
            </w:pPr>
          </w:p>
        </w:tc>
        <w:tc>
          <w:tcPr>
            <w:tcW w:w="9320" w:type="dxa"/>
            <w:vAlign w:val="bottom"/>
            <w:gridSpan w:val="4"/>
          </w:tcPr>
          <w:p>
            <w:pPr>
              <w:ind w:left="12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Invest in redeveloping existing assets (e.g. One Madison and 410 Tenth Avenue) and developing projects from the</w:t>
            </w:r>
          </w:p>
        </w:tc>
      </w:tr>
      <w:tr>
        <w:trPr>
          <w:trHeight w:val="216"/>
        </w:trPr>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0" w:type="dxa"/>
            <w:vAlign w:val="bottom"/>
            <w:gridSpan w:val="2"/>
          </w:tcPr>
          <w:p>
            <w:pPr>
              <w:ind w:left="80"/>
              <w:spacing w:after="0"/>
              <w:rPr>
                <w:sz w:val="20"/>
                <w:szCs w:val="20"/>
                <w:color w:val="auto"/>
              </w:rPr>
            </w:pPr>
            <w:r>
              <w:rPr>
                <w:rFonts w:ascii="Arial" w:cs="Arial" w:eastAsia="Arial" w:hAnsi="Arial"/>
                <w:sz w:val="18"/>
                <w:szCs w:val="18"/>
                <w:color w:val="auto"/>
              </w:rPr>
              <w:t>ground up (e.g. One Vanderbilt and 185 Broadway)</w:t>
            </w:r>
          </w:p>
        </w:tc>
        <w:tc>
          <w:tcPr>
            <w:tcW w:w="3820" w:type="dxa"/>
            <w:vAlign w:val="bottom"/>
          </w:tcPr>
          <w:p>
            <w:pPr>
              <w:spacing w:after="0"/>
              <w:rPr>
                <w:sz w:val="18"/>
                <w:szCs w:val="18"/>
                <w:color w:val="auto"/>
              </w:rPr>
            </w:pPr>
          </w:p>
        </w:tc>
      </w:tr>
      <w:tr>
        <w:trPr>
          <w:trHeight w:val="283"/>
        </w:trPr>
        <w:tc>
          <w:tcPr>
            <w:tcW w:w="1920" w:type="dxa"/>
            <w:vAlign w:val="bottom"/>
          </w:tcPr>
          <w:p>
            <w:pPr>
              <w:spacing w:after="0"/>
              <w:rPr>
                <w:sz w:val="24"/>
                <w:szCs w:val="24"/>
                <w:color w:val="auto"/>
              </w:rPr>
            </w:pPr>
          </w:p>
        </w:tc>
        <w:tc>
          <w:tcPr>
            <w:tcW w:w="9320" w:type="dxa"/>
            <w:vAlign w:val="bottom"/>
            <w:gridSpan w:val="4"/>
          </w:tcPr>
          <w:p>
            <w:pPr>
              <w:ind w:left="12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Provide financing for other real estate related entities through our debt and preferred equity platform – a unique</w:t>
            </w:r>
          </w:p>
        </w:tc>
      </w:tr>
      <w:tr>
        <w:trPr>
          <w:trHeight w:val="208"/>
        </w:trPr>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20" w:type="dxa"/>
            <w:vAlign w:val="bottom"/>
            <w:gridSpan w:val="3"/>
          </w:tcPr>
          <w:p>
            <w:pPr>
              <w:ind w:left="80"/>
              <w:spacing w:after="0"/>
              <w:rPr>
                <w:sz w:val="20"/>
                <w:szCs w:val="20"/>
                <w:color w:val="auto"/>
              </w:rPr>
            </w:pPr>
            <w:r>
              <w:rPr>
                <w:rFonts w:ascii="Arial" w:cs="Arial" w:eastAsia="Arial" w:hAnsi="Arial"/>
                <w:sz w:val="18"/>
                <w:szCs w:val="18"/>
                <w:color w:val="auto"/>
                <w:w w:val="99"/>
              </w:rPr>
              <w:t>business that we operate at a scale unmatched by our peers and that provides us a diversified source of revenue</w:t>
            </w:r>
          </w:p>
        </w:tc>
      </w:tr>
      <w:tr>
        <w:trPr>
          <w:trHeight w:val="220"/>
        </w:trPr>
        <w:tc>
          <w:tcPr>
            <w:tcW w:w="1920" w:type="dxa"/>
            <w:vAlign w:val="bottom"/>
            <w:tcBorders>
              <w:bottom w:val="single" w:sz="8" w:color="8797B7"/>
            </w:tcBorders>
          </w:tcPr>
          <w:p>
            <w:pPr>
              <w:spacing w:after="0"/>
              <w:rPr>
                <w:sz w:val="19"/>
                <w:szCs w:val="19"/>
                <w:color w:val="auto"/>
              </w:rPr>
            </w:pPr>
          </w:p>
        </w:tc>
        <w:tc>
          <w:tcPr>
            <w:tcW w:w="300" w:type="dxa"/>
            <w:vAlign w:val="bottom"/>
            <w:tcBorders>
              <w:bottom w:val="single" w:sz="8" w:color="8797B7"/>
            </w:tcBorders>
          </w:tcPr>
          <w:p>
            <w:pPr>
              <w:spacing w:after="0"/>
              <w:rPr>
                <w:sz w:val="19"/>
                <w:szCs w:val="19"/>
                <w:color w:val="auto"/>
              </w:rPr>
            </w:pPr>
          </w:p>
        </w:tc>
        <w:tc>
          <w:tcPr>
            <w:tcW w:w="2540" w:type="dxa"/>
            <w:vAlign w:val="bottom"/>
            <w:tcBorders>
              <w:bottom w:val="single" w:sz="8" w:color="8797B7"/>
            </w:tcBorders>
          </w:tcPr>
          <w:p>
            <w:pPr>
              <w:ind w:left="80"/>
              <w:spacing w:after="0"/>
              <w:rPr>
                <w:sz w:val="20"/>
                <w:szCs w:val="20"/>
                <w:color w:val="auto"/>
              </w:rPr>
            </w:pPr>
            <w:r>
              <w:rPr>
                <w:rFonts w:ascii="Arial" w:cs="Arial" w:eastAsia="Arial" w:hAnsi="Arial"/>
                <w:sz w:val="18"/>
                <w:szCs w:val="18"/>
                <w:color w:val="auto"/>
              </w:rPr>
              <w:t>and market intelligence</w:t>
            </w:r>
          </w:p>
        </w:tc>
        <w:tc>
          <w:tcPr>
            <w:tcW w:w="2660" w:type="dxa"/>
            <w:vAlign w:val="bottom"/>
            <w:tcBorders>
              <w:bottom w:val="single" w:sz="8" w:color="8797B7"/>
            </w:tcBorders>
          </w:tcPr>
          <w:p>
            <w:pPr>
              <w:spacing w:after="0"/>
              <w:rPr>
                <w:sz w:val="19"/>
                <w:szCs w:val="19"/>
                <w:color w:val="auto"/>
              </w:rPr>
            </w:pPr>
          </w:p>
        </w:tc>
        <w:tc>
          <w:tcPr>
            <w:tcW w:w="3820" w:type="dxa"/>
            <w:vAlign w:val="bottom"/>
            <w:tcBorders>
              <w:bottom w:val="single" w:sz="8" w:color="8797B7"/>
            </w:tcBorders>
          </w:tcPr>
          <w:p>
            <w:pPr>
              <w:spacing w:after="0"/>
              <w:rPr>
                <w:sz w:val="19"/>
                <w:szCs w:val="19"/>
                <w:color w:val="auto"/>
              </w:rPr>
            </w:pPr>
          </w:p>
        </w:tc>
      </w:tr>
      <w:tr>
        <w:trPr>
          <w:trHeight w:val="215"/>
        </w:trPr>
        <w:tc>
          <w:tcPr>
            <w:tcW w:w="1920" w:type="dxa"/>
            <w:vAlign w:val="bottom"/>
          </w:tcPr>
          <w:p>
            <w:pPr>
              <w:ind w:left="80"/>
              <w:spacing w:after="0" w:line="215" w:lineRule="exact"/>
              <w:rPr>
                <w:sz w:val="20"/>
                <w:szCs w:val="20"/>
                <w:color w:val="auto"/>
              </w:rPr>
            </w:pPr>
            <w:r>
              <w:rPr>
                <w:rFonts w:ascii="Arial" w:cs="Arial" w:eastAsia="Arial" w:hAnsi="Arial"/>
                <w:sz w:val="20"/>
                <w:szCs w:val="20"/>
                <w:b w:val="1"/>
                <w:bCs w:val="1"/>
                <w:color w:val="355889"/>
              </w:rPr>
              <w:t>NYC-Focused</w:t>
            </w:r>
          </w:p>
        </w:tc>
        <w:tc>
          <w:tcPr>
            <w:tcW w:w="300" w:type="dxa"/>
            <w:vAlign w:val="bottom"/>
          </w:tcPr>
          <w:p>
            <w:pPr>
              <w:ind w:left="120"/>
              <w:spacing w:after="0"/>
              <w:rPr>
                <w:sz w:val="20"/>
                <w:szCs w:val="20"/>
                <w:color w:val="auto"/>
              </w:rPr>
            </w:pPr>
            <w:r>
              <w:rPr>
                <w:rFonts w:ascii="Arial" w:cs="Arial" w:eastAsia="Arial" w:hAnsi="Arial"/>
                <w:sz w:val="17"/>
                <w:szCs w:val="17"/>
                <w:color w:val="355889"/>
              </w:rPr>
              <w:t>●</w:t>
            </w:r>
          </w:p>
        </w:tc>
        <w:tc>
          <w:tcPr>
            <w:tcW w:w="9020" w:type="dxa"/>
            <w:vAlign w:val="bottom"/>
            <w:gridSpan w:val="3"/>
          </w:tcPr>
          <w:p>
            <w:pPr>
              <w:ind w:left="60"/>
              <w:spacing w:after="0"/>
              <w:rPr>
                <w:sz w:val="20"/>
                <w:szCs w:val="20"/>
                <w:color w:val="auto"/>
              </w:rPr>
            </w:pPr>
            <w:r>
              <w:rPr>
                <w:rFonts w:ascii="Arial" w:cs="Arial" w:eastAsia="Arial" w:hAnsi="Arial"/>
                <w:sz w:val="18"/>
                <w:szCs w:val="18"/>
                <w:color w:val="auto"/>
              </w:rPr>
              <w:t>Singularly focused on New York City real estate – one of the most liquid and resilient markets through business</w:t>
            </w:r>
          </w:p>
        </w:tc>
      </w:tr>
      <w:tr>
        <w:trPr>
          <w:trHeight w:val="261"/>
        </w:trPr>
        <w:tc>
          <w:tcPr>
            <w:tcW w:w="1920" w:type="dxa"/>
            <w:vAlign w:val="bottom"/>
          </w:tcPr>
          <w:p>
            <w:pPr>
              <w:ind w:left="80"/>
              <w:spacing w:after="0"/>
              <w:rPr>
                <w:sz w:val="20"/>
                <w:szCs w:val="20"/>
                <w:color w:val="auto"/>
              </w:rPr>
            </w:pPr>
            <w:r>
              <w:rPr>
                <w:rFonts w:ascii="Arial" w:cs="Arial" w:eastAsia="Arial" w:hAnsi="Arial"/>
                <w:sz w:val="20"/>
                <w:szCs w:val="20"/>
                <w:b w:val="1"/>
                <w:bCs w:val="1"/>
                <w:color w:val="355889"/>
              </w:rPr>
              <w:t>Business Model</w:t>
            </w:r>
          </w:p>
        </w:tc>
        <w:tc>
          <w:tcPr>
            <w:tcW w:w="300" w:type="dxa"/>
            <w:vAlign w:val="bottom"/>
          </w:tcPr>
          <w:p>
            <w:pPr>
              <w:spacing w:after="0"/>
              <w:rPr>
                <w:sz w:val="22"/>
                <w:szCs w:val="22"/>
                <w:color w:val="auto"/>
              </w:rPr>
            </w:pPr>
          </w:p>
        </w:tc>
        <w:tc>
          <w:tcPr>
            <w:tcW w:w="5200" w:type="dxa"/>
            <w:vAlign w:val="bottom"/>
            <w:gridSpan w:val="2"/>
          </w:tcPr>
          <w:p>
            <w:pPr>
              <w:ind w:left="80"/>
              <w:spacing w:after="0"/>
              <w:rPr>
                <w:sz w:val="20"/>
                <w:szCs w:val="20"/>
                <w:color w:val="auto"/>
              </w:rPr>
            </w:pPr>
            <w:r>
              <w:rPr>
                <w:rFonts w:ascii="Arial" w:cs="Arial" w:eastAsia="Arial" w:hAnsi="Arial"/>
                <w:sz w:val="18"/>
                <w:szCs w:val="18"/>
                <w:color w:val="auto"/>
              </w:rPr>
              <w:t>cycles, and also one of the most complex and competitive</w:t>
            </w:r>
          </w:p>
        </w:tc>
        <w:tc>
          <w:tcPr>
            <w:tcW w:w="3820" w:type="dxa"/>
            <w:vAlign w:val="bottom"/>
          </w:tcPr>
          <w:p>
            <w:pPr>
              <w:spacing w:after="0"/>
              <w:rPr>
                <w:sz w:val="22"/>
                <w:szCs w:val="22"/>
                <w:color w:val="auto"/>
              </w:rPr>
            </w:pPr>
          </w:p>
        </w:tc>
      </w:tr>
      <w:tr>
        <w:trPr>
          <w:trHeight w:val="250"/>
        </w:trPr>
        <w:tc>
          <w:tcPr>
            <w:tcW w:w="1920" w:type="dxa"/>
            <w:vAlign w:val="bottom"/>
          </w:tcPr>
          <w:p>
            <w:pPr>
              <w:spacing w:after="0"/>
              <w:rPr>
                <w:sz w:val="21"/>
                <w:szCs w:val="21"/>
                <w:color w:val="auto"/>
              </w:rPr>
            </w:pPr>
          </w:p>
        </w:tc>
        <w:tc>
          <w:tcPr>
            <w:tcW w:w="9320" w:type="dxa"/>
            <w:vAlign w:val="bottom"/>
            <w:gridSpan w:val="4"/>
          </w:tcPr>
          <w:p>
            <w:pPr>
              <w:ind w:left="12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Presence and operations in this complex and highly competitive market necessitate a top level of talent in our</w:t>
            </w:r>
          </w:p>
        </w:tc>
      </w:tr>
      <w:tr>
        <w:trPr>
          <w:trHeight w:val="216"/>
        </w:trPr>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tcPr>
          <w:p>
            <w:pPr>
              <w:ind w:left="80"/>
              <w:spacing w:after="0"/>
              <w:rPr>
                <w:sz w:val="20"/>
                <w:szCs w:val="20"/>
                <w:color w:val="auto"/>
              </w:rPr>
            </w:pPr>
            <w:r>
              <w:rPr>
                <w:rFonts w:ascii="Arial" w:cs="Arial" w:eastAsia="Arial" w:hAnsi="Arial"/>
                <w:sz w:val="18"/>
                <w:szCs w:val="18"/>
                <w:color w:val="auto"/>
              </w:rPr>
              <w:t>executive ranks</w:t>
            </w:r>
          </w:p>
        </w:tc>
        <w:tc>
          <w:tcPr>
            <w:tcW w:w="266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84"/>
        </w:trPr>
        <w:tc>
          <w:tcPr>
            <w:tcW w:w="1920" w:type="dxa"/>
            <w:vAlign w:val="bottom"/>
          </w:tcPr>
          <w:p>
            <w:pPr>
              <w:spacing w:after="0"/>
              <w:rPr>
                <w:sz w:val="24"/>
                <w:szCs w:val="24"/>
                <w:color w:val="auto"/>
              </w:rPr>
            </w:pPr>
          </w:p>
        </w:tc>
        <w:tc>
          <w:tcPr>
            <w:tcW w:w="9320" w:type="dxa"/>
            <w:vAlign w:val="bottom"/>
            <w:gridSpan w:val="4"/>
          </w:tcPr>
          <w:p>
            <w:pPr>
              <w:ind w:left="12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Our leadership team actively manages our company, allowing us to be very efficient, with an employee base much</w:t>
            </w:r>
          </w:p>
        </w:tc>
      </w:tr>
      <w:tr>
        <w:trPr>
          <w:trHeight w:val="225"/>
        </w:trPr>
        <w:tc>
          <w:tcPr>
            <w:tcW w:w="1920" w:type="dxa"/>
            <w:vAlign w:val="bottom"/>
            <w:tcBorders>
              <w:bottom w:val="single" w:sz="8" w:color="8797B7"/>
            </w:tcBorders>
          </w:tcPr>
          <w:p>
            <w:pPr>
              <w:spacing w:after="0"/>
              <w:rPr>
                <w:sz w:val="19"/>
                <w:szCs w:val="19"/>
                <w:color w:val="auto"/>
              </w:rPr>
            </w:pPr>
          </w:p>
        </w:tc>
        <w:tc>
          <w:tcPr>
            <w:tcW w:w="300" w:type="dxa"/>
            <w:vAlign w:val="bottom"/>
            <w:tcBorders>
              <w:bottom w:val="single" w:sz="8" w:color="8797B7"/>
            </w:tcBorders>
          </w:tcPr>
          <w:p>
            <w:pPr>
              <w:spacing w:after="0"/>
              <w:rPr>
                <w:sz w:val="19"/>
                <w:szCs w:val="19"/>
                <w:color w:val="auto"/>
              </w:rPr>
            </w:pPr>
          </w:p>
        </w:tc>
        <w:tc>
          <w:tcPr>
            <w:tcW w:w="9020" w:type="dxa"/>
            <w:vAlign w:val="bottom"/>
            <w:tcBorders>
              <w:bottom w:val="single" w:sz="8" w:color="8797B7"/>
            </w:tcBorders>
            <w:gridSpan w:val="3"/>
          </w:tcPr>
          <w:p>
            <w:pPr>
              <w:ind w:left="80"/>
              <w:spacing w:after="0"/>
              <w:rPr>
                <w:sz w:val="20"/>
                <w:szCs w:val="20"/>
                <w:color w:val="auto"/>
              </w:rPr>
            </w:pPr>
            <w:r>
              <w:rPr>
                <w:rFonts w:ascii="Arial" w:cs="Arial" w:eastAsia="Arial" w:hAnsi="Arial"/>
                <w:sz w:val="18"/>
                <w:szCs w:val="18"/>
                <w:color w:val="auto"/>
              </w:rPr>
              <w:t>smaller than other fully-integrated “gateway city” real estate companies that transact far less business than SLG</w:t>
            </w:r>
          </w:p>
        </w:tc>
      </w:tr>
      <w:tr>
        <w:trPr>
          <w:trHeight w:val="215"/>
        </w:trPr>
        <w:tc>
          <w:tcPr>
            <w:tcW w:w="1920" w:type="dxa"/>
            <w:vAlign w:val="bottom"/>
          </w:tcPr>
          <w:p>
            <w:pPr>
              <w:ind w:left="80"/>
              <w:spacing w:after="0" w:line="215" w:lineRule="exact"/>
              <w:rPr>
                <w:sz w:val="20"/>
                <w:szCs w:val="20"/>
                <w:color w:val="auto"/>
              </w:rPr>
            </w:pPr>
            <w:r>
              <w:rPr>
                <w:rFonts w:ascii="Arial" w:cs="Arial" w:eastAsia="Arial" w:hAnsi="Arial"/>
                <w:sz w:val="20"/>
                <w:szCs w:val="20"/>
                <w:b w:val="1"/>
                <w:bCs w:val="1"/>
                <w:color w:val="355889"/>
              </w:rPr>
              <w:t>Shareholder Value</w:t>
            </w:r>
          </w:p>
        </w:tc>
        <w:tc>
          <w:tcPr>
            <w:tcW w:w="300" w:type="dxa"/>
            <w:vAlign w:val="bottom"/>
          </w:tcPr>
          <w:p>
            <w:pPr>
              <w:ind w:left="120"/>
              <w:spacing w:after="0"/>
              <w:rPr>
                <w:sz w:val="20"/>
                <w:szCs w:val="20"/>
                <w:color w:val="auto"/>
              </w:rPr>
            </w:pPr>
            <w:r>
              <w:rPr>
                <w:rFonts w:ascii="Arial" w:cs="Arial" w:eastAsia="Arial" w:hAnsi="Arial"/>
                <w:sz w:val="17"/>
                <w:szCs w:val="17"/>
                <w:color w:val="355889"/>
              </w:rPr>
              <w:t>●</w:t>
            </w:r>
          </w:p>
        </w:tc>
        <w:tc>
          <w:tcPr>
            <w:tcW w:w="9020" w:type="dxa"/>
            <w:vAlign w:val="bottom"/>
            <w:gridSpan w:val="3"/>
          </w:tcPr>
          <w:p>
            <w:pPr>
              <w:ind w:left="60"/>
              <w:spacing w:after="0"/>
              <w:rPr>
                <w:sz w:val="20"/>
                <w:szCs w:val="20"/>
                <w:color w:val="auto"/>
              </w:rPr>
            </w:pPr>
            <w:r>
              <w:rPr>
                <w:rFonts w:ascii="Arial" w:cs="Arial" w:eastAsia="Arial" w:hAnsi="Arial"/>
                <w:sz w:val="18"/>
                <w:szCs w:val="18"/>
                <w:color w:val="auto"/>
              </w:rPr>
              <w:t>SLG’s platform has enormous market share and establishes the company as a leader in the NYC market</w:t>
            </w:r>
          </w:p>
        </w:tc>
      </w:tr>
      <w:tr>
        <w:trPr>
          <w:trHeight w:val="309"/>
        </w:trPr>
        <w:tc>
          <w:tcPr>
            <w:tcW w:w="1920" w:type="dxa"/>
            <w:vAlign w:val="bottom"/>
          </w:tcPr>
          <w:p>
            <w:pPr>
              <w:ind w:left="80"/>
              <w:spacing w:after="0"/>
              <w:rPr>
                <w:sz w:val="20"/>
                <w:szCs w:val="20"/>
                <w:color w:val="auto"/>
              </w:rPr>
            </w:pPr>
            <w:r>
              <w:rPr>
                <w:rFonts w:ascii="Arial" w:cs="Arial" w:eastAsia="Arial" w:hAnsi="Arial"/>
                <w:sz w:val="20"/>
                <w:szCs w:val="20"/>
                <w:b w:val="1"/>
                <w:bCs w:val="1"/>
                <w:color w:val="355889"/>
              </w:rPr>
              <w:t>Creation</w:t>
            </w:r>
          </w:p>
        </w:tc>
        <w:tc>
          <w:tcPr>
            <w:tcW w:w="300" w:type="dxa"/>
            <w:vAlign w:val="bottom"/>
          </w:tcPr>
          <w:p>
            <w:pPr>
              <w:ind w:left="120"/>
              <w:spacing w:after="0"/>
              <w:rPr>
                <w:sz w:val="20"/>
                <w:szCs w:val="20"/>
                <w:color w:val="auto"/>
              </w:rPr>
            </w:pPr>
            <w:r>
              <w:rPr>
                <w:rFonts w:ascii="Arial" w:cs="Arial" w:eastAsia="Arial" w:hAnsi="Arial"/>
                <w:sz w:val="17"/>
                <w:szCs w:val="17"/>
                <w:color w:val="355889"/>
              </w:rPr>
              <w:t>●</w:t>
            </w:r>
          </w:p>
        </w:tc>
        <w:tc>
          <w:tcPr>
            <w:tcW w:w="9020" w:type="dxa"/>
            <w:vAlign w:val="bottom"/>
            <w:gridSpan w:val="3"/>
          </w:tcPr>
          <w:p>
            <w:pPr>
              <w:ind w:left="60"/>
              <w:spacing w:after="0"/>
              <w:rPr>
                <w:sz w:val="20"/>
                <w:szCs w:val="20"/>
                <w:color w:val="auto"/>
              </w:rPr>
            </w:pPr>
            <w:r>
              <w:rPr>
                <w:rFonts w:ascii="Arial" w:cs="Arial" w:eastAsia="Arial" w:hAnsi="Arial"/>
                <w:sz w:val="18"/>
                <w:szCs w:val="18"/>
                <w:color w:val="auto"/>
              </w:rPr>
              <w:t>The Company’s development activities provide the seeds for significant future growth and value creation</w:t>
            </w:r>
          </w:p>
        </w:tc>
      </w:tr>
      <w:tr>
        <w:trPr>
          <w:trHeight w:val="297"/>
        </w:trPr>
        <w:tc>
          <w:tcPr>
            <w:tcW w:w="1920" w:type="dxa"/>
            <w:vAlign w:val="bottom"/>
          </w:tcPr>
          <w:p>
            <w:pPr>
              <w:spacing w:after="0"/>
              <w:rPr>
                <w:sz w:val="24"/>
                <w:szCs w:val="24"/>
                <w:color w:val="auto"/>
              </w:rPr>
            </w:pPr>
          </w:p>
        </w:tc>
        <w:tc>
          <w:tcPr>
            <w:tcW w:w="2840" w:type="dxa"/>
            <w:vAlign w:val="bottom"/>
            <w:gridSpan w:val="2"/>
          </w:tcPr>
          <w:p>
            <w:pPr>
              <w:ind w:left="12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Value-driven share repurchases</w:t>
            </w:r>
          </w:p>
        </w:tc>
        <w:tc>
          <w:tcPr>
            <w:tcW w:w="26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84"/>
        </w:trPr>
        <w:tc>
          <w:tcPr>
            <w:tcW w:w="1920" w:type="dxa"/>
            <w:vAlign w:val="bottom"/>
          </w:tcPr>
          <w:p>
            <w:pPr>
              <w:spacing w:after="0"/>
              <w:rPr>
                <w:sz w:val="24"/>
                <w:szCs w:val="24"/>
                <w:color w:val="auto"/>
              </w:rPr>
            </w:pPr>
          </w:p>
        </w:tc>
        <w:tc>
          <w:tcPr>
            <w:tcW w:w="2840" w:type="dxa"/>
            <w:vAlign w:val="bottom"/>
            <w:gridSpan w:val="2"/>
          </w:tcPr>
          <w:p>
            <w:pPr>
              <w:ind w:left="12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2019 TSR of 20.9%</w:t>
            </w:r>
          </w:p>
        </w:tc>
        <w:tc>
          <w:tcPr>
            <w:tcW w:w="26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6"/>
        </w:trPr>
        <w:tc>
          <w:tcPr>
            <w:tcW w:w="4760" w:type="dxa"/>
            <w:vAlign w:val="bottom"/>
            <w:tcBorders>
              <w:bottom w:val="single" w:sz="8" w:color="355889"/>
            </w:tcBorders>
            <w:gridSpan w:val="3"/>
          </w:tcPr>
          <w:p>
            <w:pPr>
              <w:spacing w:after="0"/>
              <w:rPr>
                <w:sz w:val="3"/>
                <w:szCs w:val="3"/>
                <w:color w:val="auto"/>
              </w:rPr>
            </w:pPr>
          </w:p>
        </w:tc>
        <w:tc>
          <w:tcPr>
            <w:tcW w:w="2660" w:type="dxa"/>
            <w:vAlign w:val="bottom"/>
            <w:tcBorders>
              <w:bottom w:val="single" w:sz="8" w:color="355889"/>
            </w:tcBorders>
          </w:tcPr>
          <w:p>
            <w:pPr>
              <w:spacing w:after="0"/>
              <w:rPr>
                <w:sz w:val="3"/>
                <w:szCs w:val="3"/>
                <w:color w:val="auto"/>
              </w:rPr>
            </w:pPr>
          </w:p>
        </w:tc>
        <w:tc>
          <w:tcPr>
            <w:tcW w:w="3820" w:type="dxa"/>
            <w:vAlign w:val="bottom"/>
            <w:tcBorders>
              <w:bottom w:val="single" w:sz="8" w:color="355889"/>
            </w:tcBorders>
          </w:tcPr>
          <w:p>
            <w:pPr>
              <w:spacing w:after="0"/>
              <w:rPr>
                <w:sz w:val="3"/>
                <w:szCs w:val="3"/>
                <w:color w:val="auto"/>
              </w:rPr>
            </w:pPr>
          </w:p>
        </w:tc>
      </w:tr>
      <w:tr>
        <w:trPr>
          <w:trHeight w:val="636"/>
        </w:trPr>
        <w:tc>
          <w:tcPr>
            <w:tcW w:w="4760" w:type="dxa"/>
            <w:vAlign w:val="bottom"/>
            <w:gridSpan w:val="3"/>
          </w:tcPr>
          <w:p>
            <w:pPr>
              <w:spacing w:after="0"/>
              <w:rPr>
                <w:sz w:val="20"/>
                <w:szCs w:val="20"/>
                <w:color w:val="auto"/>
              </w:rPr>
            </w:pPr>
            <w:r>
              <w:rPr>
                <w:rFonts w:ascii="Arial" w:cs="Arial" w:eastAsia="Arial" w:hAnsi="Arial"/>
                <w:sz w:val="20"/>
                <w:szCs w:val="20"/>
                <w:b w:val="1"/>
                <w:bCs w:val="1"/>
                <w:color w:val="355889"/>
              </w:rPr>
              <w:t>Total Share Repurchases</w:t>
            </w:r>
            <w:r>
              <w:rPr>
                <w:rFonts w:ascii="Arial" w:cs="Arial" w:eastAsia="Arial" w:hAnsi="Arial"/>
                <w:sz w:val="32"/>
                <w:szCs w:val="32"/>
                <w:b w:val="1"/>
                <w:bCs w:val="1"/>
                <w:color w:val="355889"/>
                <w:vertAlign w:val="superscript"/>
              </w:rPr>
              <w:t>3</w:t>
            </w:r>
          </w:p>
        </w:tc>
        <w:tc>
          <w:tcPr>
            <w:tcW w:w="26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73"/>
        </w:trPr>
        <w:tc>
          <w:tcPr>
            <w:tcW w:w="4760" w:type="dxa"/>
            <w:vAlign w:val="bottom"/>
            <w:tcBorders>
              <w:bottom w:val="single" w:sz="8" w:color="355889"/>
            </w:tcBorders>
            <w:gridSpan w:val="3"/>
          </w:tcPr>
          <w:p>
            <w:pPr>
              <w:spacing w:after="0"/>
              <w:rPr>
                <w:sz w:val="6"/>
                <w:szCs w:val="6"/>
                <w:color w:val="auto"/>
              </w:rPr>
            </w:pPr>
          </w:p>
        </w:tc>
        <w:tc>
          <w:tcPr>
            <w:tcW w:w="2660" w:type="dxa"/>
            <w:vAlign w:val="bottom"/>
            <w:tcBorders>
              <w:bottom w:val="single" w:sz="8" w:color="355889"/>
            </w:tcBorders>
          </w:tcPr>
          <w:p>
            <w:pPr>
              <w:spacing w:after="0"/>
              <w:rPr>
                <w:sz w:val="6"/>
                <w:szCs w:val="6"/>
                <w:color w:val="auto"/>
              </w:rPr>
            </w:pPr>
          </w:p>
        </w:tc>
        <w:tc>
          <w:tcPr>
            <w:tcW w:w="3820" w:type="dxa"/>
            <w:vAlign w:val="bottom"/>
            <w:tcBorders>
              <w:bottom w:val="single" w:sz="8" w:color="355889"/>
            </w:tcBorders>
          </w:tcPr>
          <w:p>
            <w:pPr>
              <w:spacing w:after="0"/>
              <w:rPr>
                <w:sz w:val="6"/>
                <w:szCs w:val="6"/>
                <w:color w:val="auto"/>
              </w:rPr>
            </w:pPr>
          </w:p>
        </w:tc>
      </w:tr>
      <w:tr>
        <w:trPr>
          <w:trHeight w:val="322"/>
        </w:trPr>
        <w:tc>
          <w:tcPr>
            <w:tcW w:w="4760" w:type="dxa"/>
            <w:vAlign w:val="bottom"/>
            <w:tcBorders>
              <w:left w:val="single" w:sz="8" w:color="355889"/>
            </w:tcBorders>
            <w:gridSpan w:val="3"/>
          </w:tcPr>
          <w:p>
            <w:pPr>
              <w:ind w:left="140"/>
              <w:spacing w:after="0"/>
              <w:rPr>
                <w:sz w:val="20"/>
                <w:szCs w:val="20"/>
                <w:color w:val="auto"/>
              </w:rPr>
            </w:pPr>
            <w:r>
              <w:rPr>
                <w:rFonts w:ascii="Arial" w:cs="Arial" w:eastAsia="Arial" w:hAnsi="Arial"/>
                <w:sz w:val="18"/>
                <w:szCs w:val="18"/>
                <w:color w:val="auto"/>
              </w:rPr>
              <w:t>Aggregate of $2.5B share repurchases representing:</w:t>
            </w:r>
          </w:p>
        </w:tc>
        <w:tc>
          <w:tcPr>
            <w:tcW w:w="2660" w:type="dxa"/>
            <w:vAlign w:val="bottom"/>
          </w:tcPr>
          <w:p>
            <w:pPr>
              <w:spacing w:after="0"/>
              <w:rPr>
                <w:sz w:val="24"/>
                <w:szCs w:val="24"/>
                <w:color w:val="auto"/>
              </w:rPr>
            </w:pPr>
          </w:p>
        </w:tc>
        <w:tc>
          <w:tcPr>
            <w:tcW w:w="3820" w:type="dxa"/>
            <w:vAlign w:val="bottom"/>
            <w:tcBorders>
              <w:right w:val="single" w:sz="8" w:color="355889"/>
            </w:tcBorders>
          </w:tcPr>
          <w:p>
            <w:pPr>
              <w:spacing w:after="0"/>
              <w:rPr>
                <w:sz w:val="24"/>
                <w:szCs w:val="24"/>
                <w:color w:val="auto"/>
              </w:rPr>
            </w:pPr>
          </w:p>
        </w:tc>
      </w:tr>
      <w:tr>
        <w:trPr>
          <w:trHeight w:val="477"/>
        </w:trPr>
        <w:tc>
          <w:tcPr>
            <w:tcW w:w="2220" w:type="dxa"/>
            <w:vAlign w:val="bottom"/>
            <w:tcBorders>
              <w:left w:val="single" w:sz="8" w:color="355889"/>
            </w:tcBorders>
            <w:gridSpan w:val="2"/>
          </w:tcPr>
          <w:p>
            <w:pPr>
              <w:ind w:left="1740"/>
              <w:spacing w:after="0"/>
              <w:rPr>
                <w:sz w:val="20"/>
                <w:szCs w:val="20"/>
                <w:color w:val="auto"/>
              </w:rPr>
            </w:pPr>
            <w:r>
              <w:rPr>
                <w:rFonts w:ascii="Arial" w:cs="Arial" w:eastAsia="Arial" w:hAnsi="Arial"/>
                <w:sz w:val="32"/>
                <w:szCs w:val="32"/>
                <w:color w:val="auto"/>
              </w:rPr>
              <w:t>26</w:t>
            </w:r>
          </w:p>
        </w:tc>
        <w:tc>
          <w:tcPr>
            <w:tcW w:w="2540" w:type="dxa"/>
            <w:vAlign w:val="bottom"/>
          </w:tcPr>
          <w:p>
            <w:pPr>
              <w:spacing w:after="0"/>
              <w:rPr>
                <w:sz w:val="24"/>
                <w:szCs w:val="24"/>
                <w:color w:val="auto"/>
              </w:rPr>
            </w:pPr>
          </w:p>
        </w:tc>
        <w:tc>
          <w:tcPr>
            <w:tcW w:w="2660" w:type="dxa"/>
            <w:vAlign w:val="bottom"/>
          </w:tcPr>
          <w:p>
            <w:pPr>
              <w:jc w:val="right"/>
              <w:ind w:right="1295"/>
              <w:spacing w:after="0"/>
              <w:rPr>
                <w:sz w:val="20"/>
                <w:szCs w:val="20"/>
                <w:color w:val="auto"/>
              </w:rPr>
            </w:pPr>
            <w:r>
              <w:rPr>
                <w:rFonts w:ascii="Arial" w:cs="Arial" w:eastAsia="Arial" w:hAnsi="Arial"/>
                <w:sz w:val="32"/>
                <w:szCs w:val="32"/>
                <w:color w:val="auto"/>
              </w:rPr>
              <w:t>25%</w:t>
            </w:r>
          </w:p>
        </w:tc>
        <w:tc>
          <w:tcPr>
            <w:tcW w:w="3820" w:type="dxa"/>
            <w:vAlign w:val="bottom"/>
            <w:tcBorders>
              <w:right w:val="single" w:sz="8" w:color="355889"/>
            </w:tcBorders>
          </w:tcPr>
          <w:p>
            <w:pPr>
              <w:jc w:val="right"/>
              <w:ind w:right="1455"/>
              <w:spacing w:after="0"/>
              <w:rPr>
                <w:sz w:val="20"/>
                <w:szCs w:val="20"/>
                <w:color w:val="auto"/>
              </w:rPr>
            </w:pPr>
            <w:r>
              <w:rPr>
                <w:rFonts w:ascii="Arial" w:cs="Arial" w:eastAsia="Arial" w:hAnsi="Arial"/>
                <w:sz w:val="32"/>
                <w:szCs w:val="32"/>
                <w:color w:val="auto"/>
              </w:rPr>
              <w:t>$93</w:t>
            </w:r>
          </w:p>
        </w:tc>
      </w:tr>
      <w:tr>
        <w:trPr>
          <w:trHeight w:val="348"/>
        </w:trPr>
        <w:tc>
          <w:tcPr>
            <w:tcW w:w="4760" w:type="dxa"/>
            <w:vAlign w:val="bottom"/>
            <w:tcBorders>
              <w:left w:val="single" w:sz="8" w:color="355889"/>
              <w:bottom w:val="single" w:sz="8" w:color="355889"/>
            </w:tcBorders>
            <w:gridSpan w:val="3"/>
          </w:tcPr>
          <w:p>
            <w:pPr>
              <w:ind w:left="1360"/>
              <w:spacing w:after="0"/>
              <w:rPr>
                <w:sz w:val="20"/>
                <w:szCs w:val="20"/>
                <w:color w:val="auto"/>
              </w:rPr>
            </w:pPr>
            <w:r>
              <w:rPr>
                <w:rFonts w:ascii="Arial" w:cs="Arial" w:eastAsia="Arial" w:hAnsi="Arial"/>
                <w:sz w:val="18"/>
                <w:szCs w:val="18"/>
                <w:color w:val="auto"/>
              </w:rPr>
              <w:t>million shares</w:t>
            </w:r>
            <w:r>
              <w:rPr>
                <w:rFonts w:ascii="Arial" w:cs="Arial" w:eastAsia="Arial" w:hAnsi="Arial"/>
                <w:sz w:val="29"/>
                <w:szCs w:val="29"/>
                <w:color w:val="auto"/>
                <w:vertAlign w:val="superscript"/>
              </w:rPr>
              <w:t>4</w:t>
            </w:r>
          </w:p>
        </w:tc>
        <w:tc>
          <w:tcPr>
            <w:tcW w:w="2660" w:type="dxa"/>
            <w:vAlign w:val="bottom"/>
            <w:tcBorders>
              <w:bottom w:val="single" w:sz="8" w:color="355889"/>
            </w:tcBorders>
          </w:tcPr>
          <w:p>
            <w:pPr>
              <w:jc w:val="center"/>
              <w:ind w:right="675"/>
              <w:spacing w:after="0"/>
              <w:rPr>
                <w:sz w:val="20"/>
                <w:szCs w:val="20"/>
                <w:color w:val="auto"/>
              </w:rPr>
            </w:pPr>
            <w:r>
              <w:rPr>
                <w:rFonts w:ascii="Arial" w:cs="Arial" w:eastAsia="Arial" w:hAnsi="Arial"/>
                <w:sz w:val="18"/>
                <w:szCs w:val="18"/>
                <w:color w:val="auto"/>
                <w:w w:val="95"/>
              </w:rPr>
              <w:t>of Outstanding Shares</w:t>
            </w:r>
            <w:r>
              <w:rPr>
                <w:rFonts w:ascii="Arial" w:cs="Arial" w:eastAsia="Arial" w:hAnsi="Arial"/>
                <w:sz w:val="29"/>
                <w:szCs w:val="29"/>
                <w:color w:val="auto"/>
                <w:w w:val="95"/>
                <w:vertAlign w:val="superscript"/>
              </w:rPr>
              <w:t>5</w:t>
            </w:r>
          </w:p>
        </w:tc>
        <w:tc>
          <w:tcPr>
            <w:tcW w:w="3820" w:type="dxa"/>
            <w:vAlign w:val="bottom"/>
            <w:tcBorders>
              <w:bottom w:val="single" w:sz="8" w:color="355889"/>
              <w:right w:val="single" w:sz="8" w:color="355889"/>
            </w:tcBorders>
          </w:tcPr>
          <w:p>
            <w:pPr>
              <w:jc w:val="center"/>
              <w:spacing w:after="0"/>
              <w:rPr>
                <w:sz w:val="20"/>
                <w:szCs w:val="20"/>
                <w:color w:val="auto"/>
              </w:rPr>
            </w:pPr>
            <w:r>
              <w:rPr>
                <w:rFonts w:ascii="Arial" w:cs="Arial" w:eastAsia="Arial" w:hAnsi="Arial"/>
                <w:sz w:val="18"/>
                <w:szCs w:val="18"/>
                <w:color w:val="auto"/>
                <w:w w:val="97"/>
              </w:rPr>
              <w:t>million in Annual Dividend Savings</w:t>
            </w:r>
          </w:p>
        </w:tc>
      </w:tr>
    </w:tbl>
    <w:p>
      <w:pPr>
        <w:spacing w:after="0" w:line="242"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1"/>
          <w:szCs w:val="11"/>
          <w:color w:val="auto"/>
        </w:rPr>
      </w:pPr>
      <w:r>
        <w:rPr>
          <w:rFonts w:ascii="Arial" w:cs="Arial" w:eastAsia="Arial" w:hAnsi="Arial"/>
          <w:sz w:val="13"/>
          <w:szCs w:val="13"/>
          <w:color w:val="auto"/>
        </w:rPr>
        <w:t>Data as of 12/31/2019</w:t>
      </w:r>
    </w:p>
    <w:p>
      <w:pPr>
        <w:spacing w:after="0" w:line="80"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1"/>
          <w:szCs w:val="11"/>
          <w:color w:val="auto"/>
        </w:rPr>
      </w:pPr>
      <w:r>
        <w:rPr>
          <w:rFonts w:ascii="Arial" w:cs="Arial" w:eastAsia="Arial" w:hAnsi="Arial"/>
          <w:sz w:val="13"/>
          <w:szCs w:val="13"/>
          <w:color w:val="auto"/>
        </w:rPr>
        <w:t>Includes debt and preferred equity investments and suburban properties</w:t>
      </w:r>
    </w:p>
    <w:p>
      <w:pPr>
        <w:spacing w:after="0" w:line="8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color w:val="auto"/>
        </w:rPr>
        <w:t xml:space="preserve">3   </w:t>
      </w:r>
      <w:r>
        <w:rPr>
          <w:rFonts w:ascii="Arial" w:cs="Arial" w:eastAsia="Arial" w:hAnsi="Arial"/>
          <w:sz w:val="13"/>
          <w:szCs w:val="13"/>
          <w:color w:val="auto"/>
        </w:rPr>
        <w:t>As of 3/31/2020</w:t>
      </w:r>
    </w:p>
    <w:p>
      <w:pPr>
        <w:spacing w:after="0" w:line="8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color w:val="auto"/>
        </w:rPr>
        <w:t xml:space="preserve">4   </w:t>
      </w:r>
      <w:r>
        <w:rPr>
          <w:rFonts w:ascii="Arial" w:cs="Arial" w:eastAsia="Arial" w:hAnsi="Arial"/>
          <w:sz w:val="13"/>
          <w:szCs w:val="13"/>
          <w:color w:val="auto"/>
        </w:rPr>
        <w:t>Inclusive of OP unit redemptions</w:t>
      </w:r>
    </w:p>
    <w:p>
      <w:pPr>
        <w:spacing w:after="0" w:line="80" w:lineRule="exact"/>
        <w:rPr>
          <w:sz w:val="20"/>
          <w:szCs w:val="20"/>
          <w:color w:val="auto"/>
        </w:rPr>
      </w:pPr>
    </w:p>
    <w:p>
      <w:pPr>
        <w:ind w:left="220" w:right="20" w:hanging="212"/>
        <w:spacing w:after="0" w:line="258" w:lineRule="auto"/>
        <w:tabs>
          <w:tab w:leader="none" w:pos="220" w:val="left"/>
        </w:tabs>
        <w:numPr>
          <w:ilvl w:val="0"/>
          <w:numId w:val="7"/>
        </w:numPr>
        <w:rPr>
          <w:rFonts w:ascii="Arial" w:cs="Arial" w:eastAsia="Arial" w:hAnsi="Arial"/>
          <w:sz w:val="11"/>
          <w:szCs w:val="11"/>
          <w:color w:val="auto"/>
        </w:rPr>
      </w:pPr>
      <w:r>
        <w:rPr>
          <w:rFonts w:ascii="Arial" w:cs="Arial" w:eastAsia="Arial" w:hAnsi="Arial"/>
          <w:sz w:val="13"/>
          <w:szCs w:val="13"/>
          <w:color w:val="auto"/>
        </w:rPr>
        <w:t>Based on shares repurchased under the current $3.0 billion share repurchase program as a percentage of common shares and OP units outstanding as of 6/30/16, just prior to approval and announcement of the plan</w:t>
      </w:r>
    </w:p>
    <w:p>
      <w:pPr>
        <w:spacing w:after="0" w:line="195"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7980"/>
        <w:spacing w:after="0"/>
        <w:rPr>
          <w:sz w:val="20"/>
          <w:szCs w:val="20"/>
          <w:color w:val="auto"/>
        </w:rPr>
      </w:pPr>
      <w:r>
        <w:rPr>
          <w:rFonts w:ascii="Arial" w:cs="Arial" w:eastAsia="Arial" w:hAnsi="Arial"/>
          <w:sz w:val="16"/>
          <w:szCs w:val="16"/>
          <w:u w:val="single" w:color="auto"/>
          <w:color w:val="355889"/>
        </w:rPr>
        <w:t>2020 PROXY STATEMENT HIGHLIGHTS</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 and Governance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and Governance programs have been transformed largely in response to feedback we received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5618480</wp:posOffset>
            </wp:positionV>
            <wp:extent cx="7132320" cy="445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355889"/>
        </w:rPr>
        <w:t>Our Board has listened to stockholder concerns and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355889"/>
        </w:rPr>
        <w:t>made changes to expressly address feedback</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2020 PROXY STATEMENT HIGHLIGHTS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2019 Compensation Decisions Based on Redesigned Program</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Compensation decisions for 2019 were in line with the redesigned program announced in 2018. As a result, compensation granted for fiscal year 2019 is significantly performance-based, with performance-based equity comprising a majority of total target direct compensation. Under Mr. Holliday’s prior employment agreement, he was entitled to receive additional equity grants in 2019 that were determined to have been earned based on the achievement of three-year cumulative performance goals for the performance period from 2016 through 2018. This award represents the final obligations under Mr. Holliday’s prior contract. As with other equity grants at SL Green, this equity award is also subject to a further two-year no-sell provision.</w:t>
      </w:r>
    </w:p>
    <w:p>
      <w:pPr>
        <w:spacing w:after="0" w:line="210"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Most importantly, from 2020 onwards, executive compensation will only include the following four pay elements: base salary, annual incentive, performance equity and time-based equity (except for Mr. DiLiberto, whose current employment agreement was put in place prior to the redesigned program). See table captioned “Transition Away From Legacy Compensation” on page 36 for more detail.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redesigned compensation program on 2019 executive pay is detailed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ind w:left="80"/>
              <w:spacing w:after="0"/>
              <w:rPr>
                <w:sz w:val="20"/>
                <w:szCs w:val="20"/>
                <w:color w:val="auto"/>
              </w:rPr>
            </w:pPr>
            <w:r>
              <w:rPr>
                <w:rFonts w:ascii="Arial" w:cs="Arial" w:eastAsia="Arial" w:hAnsi="Arial"/>
                <w:sz w:val="13"/>
                <w:szCs w:val="13"/>
                <w:b w:val="1"/>
                <w:bCs w:val="1"/>
                <w:color w:val="355889"/>
              </w:rPr>
              <w:t>Stockholder Feedback</w:t>
            </w:r>
          </w:p>
        </w:tc>
        <w:tc>
          <w:tcPr>
            <w:tcW w:w="2700" w:type="dxa"/>
            <w:vAlign w:val="bottom"/>
            <w:gridSpan w:val="3"/>
          </w:tcPr>
          <w:p>
            <w:pPr>
              <w:ind w:left="140"/>
              <w:spacing w:after="0"/>
              <w:rPr>
                <w:sz w:val="20"/>
                <w:szCs w:val="20"/>
                <w:color w:val="auto"/>
              </w:rPr>
            </w:pPr>
            <w:r>
              <w:rPr>
                <w:rFonts w:ascii="Arial" w:cs="Arial" w:eastAsia="Arial" w:hAnsi="Arial"/>
                <w:sz w:val="13"/>
                <w:szCs w:val="13"/>
                <w:b w:val="1"/>
                <w:bCs w:val="1"/>
                <w:color w:val="355889"/>
              </w:rPr>
              <w:t>Action</w:t>
            </w:r>
          </w:p>
        </w:tc>
        <w:tc>
          <w:tcPr>
            <w:tcW w:w="2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940" w:type="dxa"/>
            <w:vAlign w:val="bottom"/>
            <w:tcBorders>
              <w:bottom w:val="single" w:sz="8" w:color="355989"/>
            </w:tcBorders>
          </w:tcPr>
          <w:p>
            <w:pPr>
              <w:ind w:left="80"/>
              <w:spacing w:after="0"/>
              <w:rPr>
                <w:sz w:val="20"/>
                <w:szCs w:val="20"/>
                <w:color w:val="auto"/>
              </w:rPr>
            </w:pPr>
            <w:r>
              <w:rPr>
                <w:rFonts w:ascii="Arial" w:cs="Arial" w:eastAsia="Arial" w:hAnsi="Arial"/>
                <w:sz w:val="13"/>
                <w:szCs w:val="13"/>
                <w:b w:val="1"/>
                <w:bCs w:val="1"/>
                <w:color w:val="355889"/>
              </w:rPr>
              <w:t>(“What We Heard”)</w:t>
            </w:r>
          </w:p>
        </w:tc>
        <w:tc>
          <w:tcPr>
            <w:tcW w:w="2700" w:type="dxa"/>
            <w:vAlign w:val="bottom"/>
            <w:tcBorders>
              <w:bottom w:val="single" w:sz="8" w:color="355989"/>
            </w:tcBorders>
            <w:gridSpan w:val="3"/>
          </w:tcPr>
          <w:p>
            <w:pPr>
              <w:ind w:left="140"/>
              <w:spacing w:after="0"/>
              <w:rPr>
                <w:sz w:val="20"/>
                <w:szCs w:val="20"/>
                <w:color w:val="auto"/>
              </w:rPr>
            </w:pPr>
            <w:r>
              <w:rPr>
                <w:rFonts w:ascii="Arial" w:cs="Arial" w:eastAsia="Arial" w:hAnsi="Arial"/>
                <w:sz w:val="13"/>
                <w:szCs w:val="13"/>
                <w:b w:val="1"/>
                <w:bCs w:val="1"/>
                <w:color w:val="355889"/>
              </w:rPr>
              <w:t>(“What We Did”)</w:t>
            </w:r>
          </w:p>
        </w:tc>
        <w:tc>
          <w:tcPr>
            <w:tcW w:w="2020" w:type="dxa"/>
            <w:vAlign w:val="bottom"/>
            <w:tcBorders>
              <w:bottom w:val="single" w:sz="8" w:color="355989"/>
            </w:tcBorders>
          </w:tcPr>
          <w:p>
            <w:pPr>
              <w:ind w:left="180"/>
              <w:spacing w:after="0"/>
              <w:rPr>
                <w:sz w:val="20"/>
                <w:szCs w:val="20"/>
                <w:color w:val="auto"/>
              </w:rPr>
            </w:pPr>
            <w:r>
              <w:rPr>
                <w:rFonts w:ascii="Arial" w:cs="Arial" w:eastAsia="Arial" w:hAnsi="Arial"/>
                <w:sz w:val="13"/>
                <w:szCs w:val="13"/>
                <w:b w:val="1"/>
                <w:bCs w:val="1"/>
                <w:color w:val="355889"/>
              </w:rPr>
              <w:t>Executive</w:t>
            </w:r>
          </w:p>
        </w:tc>
        <w:tc>
          <w:tcPr>
            <w:tcW w:w="3580" w:type="dxa"/>
            <w:vAlign w:val="bottom"/>
            <w:tcBorders>
              <w:bottom w:val="single" w:sz="8" w:color="355989"/>
            </w:tcBorders>
            <w:gridSpan w:val="2"/>
          </w:tcPr>
          <w:p>
            <w:pPr>
              <w:ind w:left="420"/>
              <w:spacing w:after="0"/>
              <w:rPr>
                <w:sz w:val="20"/>
                <w:szCs w:val="20"/>
                <w:color w:val="auto"/>
              </w:rPr>
            </w:pPr>
            <w:r>
              <w:rPr>
                <w:rFonts w:ascii="Arial" w:cs="Arial" w:eastAsia="Arial" w:hAnsi="Arial"/>
                <w:sz w:val="13"/>
                <w:szCs w:val="13"/>
                <w:b w:val="1"/>
                <w:bCs w:val="1"/>
                <w:color w:val="355889"/>
              </w:rPr>
              <w:t>2019 Results</w:t>
            </w:r>
          </w:p>
        </w:tc>
        <w:tc>
          <w:tcPr>
            <w:tcW w:w="0" w:type="dxa"/>
            <w:vAlign w:val="bottom"/>
          </w:tcPr>
          <w:p>
            <w:pPr>
              <w:spacing w:after="0"/>
              <w:rPr>
                <w:sz w:val="1"/>
                <w:szCs w:val="1"/>
                <w:color w:val="auto"/>
              </w:rPr>
            </w:pPr>
          </w:p>
        </w:tc>
      </w:tr>
      <w:tr>
        <w:trPr>
          <w:trHeight w:val="196"/>
        </w:trPr>
        <w:tc>
          <w:tcPr>
            <w:tcW w:w="2940" w:type="dxa"/>
            <w:vAlign w:val="bottom"/>
            <w:vMerge w:val="restart"/>
          </w:tcPr>
          <w:p>
            <w:pPr>
              <w:ind w:left="120"/>
              <w:spacing w:after="0"/>
              <w:rPr>
                <w:sz w:val="20"/>
                <w:szCs w:val="20"/>
                <w:color w:val="auto"/>
              </w:rPr>
            </w:pPr>
            <w:r>
              <w:rPr>
                <w:rFonts w:ascii="Arial" w:cs="Arial" w:eastAsia="Arial" w:hAnsi="Arial"/>
                <w:sz w:val="13"/>
                <w:szCs w:val="13"/>
                <w:color w:val="355889"/>
              </w:rPr>
              <w:t xml:space="preserve">●   </w:t>
            </w:r>
            <w:r>
              <w:rPr>
                <w:rFonts w:ascii="Arial" w:cs="Arial" w:eastAsia="Arial" w:hAnsi="Arial"/>
                <w:sz w:val="13"/>
                <w:szCs w:val="13"/>
                <w:color w:val="000000"/>
              </w:rPr>
              <w:t>Base salary and deferred compensation</w:t>
            </w:r>
          </w:p>
        </w:tc>
        <w:tc>
          <w:tcPr>
            <w:tcW w:w="140" w:type="dxa"/>
            <w:vAlign w:val="bottom"/>
          </w:tcPr>
          <w:p>
            <w:pPr>
              <w:spacing w:after="0"/>
              <w:rPr>
                <w:sz w:val="17"/>
                <w:szCs w:val="17"/>
                <w:color w:val="auto"/>
              </w:rPr>
            </w:pPr>
          </w:p>
        </w:tc>
        <w:tc>
          <w:tcPr>
            <w:tcW w:w="2560" w:type="dxa"/>
            <w:vAlign w:val="bottom"/>
            <w:tcBorders>
              <w:bottom w:val="single" w:sz="8" w:color="8797B7"/>
            </w:tcBorders>
            <w:gridSpan w:val="2"/>
          </w:tcPr>
          <w:p>
            <w:pPr>
              <w:ind w:left="20"/>
              <w:spacing w:after="0"/>
              <w:rPr>
                <w:sz w:val="20"/>
                <w:szCs w:val="20"/>
                <w:color w:val="auto"/>
              </w:rPr>
            </w:pPr>
            <w:r>
              <w:rPr>
                <w:rFonts w:ascii="Arial" w:cs="Arial" w:eastAsia="Arial" w:hAnsi="Arial"/>
                <w:sz w:val="13"/>
                <w:szCs w:val="13"/>
                <w:color w:val="355889"/>
              </w:rPr>
              <w:t xml:space="preserve">●   </w:t>
            </w:r>
            <w:r>
              <w:rPr>
                <w:rFonts w:ascii="Arial" w:cs="Arial" w:eastAsia="Arial" w:hAnsi="Arial"/>
                <w:sz w:val="13"/>
                <w:szCs w:val="13"/>
                <w:color w:val="000000"/>
              </w:rPr>
              <w:t>No salary increase for 2019</w:t>
            </w:r>
          </w:p>
        </w:tc>
        <w:tc>
          <w:tcPr>
            <w:tcW w:w="2020" w:type="dxa"/>
            <w:vAlign w:val="bottom"/>
            <w:tcBorders>
              <w:bottom w:val="single" w:sz="8" w:color="8797B7"/>
            </w:tcBorders>
          </w:tcPr>
          <w:p>
            <w:pPr>
              <w:ind w:left="180"/>
              <w:spacing w:after="0"/>
              <w:rPr>
                <w:sz w:val="20"/>
                <w:szCs w:val="20"/>
                <w:color w:val="auto"/>
              </w:rPr>
            </w:pPr>
            <w:r>
              <w:rPr>
                <w:rFonts w:ascii="Arial" w:cs="Arial" w:eastAsia="Arial" w:hAnsi="Arial"/>
                <w:sz w:val="13"/>
                <w:szCs w:val="13"/>
                <w:color w:val="auto"/>
              </w:rPr>
              <w:t>CEO Holliday</w:t>
            </w:r>
          </w:p>
        </w:tc>
        <w:tc>
          <w:tcPr>
            <w:tcW w:w="3580" w:type="dxa"/>
            <w:vAlign w:val="bottom"/>
            <w:tcBorders>
              <w:bottom w:val="single" w:sz="8" w:color="8797B7"/>
            </w:tcBorders>
            <w:gridSpan w:val="2"/>
          </w:tcPr>
          <w:p>
            <w:pPr>
              <w:ind w:left="440"/>
              <w:spacing w:after="0"/>
              <w:rPr>
                <w:sz w:val="20"/>
                <w:szCs w:val="20"/>
                <w:color w:val="auto"/>
              </w:rPr>
            </w:pPr>
            <w:r>
              <w:rPr>
                <w:rFonts w:ascii="Arial" w:cs="Arial" w:eastAsia="Arial" w:hAnsi="Arial"/>
                <w:sz w:val="13"/>
                <w:szCs w:val="13"/>
                <w:color w:val="355889"/>
              </w:rPr>
              <w:t xml:space="preserve">●   </w:t>
            </w:r>
            <w:r>
              <w:rPr>
                <w:rFonts w:ascii="Arial" w:cs="Arial" w:eastAsia="Arial" w:hAnsi="Arial"/>
                <w:sz w:val="13"/>
                <w:szCs w:val="13"/>
                <w:color w:val="000000"/>
              </w:rPr>
              <w:t>Salary unchanged from 2018</w:t>
            </w:r>
          </w:p>
        </w:tc>
        <w:tc>
          <w:tcPr>
            <w:tcW w:w="0" w:type="dxa"/>
            <w:vAlign w:val="bottom"/>
          </w:tcPr>
          <w:p>
            <w:pPr>
              <w:spacing w:after="0"/>
              <w:rPr>
                <w:sz w:val="1"/>
                <w:szCs w:val="1"/>
                <w:color w:val="auto"/>
              </w:rPr>
            </w:pPr>
          </w:p>
        </w:tc>
      </w:tr>
      <w:tr>
        <w:trPr>
          <w:trHeight w:val="67"/>
        </w:trPr>
        <w:tc>
          <w:tcPr>
            <w:tcW w:w="29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CEO Holliday President</w:t>
            </w:r>
          </w:p>
        </w:tc>
        <w:tc>
          <w:tcPr>
            <w:tcW w:w="600" w:type="dxa"/>
            <w:vAlign w:val="bottom"/>
          </w:tcPr>
          <w:p>
            <w:pPr>
              <w:spacing w:after="0"/>
              <w:rPr>
                <w:sz w:val="5"/>
                <w:szCs w:val="5"/>
                <w:color w:val="auto"/>
              </w:rPr>
            </w:pPr>
          </w:p>
        </w:tc>
        <w:tc>
          <w:tcPr>
            <w:tcW w:w="2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940" w:type="dxa"/>
            <w:vAlign w:val="bottom"/>
          </w:tcPr>
          <w:p>
            <w:pPr>
              <w:ind w:left="360"/>
              <w:spacing w:after="0"/>
              <w:rPr>
                <w:sz w:val="20"/>
                <w:szCs w:val="20"/>
                <w:color w:val="auto"/>
              </w:rPr>
            </w:pPr>
            <w:r>
              <w:rPr>
                <w:rFonts w:ascii="Arial" w:cs="Arial" w:eastAsia="Arial" w:hAnsi="Arial"/>
                <w:sz w:val="13"/>
                <w:szCs w:val="13"/>
                <w:color w:val="auto"/>
              </w:rPr>
              <w:t>provide overlapping fixed pay elements</w:t>
            </w:r>
          </w:p>
        </w:tc>
        <w:tc>
          <w:tcPr>
            <w:tcW w:w="140" w:type="dxa"/>
            <w:vAlign w:val="bottom"/>
          </w:tcPr>
          <w:p>
            <w:pPr>
              <w:spacing w:after="0"/>
              <w:rPr>
                <w:sz w:val="12"/>
                <w:szCs w:val="12"/>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355889"/>
              </w:rPr>
              <w:t>●</w:t>
            </w:r>
          </w:p>
        </w:tc>
        <w:tc>
          <w:tcPr>
            <w:tcW w:w="2380" w:type="dxa"/>
            <w:vAlign w:val="bottom"/>
          </w:tcPr>
          <w:p>
            <w:pPr>
              <w:ind w:left="80"/>
              <w:spacing w:after="0"/>
              <w:rPr>
                <w:sz w:val="20"/>
                <w:szCs w:val="20"/>
                <w:color w:val="auto"/>
              </w:rPr>
            </w:pPr>
            <w:r>
              <w:rPr>
                <w:rFonts w:ascii="Arial" w:cs="Arial" w:eastAsia="Arial" w:hAnsi="Arial"/>
                <w:sz w:val="13"/>
                <w:szCs w:val="13"/>
                <w:color w:val="auto"/>
              </w:rPr>
              <w:t>Eliminated deferred compensation</w:t>
            </w:r>
          </w:p>
        </w:tc>
        <w:tc>
          <w:tcPr>
            <w:tcW w:w="2020" w:type="dxa"/>
            <w:vAlign w:val="bottom"/>
            <w:vMerge w:val="continue"/>
          </w:tcPr>
          <w:p>
            <w:pPr>
              <w:spacing w:after="0"/>
              <w:rPr>
                <w:sz w:val="12"/>
                <w:szCs w:val="12"/>
                <w:color w:val="auto"/>
              </w:rPr>
            </w:pPr>
          </w:p>
        </w:tc>
        <w:tc>
          <w:tcPr>
            <w:tcW w:w="600" w:type="dxa"/>
            <w:vAlign w:val="bottom"/>
          </w:tcPr>
          <w:p>
            <w:pPr>
              <w:ind w:left="440"/>
              <w:spacing w:after="0"/>
              <w:rPr>
                <w:sz w:val="20"/>
                <w:szCs w:val="20"/>
                <w:color w:val="auto"/>
              </w:rPr>
            </w:pPr>
            <w:r>
              <w:rPr>
                <w:rFonts w:ascii="Arial" w:cs="Arial" w:eastAsia="Arial" w:hAnsi="Arial"/>
                <w:sz w:val="13"/>
                <w:szCs w:val="13"/>
                <w:color w:val="355889"/>
              </w:rPr>
              <w:t>●</w:t>
            </w:r>
          </w:p>
        </w:tc>
        <w:tc>
          <w:tcPr>
            <w:tcW w:w="2980" w:type="dxa"/>
            <w:vAlign w:val="bottom"/>
          </w:tcPr>
          <w:p>
            <w:pPr>
              <w:ind w:left="80"/>
              <w:spacing w:after="0"/>
              <w:rPr>
                <w:sz w:val="20"/>
                <w:szCs w:val="20"/>
                <w:color w:val="auto"/>
              </w:rPr>
            </w:pPr>
            <w:r>
              <w:rPr>
                <w:rFonts w:ascii="Arial" w:cs="Arial" w:eastAsia="Arial" w:hAnsi="Arial"/>
                <w:sz w:val="13"/>
                <w:szCs w:val="13"/>
                <w:color w:val="auto"/>
              </w:rPr>
              <w:t>Deferred compensation eliminated</w:t>
            </w:r>
          </w:p>
        </w:tc>
        <w:tc>
          <w:tcPr>
            <w:tcW w:w="0" w:type="dxa"/>
            <w:vAlign w:val="bottom"/>
          </w:tcPr>
          <w:p>
            <w:pPr>
              <w:spacing w:after="0"/>
              <w:rPr>
                <w:sz w:val="1"/>
                <w:szCs w:val="1"/>
                <w:color w:val="auto"/>
              </w:rPr>
            </w:pPr>
          </w:p>
        </w:tc>
      </w:tr>
      <w:tr>
        <w:trPr>
          <w:trHeight w:val="135"/>
        </w:trPr>
        <w:tc>
          <w:tcPr>
            <w:tcW w:w="2940" w:type="dxa"/>
            <w:vAlign w:val="bottom"/>
            <w:tcBorders>
              <w:bottom w:val="single" w:sz="8" w:color="8797B7"/>
            </w:tcBorders>
          </w:tcPr>
          <w:p>
            <w:pPr>
              <w:spacing w:after="0"/>
              <w:rPr>
                <w:sz w:val="11"/>
                <w:szCs w:val="11"/>
                <w:color w:val="auto"/>
              </w:rPr>
            </w:pPr>
          </w:p>
        </w:tc>
        <w:tc>
          <w:tcPr>
            <w:tcW w:w="140" w:type="dxa"/>
            <w:vAlign w:val="bottom"/>
            <w:tcBorders>
              <w:bottom w:val="single" w:sz="8" w:color="8797B7"/>
            </w:tcBorders>
          </w:tcPr>
          <w:p>
            <w:pPr>
              <w:spacing w:after="0"/>
              <w:rPr>
                <w:sz w:val="11"/>
                <w:szCs w:val="11"/>
                <w:color w:val="auto"/>
              </w:rPr>
            </w:pPr>
          </w:p>
        </w:tc>
        <w:tc>
          <w:tcPr>
            <w:tcW w:w="180" w:type="dxa"/>
            <w:vAlign w:val="bottom"/>
            <w:tcBorders>
              <w:bottom w:val="single" w:sz="8" w:color="8797B7"/>
            </w:tcBorders>
          </w:tcPr>
          <w:p>
            <w:pPr>
              <w:spacing w:after="0"/>
              <w:rPr>
                <w:sz w:val="11"/>
                <w:szCs w:val="11"/>
                <w:color w:val="auto"/>
              </w:rPr>
            </w:pPr>
          </w:p>
        </w:tc>
        <w:tc>
          <w:tcPr>
            <w:tcW w:w="2380" w:type="dxa"/>
            <w:vAlign w:val="bottom"/>
            <w:tcBorders>
              <w:bottom w:val="single" w:sz="8" w:color="8797B7"/>
            </w:tcBorders>
          </w:tcPr>
          <w:p>
            <w:pPr>
              <w:spacing w:after="0"/>
              <w:rPr>
                <w:sz w:val="11"/>
                <w:szCs w:val="11"/>
                <w:color w:val="auto"/>
              </w:rPr>
            </w:pPr>
          </w:p>
        </w:tc>
        <w:tc>
          <w:tcPr>
            <w:tcW w:w="2020" w:type="dxa"/>
            <w:vAlign w:val="bottom"/>
            <w:tcBorders>
              <w:bottom w:val="single" w:sz="8" w:color="8797B7"/>
            </w:tcBorders>
          </w:tcPr>
          <w:p>
            <w:pPr>
              <w:ind w:left="180"/>
              <w:spacing w:after="0" w:line="135" w:lineRule="exact"/>
              <w:rPr>
                <w:sz w:val="20"/>
                <w:szCs w:val="20"/>
                <w:color w:val="auto"/>
              </w:rPr>
            </w:pPr>
            <w:r>
              <w:rPr>
                <w:rFonts w:ascii="Arial" w:cs="Arial" w:eastAsia="Arial" w:hAnsi="Arial"/>
                <w:sz w:val="13"/>
                <w:szCs w:val="13"/>
                <w:color w:val="auto"/>
              </w:rPr>
              <w:t>Mathias</w:t>
            </w:r>
          </w:p>
        </w:tc>
        <w:tc>
          <w:tcPr>
            <w:tcW w:w="600" w:type="dxa"/>
            <w:vAlign w:val="bottom"/>
            <w:tcBorders>
              <w:bottom w:val="single" w:sz="8" w:color="8797B7"/>
            </w:tcBorders>
          </w:tcPr>
          <w:p>
            <w:pPr>
              <w:spacing w:after="0"/>
              <w:rPr>
                <w:sz w:val="11"/>
                <w:szCs w:val="11"/>
                <w:color w:val="auto"/>
              </w:rPr>
            </w:pPr>
          </w:p>
        </w:tc>
        <w:tc>
          <w:tcPr>
            <w:tcW w:w="2980" w:type="dxa"/>
            <w:vAlign w:val="bottom"/>
            <w:tcBorders>
              <w:bottom w:val="single" w:sz="8" w:color="8797B7"/>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940" w:type="dxa"/>
            <w:vAlign w:val="bottom"/>
            <w:vMerge w:val="restart"/>
          </w:tcPr>
          <w:p>
            <w:pPr>
              <w:ind w:left="120"/>
              <w:spacing w:after="0"/>
              <w:rPr>
                <w:sz w:val="20"/>
                <w:szCs w:val="20"/>
                <w:color w:val="auto"/>
              </w:rPr>
            </w:pPr>
            <w:r>
              <w:rPr>
                <w:rFonts w:ascii="Arial" w:cs="Arial" w:eastAsia="Arial" w:hAnsi="Arial"/>
                <w:sz w:val="13"/>
                <w:szCs w:val="13"/>
                <w:color w:val="355889"/>
              </w:rPr>
              <w:t xml:space="preserve">●   </w:t>
            </w:r>
            <w:r>
              <w:rPr>
                <w:rFonts w:ascii="Arial" w:cs="Arial" w:eastAsia="Arial" w:hAnsi="Arial"/>
                <w:sz w:val="13"/>
                <w:szCs w:val="13"/>
                <w:color w:val="000000"/>
              </w:rPr>
              <w:t>Annual incentive should focus on metrics</w:t>
            </w:r>
          </w:p>
        </w:tc>
        <w:tc>
          <w:tcPr>
            <w:tcW w:w="140" w:type="dxa"/>
            <w:vAlign w:val="bottom"/>
          </w:tcPr>
          <w:p>
            <w:pPr>
              <w:spacing w:after="0"/>
              <w:rPr>
                <w:sz w:val="14"/>
                <w:szCs w:val="14"/>
                <w:color w:val="auto"/>
              </w:rPr>
            </w:pPr>
          </w:p>
        </w:tc>
        <w:tc>
          <w:tcPr>
            <w:tcW w:w="2560" w:type="dxa"/>
            <w:vAlign w:val="bottom"/>
            <w:gridSpan w:val="2"/>
          </w:tcPr>
          <w:p>
            <w:pPr>
              <w:ind w:left="20"/>
              <w:spacing w:after="0"/>
              <w:rPr>
                <w:sz w:val="20"/>
                <w:szCs w:val="20"/>
                <w:color w:val="auto"/>
              </w:rPr>
            </w:pPr>
            <w:r>
              <w:rPr>
                <w:rFonts w:ascii="Arial" w:cs="Arial" w:eastAsia="Arial" w:hAnsi="Arial"/>
                <w:sz w:val="13"/>
                <w:szCs w:val="13"/>
                <w:color w:val="355889"/>
              </w:rPr>
              <w:t xml:space="preserve">●   </w:t>
            </w:r>
            <w:r>
              <w:rPr>
                <w:rFonts w:ascii="Arial" w:cs="Arial" w:eastAsia="Arial" w:hAnsi="Arial"/>
                <w:sz w:val="13"/>
                <w:szCs w:val="13"/>
                <w:color w:val="000000"/>
              </w:rPr>
              <w:t>Continued structure adopted in</w:t>
            </w:r>
          </w:p>
        </w:tc>
        <w:tc>
          <w:tcPr>
            <w:tcW w:w="2020" w:type="dxa"/>
            <w:vAlign w:val="bottom"/>
          </w:tcPr>
          <w:p>
            <w:pPr>
              <w:spacing w:after="0"/>
              <w:rPr>
                <w:sz w:val="14"/>
                <w:szCs w:val="14"/>
                <w:color w:val="auto"/>
              </w:rPr>
            </w:pPr>
          </w:p>
        </w:tc>
        <w:tc>
          <w:tcPr>
            <w:tcW w:w="3580" w:type="dxa"/>
            <w:vAlign w:val="bottom"/>
            <w:gridSpan w:val="2"/>
            <w:vMerge w:val="restart"/>
          </w:tcPr>
          <w:p>
            <w:pPr>
              <w:ind w:left="440"/>
              <w:spacing w:after="0"/>
              <w:rPr>
                <w:sz w:val="20"/>
                <w:szCs w:val="20"/>
                <w:color w:val="auto"/>
              </w:rPr>
            </w:pPr>
            <w:r>
              <w:rPr>
                <w:rFonts w:ascii="Arial" w:cs="Arial" w:eastAsia="Arial" w:hAnsi="Arial"/>
                <w:sz w:val="13"/>
                <w:szCs w:val="13"/>
                <w:color w:val="355889"/>
              </w:rPr>
              <w:t xml:space="preserve">●   </w:t>
            </w:r>
            <w:r>
              <w:rPr>
                <w:rFonts w:ascii="Arial" w:cs="Arial" w:eastAsia="Arial" w:hAnsi="Arial"/>
                <w:sz w:val="13"/>
                <w:szCs w:val="13"/>
                <w:color w:val="000000"/>
              </w:rPr>
              <w:t>Annual incentive based on 2019</w:t>
            </w:r>
          </w:p>
        </w:tc>
        <w:tc>
          <w:tcPr>
            <w:tcW w:w="0" w:type="dxa"/>
            <w:vAlign w:val="bottom"/>
          </w:tcPr>
          <w:p>
            <w:pPr>
              <w:spacing w:after="0"/>
              <w:rPr>
                <w:sz w:val="1"/>
                <w:szCs w:val="1"/>
                <w:color w:val="auto"/>
              </w:rPr>
            </w:pPr>
          </w:p>
        </w:tc>
      </w:tr>
      <w:tr>
        <w:trPr>
          <w:trHeight w:val="148"/>
        </w:trPr>
        <w:tc>
          <w:tcPr>
            <w:tcW w:w="2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tcPr>
          <w:p>
            <w:pPr>
              <w:ind w:left="80"/>
              <w:spacing w:after="0"/>
              <w:rPr>
                <w:sz w:val="20"/>
                <w:szCs w:val="20"/>
                <w:color w:val="auto"/>
              </w:rPr>
            </w:pPr>
            <w:r>
              <w:rPr>
                <w:rFonts w:ascii="Arial" w:cs="Arial" w:eastAsia="Arial" w:hAnsi="Arial"/>
                <w:sz w:val="13"/>
                <w:szCs w:val="13"/>
                <w:color w:val="auto"/>
              </w:rPr>
              <w:t>2018, which eliminated TSR, added</w:t>
            </w:r>
          </w:p>
        </w:tc>
        <w:tc>
          <w:tcPr>
            <w:tcW w:w="2020" w:type="dxa"/>
            <w:vAlign w:val="bottom"/>
          </w:tcPr>
          <w:p>
            <w:pPr>
              <w:ind w:left="180"/>
              <w:spacing w:after="0"/>
              <w:rPr>
                <w:sz w:val="20"/>
                <w:szCs w:val="20"/>
                <w:color w:val="auto"/>
              </w:rPr>
            </w:pPr>
            <w:r>
              <w:rPr>
                <w:rFonts w:ascii="Arial" w:cs="Arial" w:eastAsia="Arial" w:hAnsi="Arial"/>
                <w:sz w:val="13"/>
                <w:szCs w:val="13"/>
                <w:color w:val="auto"/>
              </w:rPr>
              <w:t>CEO Holliday President</w:t>
            </w:r>
          </w:p>
        </w:tc>
        <w:tc>
          <w:tcPr>
            <w:tcW w:w="3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ind w:left="360"/>
              <w:spacing w:after="0"/>
              <w:rPr>
                <w:sz w:val="20"/>
                <w:szCs w:val="20"/>
                <w:color w:val="auto"/>
              </w:rPr>
            </w:pPr>
            <w:r>
              <w:rPr>
                <w:rFonts w:ascii="Arial" w:cs="Arial" w:eastAsia="Arial" w:hAnsi="Arial"/>
                <w:sz w:val="13"/>
                <w:szCs w:val="13"/>
                <w:color w:val="auto"/>
              </w:rPr>
              <w:t>within executives’ control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tcPr>
          <w:p>
            <w:pPr>
              <w:ind w:left="80"/>
              <w:spacing w:after="0"/>
              <w:rPr>
                <w:sz w:val="20"/>
                <w:szCs w:val="20"/>
                <w:color w:val="auto"/>
              </w:rPr>
            </w:pPr>
            <w:r>
              <w:rPr>
                <w:rFonts w:ascii="Arial" w:cs="Arial" w:eastAsia="Arial" w:hAnsi="Arial"/>
                <w:sz w:val="13"/>
                <w:szCs w:val="13"/>
                <w:color w:val="auto"/>
              </w:rPr>
              <w:t>G&amp;A expense, increased weighting</w:t>
            </w:r>
          </w:p>
        </w:tc>
        <w:tc>
          <w:tcPr>
            <w:tcW w:w="2020" w:type="dxa"/>
            <w:vAlign w:val="bottom"/>
          </w:tcPr>
          <w:p>
            <w:pPr>
              <w:ind w:left="180"/>
              <w:spacing w:after="0"/>
              <w:rPr>
                <w:sz w:val="20"/>
                <w:szCs w:val="20"/>
                <w:color w:val="auto"/>
              </w:rPr>
            </w:pPr>
            <w:r>
              <w:rPr>
                <w:rFonts w:ascii="Arial" w:cs="Arial" w:eastAsia="Arial" w:hAnsi="Arial"/>
                <w:sz w:val="13"/>
                <w:szCs w:val="13"/>
                <w:color w:val="auto"/>
              </w:rPr>
              <w:t>Mathias</w:t>
            </w:r>
          </w:p>
        </w:tc>
        <w:tc>
          <w:tcPr>
            <w:tcW w:w="600" w:type="dxa"/>
            <w:vAlign w:val="bottom"/>
          </w:tcPr>
          <w:p>
            <w:pPr>
              <w:spacing w:after="0"/>
              <w:rPr>
                <w:sz w:val="12"/>
                <w:szCs w:val="12"/>
                <w:color w:val="auto"/>
              </w:rPr>
            </w:pPr>
          </w:p>
        </w:tc>
        <w:tc>
          <w:tcPr>
            <w:tcW w:w="2980" w:type="dxa"/>
            <w:vAlign w:val="bottom"/>
          </w:tcPr>
          <w:p>
            <w:pPr>
              <w:ind w:left="80"/>
              <w:spacing w:after="0"/>
              <w:rPr>
                <w:sz w:val="20"/>
                <w:szCs w:val="20"/>
                <w:color w:val="auto"/>
              </w:rPr>
            </w:pPr>
            <w:r>
              <w:rPr>
                <w:rFonts w:ascii="Arial" w:cs="Arial" w:eastAsia="Arial" w:hAnsi="Arial"/>
                <w:sz w:val="13"/>
                <w:szCs w:val="13"/>
                <w:color w:val="auto"/>
              </w:rPr>
              <w:t>operational performance</w:t>
            </w:r>
          </w:p>
        </w:tc>
        <w:tc>
          <w:tcPr>
            <w:tcW w:w="0" w:type="dxa"/>
            <w:vAlign w:val="bottom"/>
          </w:tcPr>
          <w:p>
            <w:pPr>
              <w:spacing w:after="0"/>
              <w:rPr>
                <w:sz w:val="1"/>
                <w:szCs w:val="1"/>
                <w:color w:val="auto"/>
              </w:rPr>
            </w:pPr>
          </w:p>
        </w:tc>
      </w:tr>
      <w:tr>
        <w:trPr>
          <w:trHeight w:val="170"/>
        </w:trPr>
        <w:tc>
          <w:tcPr>
            <w:tcW w:w="2940" w:type="dxa"/>
            <w:vAlign w:val="bottom"/>
            <w:tcBorders>
              <w:bottom w:val="single" w:sz="8" w:color="8797B7"/>
            </w:tcBorders>
          </w:tcPr>
          <w:p>
            <w:pPr>
              <w:spacing w:after="0"/>
              <w:rPr>
                <w:sz w:val="14"/>
                <w:szCs w:val="14"/>
                <w:color w:val="auto"/>
              </w:rPr>
            </w:pPr>
          </w:p>
        </w:tc>
        <w:tc>
          <w:tcPr>
            <w:tcW w:w="140" w:type="dxa"/>
            <w:vAlign w:val="bottom"/>
            <w:tcBorders>
              <w:bottom w:val="single" w:sz="8" w:color="8797B7"/>
            </w:tcBorders>
          </w:tcPr>
          <w:p>
            <w:pPr>
              <w:spacing w:after="0"/>
              <w:rPr>
                <w:sz w:val="14"/>
                <w:szCs w:val="14"/>
                <w:color w:val="auto"/>
              </w:rPr>
            </w:pPr>
          </w:p>
        </w:tc>
        <w:tc>
          <w:tcPr>
            <w:tcW w:w="180" w:type="dxa"/>
            <w:vAlign w:val="bottom"/>
            <w:tcBorders>
              <w:bottom w:val="single" w:sz="8" w:color="8797B7"/>
            </w:tcBorders>
          </w:tcPr>
          <w:p>
            <w:pPr>
              <w:spacing w:after="0"/>
              <w:rPr>
                <w:sz w:val="14"/>
                <w:szCs w:val="14"/>
                <w:color w:val="auto"/>
              </w:rPr>
            </w:pPr>
          </w:p>
        </w:tc>
        <w:tc>
          <w:tcPr>
            <w:tcW w:w="2380" w:type="dxa"/>
            <w:vAlign w:val="bottom"/>
            <w:tcBorders>
              <w:bottom w:val="single" w:sz="8" w:color="8797B7"/>
            </w:tcBorders>
          </w:tcPr>
          <w:p>
            <w:pPr>
              <w:ind w:left="80"/>
              <w:spacing w:after="0"/>
              <w:rPr>
                <w:sz w:val="20"/>
                <w:szCs w:val="20"/>
                <w:color w:val="auto"/>
              </w:rPr>
            </w:pPr>
            <w:r>
              <w:rPr>
                <w:rFonts w:ascii="Arial" w:cs="Arial" w:eastAsia="Arial" w:hAnsi="Arial"/>
                <w:sz w:val="13"/>
                <w:szCs w:val="13"/>
                <w:color w:val="auto"/>
              </w:rPr>
              <w:t>of dividend growth metric</w:t>
            </w:r>
          </w:p>
        </w:tc>
        <w:tc>
          <w:tcPr>
            <w:tcW w:w="2020" w:type="dxa"/>
            <w:vAlign w:val="bottom"/>
            <w:tcBorders>
              <w:bottom w:val="single" w:sz="8" w:color="8797B7"/>
            </w:tcBorders>
          </w:tcPr>
          <w:p>
            <w:pPr>
              <w:spacing w:after="0"/>
              <w:rPr>
                <w:sz w:val="14"/>
                <w:szCs w:val="14"/>
                <w:color w:val="auto"/>
              </w:rPr>
            </w:pPr>
          </w:p>
        </w:tc>
        <w:tc>
          <w:tcPr>
            <w:tcW w:w="600" w:type="dxa"/>
            <w:vAlign w:val="bottom"/>
            <w:tcBorders>
              <w:bottom w:val="single" w:sz="8" w:color="8797B7"/>
            </w:tcBorders>
          </w:tcPr>
          <w:p>
            <w:pPr>
              <w:spacing w:after="0"/>
              <w:rPr>
                <w:sz w:val="14"/>
                <w:szCs w:val="14"/>
                <w:color w:val="auto"/>
              </w:rPr>
            </w:pPr>
          </w:p>
        </w:tc>
        <w:tc>
          <w:tcPr>
            <w:tcW w:w="2980" w:type="dxa"/>
            <w:vAlign w:val="bottom"/>
            <w:tcBorders>
              <w:bottom w:val="single" w:sz="8" w:color="8797B7"/>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tcPr>
          <w:p>
            <w:pPr>
              <w:ind w:left="120"/>
              <w:spacing w:after="0"/>
              <w:rPr>
                <w:sz w:val="20"/>
                <w:szCs w:val="20"/>
                <w:color w:val="auto"/>
              </w:rPr>
            </w:pPr>
            <w:r>
              <w:rPr>
                <w:rFonts w:ascii="Arial" w:cs="Arial" w:eastAsia="Arial" w:hAnsi="Arial"/>
                <w:sz w:val="13"/>
                <w:szCs w:val="13"/>
                <w:color w:val="355889"/>
              </w:rPr>
              <w:t xml:space="preserve">●   </w:t>
            </w:r>
            <w:r>
              <w:rPr>
                <w:rFonts w:ascii="Arial" w:cs="Arial" w:eastAsia="Arial" w:hAnsi="Arial"/>
                <w:sz w:val="13"/>
                <w:szCs w:val="13"/>
                <w:color w:val="000000"/>
              </w:rPr>
              <w:t>Discretionary annual equity bonus</w:t>
            </w:r>
          </w:p>
        </w:tc>
        <w:tc>
          <w:tcPr>
            <w:tcW w:w="14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355889"/>
              </w:rPr>
              <w:t>●</w:t>
            </w:r>
          </w:p>
        </w:tc>
        <w:tc>
          <w:tcPr>
            <w:tcW w:w="2380" w:type="dxa"/>
            <w:vAlign w:val="bottom"/>
          </w:tcPr>
          <w:p>
            <w:pPr>
              <w:ind w:left="80"/>
              <w:spacing w:after="0"/>
              <w:rPr>
                <w:sz w:val="20"/>
                <w:szCs w:val="20"/>
                <w:color w:val="auto"/>
              </w:rPr>
            </w:pPr>
            <w:r>
              <w:rPr>
                <w:rFonts w:ascii="Arial" w:cs="Arial" w:eastAsia="Arial" w:hAnsi="Arial"/>
                <w:sz w:val="13"/>
                <w:szCs w:val="13"/>
                <w:color w:val="auto"/>
              </w:rPr>
              <w:t>Eliminated discretionary equity</w:t>
            </w:r>
          </w:p>
        </w:tc>
        <w:tc>
          <w:tcPr>
            <w:tcW w:w="2020" w:type="dxa"/>
            <w:vAlign w:val="bottom"/>
          </w:tcPr>
          <w:p>
            <w:pPr>
              <w:ind w:left="180"/>
              <w:spacing w:after="0"/>
              <w:rPr>
                <w:sz w:val="20"/>
                <w:szCs w:val="20"/>
                <w:color w:val="auto"/>
              </w:rPr>
            </w:pPr>
            <w:r>
              <w:rPr>
                <w:rFonts w:ascii="Arial" w:cs="Arial" w:eastAsia="Arial" w:hAnsi="Arial"/>
                <w:sz w:val="13"/>
                <w:szCs w:val="13"/>
                <w:color w:val="auto"/>
              </w:rPr>
              <w:t>CEO Holliday President</w:t>
            </w:r>
          </w:p>
        </w:tc>
        <w:tc>
          <w:tcPr>
            <w:tcW w:w="600" w:type="dxa"/>
            <w:vAlign w:val="bottom"/>
            <w:vMerge w:val="restart"/>
          </w:tcPr>
          <w:p>
            <w:pPr>
              <w:ind w:left="440"/>
              <w:spacing w:after="0"/>
              <w:rPr>
                <w:sz w:val="20"/>
                <w:szCs w:val="20"/>
                <w:color w:val="auto"/>
              </w:rPr>
            </w:pPr>
            <w:r>
              <w:rPr>
                <w:rFonts w:ascii="Arial" w:cs="Arial" w:eastAsia="Arial" w:hAnsi="Arial"/>
                <w:sz w:val="13"/>
                <w:szCs w:val="13"/>
                <w:color w:val="355889"/>
              </w:rPr>
              <w:t>●</w:t>
            </w:r>
          </w:p>
        </w:tc>
        <w:tc>
          <w:tcPr>
            <w:tcW w:w="2980" w:type="dxa"/>
            <w:vAlign w:val="bottom"/>
            <w:vMerge w:val="restart"/>
          </w:tcPr>
          <w:p>
            <w:pPr>
              <w:ind w:left="80"/>
              <w:spacing w:after="0"/>
              <w:rPr>
                <w:sz w:val="20"/>
                <w:szCs w:val="20"/>
                <w:color w:val="auto"/>
              </w:rPr>
            </w:pPr>
            <w:r>
              <w:rPr>
                <w:rFonts w:ascii="Arial" w:cs="Arial" w:eastAsia="Arial" w:hAnsi="Arial"/>
                <w:sz w:val="13"/>
                <w:szCs w:val="13"/>
                <w:color w:val="auto"/>
              </w:rPr>
              <w:t>Discretionary bonus eliminated</w:t>
            </w:r>
          </w:p>
        </w:tc>
        <w:tc>
          <w:tcPr>
            <w:tcW w:w="0" w:type="dxa"/>
            <w:vAlign w:val="bottom"/>
          </w:tcPr>
          <w:p>
            <w:pPr>
              <w:spacing w:after="0"/>
              <w:rPr>
                <w:sz w:val="1"/>
                <w:szCs w:val="1"/>
                <w:color w:val="auto"/>
              </w:rPr>
            </w:pPr>
          </w:p>
        </w:tc>
      </w:tr>
      <w:tr>
        <w:trPr>
          <w:trHeight w:val="81"/>
        </w:trPr>
        <w:tc>
          <w:tcPr>
            <w:tcW w:w="2940" w:type="dxa"/>
            <w:vAlign w:val="bottom"/>
            <w:vMerge w:val="restart"/>
          </w:tcPr>
          <w:p>
            <w:pPr>
              <w:ind w:left="360"/>
              <w:spacing w:after="0"/>
              <w:rPr>
                <w:sz w:val="20"/>
                <w:szCs w:val="20"/>
                <w:color w:val="auto"/>
              </w:rPr>
            </w:pPr>
            <w:r>
              <w:rPr>
                <w:rFonts w:ascii="Arial" w:cs="Arial" w:eastAsia="Arial" w:hAnsi="Arial"/>
                <w:sz w:val="13"/>
                <w:szCs w:val="13"/>
                <w:color w:val="auto"/>
              </w:rPr>
              <w:t>process not clear</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80" w:type="dxa"/>
            <w:vAlign w:val="bottom"/>
            <w:vMerge w:val="restart"/>
          </w:tcPr>
          <w:p>
            <w:pPr>
              <w:ind w:left="80"/>
              <w:spacing w:after="0"/>
              <w:rPr>
                <w:sz w:val="20"/>
                <w:szCs w:val="20"/>
                <w:color w:val="auto"/>
              </w:rPr>
            </w:pPr>
            <w:r>
              <w:rPr>
                <w:rFonts w:ascii="Arial" w:cs="Arial" w:eastAsia="Arial" w:hAnsi="Arial"/>
                <w:sz w:val="13"/>
                <w:szCs w:val="13"/>
                <w:color w:val="auto"/>
              </w:rPr>
              <w:t>bonus</w:t>
            </w: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Mathias</w:t>
            </w:r>
          </w:p>
        </w:tc>
        <w:tc>
          <w:tcPr>
            <w:tcW w:w="600" w:type="dxa"/>
            <w:vAlign w:val="bottom"/>
            <w:vMerge w:val="continue"/>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940" w:type="dxa"/>
            <w:vAlign w:val="bottom"/>
            <w:tcBorders>
              <w:bottom w:val="single" w:sz="8" w:color="8797B7"/>
            </w:tcBorders>
            <w:vMerge w:val="continue"/>
          </w:tcPr>
          <w:p>
            <w:pPr>
              <w:spacing w:after="0"/>
              <w:rPr>
                <w:sz w:val="7"/>
                <w:szCs w:val="7"/>
                <w:color w:val="auto"/>
              </w:rPr>
            </w:pPr>
          </w:p>
        </w:tc>
        <w:tc>
          <w:tcPr>
            <w:tcW w:w="140" w:type="dxa"/>
            <w:vAlign w:val="bottom"/>
            <w:tcBorders>
              <w:bottom w:val="single" w:sz="8" w:color="8797B7"/>
            </w:tcBorders>
          </w:tcPr>
          <w:p>
            <w:pPr>
              <w:spacing w:after="0"/>
              <w:rPr>
                <w:sz w:val="7"/>
                <w:szCs w:val="7"/>
                <w:color w:val="auto"/>
              </w:rPr>
            </w:pPr>
          </w:p>
        </w:tc>
        <w:tc>
          <w:tcPr>
            <w:tcW w:w="180" w:type="dxa"/>
            <w:vAlign w:val="bottom"/>
            <w:tcBorders>
              <w:bottom w:val="single" w:sz="8" w:color="8797B7"/>
            </w:tcBorders>
          </w:tcPr>
          <w:p>
            <w:pPr>
              <w:spacing w:after="0"/>
              <w:rPr>
                <w:sz w:val="7"/>
                <w:szCs w:val="7"/>
                <w:color w:val="auto"/>
              </w:rPr>
            </w:pPr>
          </w:p>
        </w:tc>
        <w:tc>
          <w:tcPr>
            <w:tcW w:w="2380" w:type="dxa"/>
            <w:vAlign w:val="bottom"/>
            <w:tcBorders>
              <w:bottom w:val="single" w:sz="8" w:color="8797B7"/>
            </w:tcBorders>
            <w:vMerge w:val="continue"/>
          </w:tcPr>
          <w:p>
            <w:pPr>
              <w:spacing w:after="0"/>
              <w:rPr>
                <w:sz w:val="7"/>
                <w:szCs w:val="7"/>
                <w:color w:val="auto"/>
              </w:rPr>
            </w:pPr>
          </w:p>
        </w:tc>
        <w:tc>
          <w:tcPr>
            <w:tcW w:w="2020" w:type="dxa"/>
            <w:vAlign w:val="bottom"/>
            <w:tcBorders>
              <w:bottom w:val="single" w:sz="8" w:color="8797B7"/>
            </w:tcBorders>
            <w:vMerge w:val="continue"/>
          </w:tcPr>
          <w:p>
            <w:pPr>
              <w:spacing w:after="0"/>
              <w:rPr>
                <w:sz w:val="7"/>
                <w:szCs w:val="7"/>
                <w:color w:val="auto"/>
              </w:rPr>
            </w:pPr>
          </w:p>
        </w:tc>
        <w:tc>
          <w:tcPr>
            <w:tcW w:w="600" w:type="dxa"/>
            <w:vAlign w:val="bottom"/>
            <w:tcBorders>
              <w:bottom w:val="single" w:sz="8" w:color="8797B7"/>
            </w:tcBorders>
          </w:tcPr>
          <w:p>
            <w:pPr>
              <w:spacing w:after="0"/>
              <w:rPr>
                <w:sz w:val="7"/>
                <w:szCs w:val="7"/>
                <w:color w:val="auto"/>
              </w:rPr>
            </w:pPr>
          </w:p>
        </w:tc>
        <w:tc>
          <w:tcPr>
            <w:tcW w:w="2980" w:type="dxa"/>
            <w:vAlign w:val="bottom"/>
            <w:tcBorders>
              <w:bottom w:val="single" w:sz="8" w:color="8797B7"/>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940" w:type="dxa"/>
            <w:vAlign w:val="bottom"/>
          </w:tcPr>
          <w:p>
            <w:pPr>
              <w:ind w:left="120"/>
              <w:spacing w:after="0"/>
              <w:rPr>
                <w:sz w:val="20"/>
                <w:szCs w:val="20"/>
                <w:color w:val="auto"/>
              </w:rPr>
            </w:pPr>
            <w:r>
              <w:rPr>
                <w:rFonts w:ascii="Arial" w:cs="Arial" w:eastAsia="Arial" w:hAnsi="Arial"/>
                <w:sz w:val="13"/>
                <w:szCs w:val="13"/>
                <w:color w:val="355889"/>
              </w:rPr>
              <w:t xml:space="preserve">●   </w:t>
            </w:r>
            <w:r>
              <w:rPr>
                <w:rFonts w:ascii="Arial" w:cs="Arial" w:eastAsia="Arial" w:hAnsi="Arial"/>
                <w:sz w:val="13"/>
                <w:szCs w:val="13"/>
                <w:color w:val="000000"/>
              </w:rPr>
              <w:t>Retesting feature allows for multiple</w:t>
            </w:r>
          </w:p>
        </w:tc>
        <w:tc>
          <w:tcPr>
            <w:tcW w:w="140" w:type="dxa"/>
            <w:vAlign w:val="bottom"/>
          </w:tcPr>
          <w:p>
            <w:pPr>
              <w:spacing w:after="0"/>
              <w:rPr>
                <w:sz w:val="15"/>
                <w:szCs w:val="15"/>
                <w:color w:val="auto"/>
              </w:rPr>
            </w:pPr>
          </w:p>
        </w:tc>
        <w:tc>
          <w:tcPr>
            <w:tcW w:w="180" w:type="dxa"/>
            <w:vAlign w:val="bottom"/>
            <w:vMerge w:val="restart"/>
          </w:tcPr>
          <w:p>
            <w:pPr>
              <w:ind w:left="20"/>
              <w:spacing w:after="0"/>
              <w:rPr>
                <w:sz w:val="20"/>
                <w:szCs w:val="20"/>
                <w:color w:val="auto"/>
              </w:rPr>
            </w:pPr>
            <w:r>
              <w:rPr>
                <w:rFonts w:ascii="Arial" w:cs="Arial" w:eastAsia="Arial" w:hAnsi="Arial"/>
                <w:sz w:val="13"/>
                <w:szCs w:val="13"/>
                <w:color w:val="355889"/>
              </w:rPr>
              <w:t>●</w:t>
            </w:r>
          </w:p>
        </w:tc>
        <w:tc>
          <w:tcPr>
            <w:tcW w:w="2380" w:type="dxa"/>
            <w:vAlign w:val="bottom"/>
            <w:vMerge w:val="restart"/>
          </w:tcPr>
          <w:p>
            <w:pPr>
              <w:ind w:left="80"/>
              <w:spacing w:after="0"/>
              <w:rPr>
                <w:sz w:val="20"/>
                <w:szCs w:val="20"/>
                <w:color w:val="auto"/>
              </w:rPr>
            </w:pPr>
            <w:r>
              <w:rPr>
                <w:rFonts w:ascii="Arial" w:cs="Arial" w:eastAsia="Arial" w:hAnsi="Arial"/>
                <w:sz w:val="13"/>
                <w:szCs w:val="13"/>
                <w:color w:val="auto"/>
              </w:rPr>
              <w:t>Eliminated retesting</w:t>
            </w:r>
          </w:p>
        </w:tc>
        <w:tc>
          <w:tcPr>
            <w:tcW w:w="2020" w:type="dxa"/>
            <w:vAlign w:val="bottom"/>
          </w:tcPr>
          <w:p>
            <w:pPr>
              <w:ind w:left="180"/>
              <w:spacing w:after="0"/>
              <w:rPr>
                <w:sz w:val="20"/>
                <w:szCs w:val="20"/>
                <w:color w:val="auto"/>
              </w:rPr>
            </w:pPr>
            <w:r>
              <w:rPr>
                <w:rFonts w:ascii="Arial" w:cs="Arial" w:eastAsia="Arial" w:hAnsi="Arial"/>
                <w:sz w:val="13"/>
                <w:szCs w:val="13"/>
                <w:color w:val="auto"/>
              </w:rPr>
              <w:t>CEO Holliday President</w:t>
            </w:r>
          </w:p>
        </w:tc>
        <w:tc>
          <w:tcPr>
            <w:tcW w:w="3580" w:type="dxa"/>
            <w:vAlign w:val="bottom"/>
            <w:gridSpan w:val="2"/>
          </w:tcPr>
          <w:p>
            <w:pPr>
              <w:ind w:left="440"/>
              <w:spacing w:after="0"/>
              <w:rPr>
                <w:sz w:val="20"/>
                <w:szCs w:val="20"/>
                <w:color w:val="auto"/>
              </w:rPr>
            </w:pPr>
            <w:r>
              <w:rPr>
                <w:rFonts w:ascii="Arial" w:cs="Arial" w:eastAsia="Arial" w:hAnsi="Arial"/>
                <w:sz w:val="13"/>
                <w:szCs w:val="13"/>
                <w:color w:val="355889"/>
              </w:rPr>
              <w:t xml:space="preserve">●   </w:t>
            </w:r>
            <w:r>
              <w:rPr>
                <w:rFonts w:ascii="Arial" w:cs="Arial" w:eastAsia="Arial" w:hAnsi="Arial"/>
                <w:sz w:val="13"/>
                <w:szCs w:val="13"/>
                <w:color w:val="000000"/>
              </w:rPr>
              <w:t>Retesting eliminated; all incentives have</w:t>
            </w:r>
          </w:p>
        </w:tc>
        <w:tc>
          <w:tcPr>
            <w:tcW w:w="0" w:type="dxa"/>
            <w:vAlign w:val="bottom"/>
          </w:tcPr>
          <w:p>
            <w:pPr>
              <w:spacing w:after="0"/>
              <w:rPr>
                <w:sz w:val="1"/>
                <w:szCs w:val="1"/>
                <w:color w:val="auto"/>
              </w:rPr>
            </w:pPr>
          </w:p>
        </w:tc>
      </w:tr>
      <w:tr>
        <w:trPr>
          <w:trHeight w:val="81"/>
        </w:trPr>
        <w:tc>
          <w:tcPr>
            <w:tcW w:w="2940" w:type="dxa"/>
            <w:vAlign w:val="bottom"/>
            <w:vMerge w:val="restart"/>
          </w:tcPr>
          <w:p>
            <w:pPr>
              <w:ind w:left="360"/>
              <w:spacing w:after="0"/>
              <w:rPr>
                <w:sz w:val="20"/>
                <w:szCs w:val="20"/>
                <w:color w:val="auto"/>
              </w:rPr>
            </w:pPr>
            <w:r>
              <w:rPr>
                <w:rFonts w:ascii="Arial" w:cs="Arial" w:eastAsia="Arial" w:hAnsi="Arial"/>
                <w:sz w:val="13"/>
                <w:szCs w:val="13"/>
                <w:color w:val="auto"/>
              </w:rPr>
              <w:t>vesting opportunities</w:t>
            </w:r>
          </w:p>
        </w:tc>
        <w:tc>
          <w:tcPr>
            <w:tcW w:w="1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2380" w:type="dxa"/>
            <w:vAlign w:val="bottom"/>
            <w:vMerge w:val="continue"/>
          </w:tcPr>
          <w:p>
            <w:pPr>
              <w:spacing w:after="0"/>
              <w:rPr>
                <w:sz w:val="7"/>
                <w:szCs w:val="7"/>
                <w:color w:val="auto"/>
              </w:rPr>
            </w:pP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Mathias GC Levine</w:t>
            </w:r>
          </w:p>
        </w:tc>
        <w:tc>
          <w:tcPr>
            <w:tcW w:w="600" w:type="dxa"/>
            <w:vAlign w:val="bottom"/>
          </w:tcPr>
          <w:p>
            <w:pPr>
              <w:spacing w:after="0"/>
              <w:rPr>
                <w:sz w:val="7"/>
                <w:szCs w:val="7"/>
                <w:color w:val="auto"/>
              </w:rPr>
            </w:pPr>
          </w:p>
        </w:tc>
        <w:tc>
          <w:tcPr>
            <w:tcW w:w="2980" w:type="dxa"/>
            <w:vAlign w:val="bottom"/>
            <w:vMerge w:val="restart"/>
          </w:tcPr>
          <w:p>
            <w:pPr>
              <w:ind w:left="80"/>
              <w:spacing w:after="0"/>
              <w:rPr>
                <w:sz w:val="20"/>
                <w:szCs w:val="20"/>
                <w:color w:val="auto"/>
              </w:rPr>
            </w:pPr>
            <w:r>
              <w:rPr>
                <w:rFonts w:ascii="Arial" w:cs="Arial" w:eastAsia="Arial" w:hAnsi="Arial"/>
                <w:sz w:val="13"/>
                <w:szCs w:val="13"/>
                <w:color w:val="auto"/>
              </w:rPr>
              <w:t>rigorous performance linkage</w:t>
            </w:r>
          </w:p>
        </w:tc>
        <w:tc>
          <w:tcPr>
            <w:tcW w:w="0" w:type="dxa"/>
            <w:vAlign w:val="bottom"/>
          </w:tcPr>
          <w:p>
            <w:pPr>
              <w:spacing w:after="0"/>
              <w:rPr>
                <w:sz w:val="1"/>
                <w:szCs w:val="1"/>
                <w:color w:val="auto"/>
              </w:rPr>
            </w:pPr>
          </w:p>
        </w:tc>
      </w:tr>
      <w:tr>
        <w:trPr>
          <w:trHeight w:val="81"/>
        </w:trPr>
        <w:tc>
          <w:tcPr>
            <w:tcW w:w="29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-1242060</wp:posOffset>
            </wp:positionV>
            <wp:extent cx="7132320" cy="2571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717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70" w:lineRule="exact"/>
        <w:rPr>
          <w:sz w:val="20"/>
          <w:szCs w:val="20"/>
          <w:color w:val="auto"/>
        </w:rPr>
      </w:pPr>
    </w:p>
    <w:p>
      <w:pPr>
        <w:jc w:val="both"/>
        <w:ind w:left="360" w:hanging="244"/>
        <w:spacing w:after="0" w:line="258" w:lineRule="auto"/>
        <w:tabs>
          <w:tab w:leader="none" w:pos="364" w:val="left"/>
        </w:tabs>
        <w:numPr>
          <w:ilvl w:val="0"/>
          <w:numId w:val="9"/>
        </w:numPr>
        <w:rPr>
          <w:rFonts w:ascii="Arial" w:cs="Arial" w:eastAsia="Arial" w:hAnsi="Arial"/>
          <w:sz w:val="13"/>
          <w:szCs w:val="13"/>
          <w:color w:val="355889"/>
        </w:rPr>
      </w:pPr>
      <w:r>
        <w:rPr>
          <w:rFonts w:ascii="Arial" w:cs="Arial" w:eastAsia="Arial" w:hAnsi="Arial"/>
          <w:sz w:val="13"/>
          <w:szCs w:val="13"/>
          <w:color w:val="auto"/>
        </w:rPr>
        <w:t>Performance period for performance units should be longer than one year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231" w:hanging="231"/>
        <w:spacing w:after="0" w:line="238" w:lineRule="auto"/>
        <w:tabs>
          <w:tab w:leader="none" w:pos="236" w:val="left"/>
        </w:tabs>
        <w:numPr>
          <w:ilvl w:val="0"/>
          <w:numId w:val="10"/>
        </w:numPr>
        <w:rPr>
          <w:rFonts w:ascii="Arial" w:cs="Arial" w:eastAsia="Arial" w:hAnsi="Arial"/>
          <w:sz w:val="13"/>
          <w:szCs w:val="13"/>
          <w:color w:val="355889"/>
        </w:rPr>
      </w:pPr>
      <w:r>
        <w:rPr>
          <w:rFonts w:ascii="Arial" w:cs="Arial" w:eastAsia="Arial" w:hAnsi="Arial"/>
          <w:sz w:val="13"/>
          <w:szCs w:val="13"/>
          <w:color w:val="auto"/>
        </w:rPr>
        <w:t>50% LTIP units based on annual operating goals, subject to 3-year absolute TSR</w:t>
      </w:r>
    </w:p>
    <w:p>
      <w:pPr>
        <w:ind w:left="231" w:right="80" w:hanging="231"/>
        <w:spacing w:after="0" w:line="258" w:lineRule="auto"/>
        <w:tabs>
          <w:tab w:leader="none" w:pos="236" w:val="left"/>
        </w:tabs>
        <w:numPr>
          <w:ilvl w:val="0"/>
          <w:numId w:val="10"/>
        </w:numPr>
        <w:rPr>
          <w:rFonts w:ascii="Arial" w:cs="Arial" w:eastAsia="Arial" w:hAnsi="Arial"/>
          <w:sz w:val="13"/>
          <w:szCs w:val="13"/>
          <w:color w:val="355889"/>
        </w:rPr>
      </w:pPr>
      <w:r>
        <w:rPr>
          <w:rFonts w:ascii="Arial" w:cs="Arial" w:eastAsia="Arial" w:hAnsi="Arial"/>
          <w:sz w:val="13"/>
          <w:szCs w:val="13"/>
          <w:color w:val="auto"/>
        </w:rPr>
        <w:t>50% LTIP units based on 3-year relative TSR</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20"/>
                <w:szCs w:val="20"/>
                <w:color w:val="auto"/>
              </w:rPr>
            </w:pPr>
            <w:r>
              <w:rPr>
                <w:rFonts w:ascii="Arial" w:cs="Arial" w:eastAsia="Arial" w:hAnsi="Arial"/>
                <w:sz w:val="13"/>
                <w:szCs w:val="13"/>
                <w:color w:val="auto"/>
              </w:rPr>
              <w:t>CEO Holliday President</w:t>
            </w:r>
          </w:p>
        </w:tc>
        <w:tc>
          <w:tcPr>
            <w:tcW w:w="600" w:type="dxa"/>
            <w:vAlign w:val="bottom"/>
            <w:vMerge w:val="restart"/>
          </w:tcPr>
          <w:p>
            <w:pPr>
              <w:ind w:left="440"/>
              <w:spacing w:after="0"/>
              <w:rPr>
                <w:sz w:val="20"/>
                <w:szCs w:val="20"/>
                <w:color w:val="auto"/>
              </w:rPr>
            </w:pPr>
            <w:r>
              <w:rPr>
                <w:rFonts w:ascii="Arial" w:cs="Arial" w:eastAsia="Arial" w:hAnsi="Arial"/>
                <w:sz w:val="13"/>
                <w:szCs w:val="13"/>
                <w:color w:val="355889"/>
              </w:rPr>
              <w:t>●</w:t>
            </w:r>
          </w:p>
        </w:tc>
        <w:tc>
          <w:tcPr>
            <w:tcW w:w="2320" w:type="dxa"/>
            <w:vAlign w:val="bottom"/>
            <w:vMerge w:val="restart"/>
          </w:tcPr>
          <w:p>
            <w:pPr>
              <w:ind w:left="80"/>
              <w:spacing w:after="0"/>
              <w:rPr>
                <w:sz w:val="20"/>
                <w:szCs w:val="20"/>
                <w:color w:val="auto"/>
              </w:rPr>
            </w:pPr>
            <w:r>
              <w:rPr>
                <w:rFonts w:ascii="Arial" w:cs="Arial" w:eastAsia="Arial" w:hAnsi="Arial"/>
                <w:sz w:val="13"/>
                <w:szCs w:val="13"/>
                <w:color w:val="auto"/>
              </w:rPr>
              <w:t>Incentives do not vest prior to 3 years</w:t>
            </w:r>
          </w:p>
        </w:tc>
        <w:tc>
          <w:tcPr>
            <w:tcW w:w="0" w:type="dxa"/>
            <w:vAlign w:val="bottom"/>
          </w:tcPr>
          <w:p>
            <w:pPr>
              <w:spacing w:after="0"/>
              <w:rPr>
                <w:sz w:val="1"/>
                <w:szCs w:val="1"/>
                <w:color w:val="auto"/>
              </w:rPr>
            </w:pPr>
          </w:p>
        </w:tc>
      </w:tr>
      <w:tr>
        <w:trPr>
          <w:trHeight w:val="95"/>
        </w:trPr>
        <w:tc>
          <w:tcPr>
            <w:tcW w:w="1840" w:type="dxa"/>
            <w:vAlign w:val="bottom"/>
            <w:vMerge w:val="restart"/>
          </w:tcPr>
          <w:p>
            <w:pPr>
              <w:spacing w:after="0"/>
              <w:rPr>
                <w:sz w:val="20"/>
                <w:szCs w:val="20"/>
                <w:color w:val="auto"/>
              </w:rPr>
            </w:pPr>
            <w:r>
              <w:rPr>
                <w:rFonts w:ascii="Arial" w:cs="Arial" w:eastAsia="Arial" w:hAnsi="Arial"/>
                <w:sz w:val="13"/>
                <w:szCs w:val="13"/>
                <w:color w:val="auto"/>
              </w:rPr>
              <w:t>Mathias GC Levine</w:t>
            </w:r>
          </w:p>
        </w:tc>
        <w:tc>
          <w:tcPr>
            <w:tcW w:w="600" w:type="dxa"/>
            <w:vAlign w:val="bottom"/>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sectPr>
          <w:pgSz w:w="11900" w:h="16838" w:orient="portrait"/>
          <w:cols w:equalWidth="0" w:num="3">
            <w:col w:w="2540" w:space="569"/>
            <w:col w:w="2231" w:space="480"/>
            <w:col w:w="5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880" w:type="dxa"/>
            <w:vAlign w:val="bottom"/>
          </w:tcPr>
          <w:p>
            <w:pPr>
              <w:ind w:left="120"/>
              <w:spacing w:after="0"/>
              <w:rPr>
                <w:sz w:val="20"/>
                <w:szCs w:val="20"/>
                <w:color w:val="auto"/>
              </w:rPr>
            </w:pPr>
            <w:r>
              <w:rPr>
                <w:rFonts w:ascii="Arial" w:cs="Arial" w:eastAsia="Arial" w:hAnsi="Arial"/>
                <w:sz w:val="13"/>
                <w:szCs w:val="13"/>
                <w:color w:val="355889"/>
              </w:rPr>
              <w:t xml:space="preserve">●   </w:t>
            </w:r>
            <w:r>
              <w:rPr>
                <w:rFonts w:ascii="Arial" w:cs="Arial" w:eastAsia="Arial" w:hAnsi="Arial"/>
                <w:sz w:val="13"/>
                <w:szCs w:val="13"/>
                <w:color w:val="000000"/>
              </w:rPr>
              <w:t>Contracts guarantee equity grants on</w:t>
            </w:r>
          </w:p>
        </w:tc>
        <w:tc>
          <w:tcPr>
            <w:tcW w:w="2780" w:type="dxa"/>
            <w:vAlign w:val="bottom"/>
          </w:tcPr>
          <w:p>
            <w:pPr>
              <w:ind w:left="220"/>
              <w:spacing w:after="0"/>
              <w:rPr>
                <w:sz w:val="20"/>
                <w:szCs w:val="20"/>
                <w:color w:val="auto"/>
              </w:rPr>
            </w:pPr>
            <w:r>
              <w:rPr>
                <w:rFonts w:ascii="Arial" w:cs="Arial" w:eastAsia="Arial" w:hAnsi="Arial"/>
                <w:sz w:val="13"/>
                <w:szCs w:val="13"/>
                <w:color w:val="355889"/>
              </w:rPr>
              <w:t xml:space="preserve">●   </w:t>
            </w:r>
            <w:r>
              <w:rPr>
                <w:rFonts w:ascii="Arial" w:cs="Arial" w:eastAsia="Arial" w:hAnsi="Arial"/>
                <w:sz w:val="13"/>
                <w:szCs w:val="13"/>
                <w:color w:val="000000"/>
              </w:rPr>
              <w:t>New contracts replace contractual</w:t>
            </w:r>
          </w:p>
        </w:tc>
        <w:tc>
          <w:tcPr>
            <w:tcW w:w="2000" w:type="dxa"/>
            <w:vAlign w:val="bottom"/>
          </w:tcPr>
          <w:p>
            <w:pPr>
              <w:ind w:left="160"/>
              <w:spacing w:after="0"/>
              <w:rPr>
                <w:sz w:val="20"/>
                <w:szCs w:val="20"/>
                <w:color w:val="auto"/>
              </w:rPr>
            </w:pPr>
            <w:r>
              <w:rPr>
                <w:rFonts w:ascii="Arial" w:cs="Arial" w:eastAsia="Arial" w:hAnsi="Arial"/>
                <w:sz w:val="13"/>
                <w:szCs w:val="13"/>
                <w:color w:val="auto"/>
              </w:rPr>
              <w:t>CEO Holliday President</w:t>
            </w:r>
          </w:p>
        </w:tc>
        <w:tc>
          <w:tcPr>
            <w:tcW w:w="600" w:type="dxa"/>
            <w:vAlign w:val="bottom"/>
            <w:vMerge w:val="restart"/>
          </w:tcPr>
          <w:p>
            <w:pPr>
              <w:ind w:left="440"/>
              <w:spacing w:after="0"/>
              <w:rPr>
                <w:sz w:val="20"/>
                <w:szCs w:val="20"/>
                <w:color w:val="auto"/>
              </w:rPr>
            </w:pPr>
            <w:r>
              <w:rPr>
                <w:rFonts w:ascii="Arial" w:cs="Arial" w:eastAsia="Arial" w:hAnsi="Arial"/>
                <w:sz w:val="13"/>
                <w:szCs w:val="13"/>
                <w:color w:val="355889"/>
              </w:rPr>
              <w:t>●</w:t>
            </w:r>
          </w:p>
        </w:tc>
        <w:tc>
          <w:tcPr>
            <w:tcW w:w="2980" w:type="dxa"/>
            <w:vAlign w:val="bottom"/>
            <w:vMerge w:val="restart"/>
          </w:tcPr>
          <w:p>
            <w:pPr>
              <w:ind w:left="80"/>
              <w:spacing w:after="0"/>
              <w:rPr>
                <w:sz w:val="20"/>
                <w:szCs w:val="20"/>
                <w:color w:val="auto"/>
              </w:rPr>
            </w:pPr>
            <w:r>
              <w:rPr>
                <w:rFonts w:ascii="Arial" w:cs="Arial" w:eastAsia="Arial" w:hAnsi="Arial"/>
                <w:sz w:val="13"/>
                <w:szCs w:val="13"/>
                <w:color w:val="auto"/>
              </w:rPr>
              <w:t>Contractual guarantees eliminated</w:t>
            </w:r>
          </w:p>
        </w:tc>
        <w:tc>
          <w:tcPr>
            <w:tcW w:w="0" w:type="dxa"/>
            <w:vAlign w:val="bottom"/>
          </w:tcPr>
          <w:p>
            <w:pPr>
              <w:spacing w:after="0"/>
              <w:rPr>
                <w:sz w:val="1"/>
                <w:szCs w:val="1"/>
                <w:color w:val="auto"/>
              </w:rPr>
            </w:pPr>
          </w:p>
        </w:tc>
      </w:tr>
      <w:tr>
        <w:trPr>
          <w:trHeight w:val="81"/>
        </w:trPr>
        <w:tc>
          <w:tcPr>
            <w:tcW w:w="2880" w:type="dxa"/>
            <w:vAlign w:val="bottom"/>
            <w:vMerge w:val="restart"/>
          </w:tcPr>
          <w:p>
            <w:pPr>
              <w:ind w:left="360"/>
              <w:spacing w:after="0"/>
              <w:rPr>
                <w:sz w:val="20"/>
                <w:szCs w:val="20"/>
                <w:color w:val="auto"/>
              </w:rPr>
            </w:pPr>
            <w:r>
              <w:rPr>
                <w:rFonts w:ascii="Arial" w:cs="Arial" w:eastAsia="Arial" w:hAnsi="Arial"/>
                <w:sz w:val="13"/>
                <w:szCs w:val="13"/>
                <w:color w:val="auto"/>
              </w:rPr>
              <w:t>multi-year basis</w:t>
            </w:r>
          </w:p>
        </w:tc>
        <w:tc>
          <w:tcPr>
            <w:tcW w:w="2780" w:type="dxa"/>
            <w:vAlign w:val="bottom"/>
            <w:vMerge w:val="restart"/>
          </w:tcPr>
          <w:p>
            <w:pPr>
              <w:ind w:left="460"/>
              <w:spacing w:after="0"/>
              <w:rPr>
                <w:sz w:val="20"/>
                <w:szCs w:val="20"/>
                <w:color w:val="auto"/>
              </w:rPr>
            </w:pPr>
            <w:r>
              <w:rPr>
                <w:rFonts w:ascii="Arial" w:cs="Arial" w:eastAsia="Arial" w:hAnsi="Arial"/>
                <w:sz w:val="13"/>
                <w:szCs w:val="13"/>
                <w:color w:val="auto"/>
              </w:rPr>
              <w:t>guarantees with target equity grants</w:t>
            </w:r>
          </w:p>
        </w:tc>
        <w:tc>
          <w:tcPr>
            <w:tcW w:w="2000" w:type="dxa"/>
            <w:vAlign w:val="bottom"/>
            <w:vMerge w:val="restart"/>
          </w:tcPr>
          <w:p>
            <w:pPr>
              <w:ind w:left="160"/>
              <w:spacing w:after="0"/>
              <w:rPr>
                <w:sz w:val="20"/>
                <w:szCs w:val="20"/>
                <w:color w:val="auto"/>
              </w:rPr>
            </w:pPr>
            <w:r>
              <w:rPr>
                <w:rFonts w:ascii="Arial" w:cs="Arial" w:eastAsia="Arial" w:hAnsi="Arial"/>
                <w:sz w:val="13"/>
                <w:szCs w:val="13"/>
                <w:color w:val="auto"/>
              </w:rPr>
              <w:t>Mathias GC Levine</w:t>
            </w:r>
          </w:p>
        </w:tc>
        <w:tc>
          <w:tcPr>
            <w:tcW w:w="600" w:type="dxa"/>
            <w:vAlign w:val="bottom"/>
            <w:vMerge w:val="continue"/>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80" w:type="dxa"/>
            <w:vAlign w:val="bottom"/>
            <w:tcBorders>
              <w:bottom w:val="single" w:sz="8" w:color="8797B7"/>
            </w:tcBorders>
            <w:vMerge w:val="continue"/>
          </w:tcPr>
          <w:p>
            <w:pPr>
              <w:spacing w:after="0"/>
              <w:rPr>
                <w:sz w:val="7"/>
                <w:szCs w:val="7"/>
                <w:color w:val="auto"/>
              </w:rPr>
            </w:pPr>
          </w:p>
        </w:tc>
        <w:tc>
          <w:tcPr>
            <w:tcW w:w="2780" w:type="dxa"/>
            <w:vAlign w:val="bottom"/>
            <w:tcBorders>
              <w:bottom w:val="single" w:sz="8" w:color="8797B7"/>
            </w:tcBorders>
            <w:vMerge w:val="continue"/>
          </w:tcPr>
          <w:p>
            <w:pPr>
              <w:spacing w:after="0"/>
              <w:rPr>
                <w:sz w:val="7"/>
                <w:szCs w:val="7"/>
                <w:color w:val="auto"/>
              </w:rPr>
            </w:pPr>
          </w:p>
        </w:tc>
        <w:tc>
          <w:tcPr>
            <w:tcW w:w="2000" w:type="dxa"/>
            <w:vAlign w:val="bottom"/>
            <w:tcBorders>
              <w:bottom w:val="single" w:sz="8" w:color="8797B7"/>
            </w:tcBorders>
            <w:vMerge w:val="continue"/>
          </w:tcPr>
          <w:p>
            <w:pPr>
              <w:spacing w:after="0"/>
              <w:rPr>
                <w:sz w:val="7"/>
                <w:szCs w:val="7"/>
                <w:color w:val="auto"/>
              </w:rPr>
            </w:pPr>
          </w:p>
        </w:tc>
        <w:tc>
          <w:tcPr>
            <w:tcW w:w="600" w:type="dxa"/>
            <w:vAlign w:val="bottom"/>
            <w:tcBorders>
              <w:bottom w:val="single" w:sz="8" w:color="8797B7"/>
            </w:tcBorders>
          </w:tcPr>
          <w:p>
            <w:pPr>
              <w:spacing w:after="0"/>
              <w:rPr>
                <w:sz w:val="7"/>
                <w:szCs w:val="7"/>
                <w:color w:val="auto"/>
              </w:rPr>
            </w:pPr>
          </w:p>
        </w:tc>
        <w:tc>
          <w:tcPr>
            <w:tcW w:w="2980" w:type="dxa"/>
            <w:vAlign w:val="bottom"/>
            <w:tcBorders>
              <w:bottom w:val="single" w:sz="8" w:color="8797B7"/>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880" w:type="dxa"/>
            <w:vAlign w:val="bottom"/>
            <w:vMerge w:val="restart"/>
          </w:tcPr>
          <w:p>
            <w:pPr>
              <w:ind w:left="120"/>
              <w:spacing w:after="0"/>
              <w:rPr>
                <w:sz w:val="20"/>
                <w:szCs w:val="20"/>
                <w:color w:val="auto"/>
              </w:rPr>
            </w:pPr>
            <w:r>
              <w:rPr>
                <w:rFonts w:ascii="Arial" w:cs="Arial" w:eastAsia="Arial" w:hAnsi="Arial"/>
                <w:sz w:val="13"/>
                <w:szCs w:val="13"/>
                <w:color w:val="355889"/>
              </w:rPr>
              <w:t xml:space="preserve">●   </w:t>
            </w:r>
            <w:r>
              <w:rPr>
                <w:rFonts w:ascii="Arial" w:cs="Arial" w:eastAsia="Arial" w:hAnsi="Arial"/>
                <w:sz w:val="13"/>
                <w:szCs w:val="13"/>
                <w:color w:val="000000"/>
              </w:rPr>
              <w:t>Compensation program is complicated</w:t>
            </w:r>
          </w:p>
        </w:tc>
        <w:tc>
          <w:tcPr>
            <w:tcW w:w="2780" w:type="dxa"/>
            <w:vAlign w:val="bottom"/>
          </w:tcPr>
          <w:p>
            <w:pPr>
              <w:ind w:left="220"/>
              <w:spacing w:after="0"/>
              <w:rPr>
                <w:sz w:val="20"/>
                <w:szCs w:val="20"/>
                <w:color w:val="auto"/>
              </w:rPr>
            </w:pPr>
            <w:r>
              <w:rPr>
                <w:rFonts w:ascii="Arial" w:cs="Arial" w:eastAsia="Arial" w:hAnsi="Arial"/>
                <w:sz w:val="13"/>
                <w:szCs w:val="13"/>
                <w:color w:val="355889"/>
              </w:rPr>
              <w:t xml:space="preserve">●   </w:t>
            </w:r>
            <w:r>
              <w:rPr>
                <w:rFonts w:ascii="Arial" w:cs="Arial" w:eastAsia="Arial" w:hAnsi="Arial"/>
                <w:sz w:val="13"/>
                <w:szCs w:val="13"/>
                <w:color w:val="000000"/>
              </w:rPr>
              <w:t>Reduced elements of compensation</w:t>
            </w:r>
          </w:p>
        </w:tc>
        <w:tc>
          <w:tcPr>
            <w:tcW w:w="2000" w:type="dxa"/>
            <w:vAlign w:val="bottom"/>
          </w:tcPr>
          <w:p>
            <w:pPr>
              <w:ind w:left="160"/>
              <w:spacing w:after="0"/>
              <w:rPr>
                <w:sz w:val="20"/>
                <w:szCs w:val="20"/>
                <w:color w:val="auto"/>
              </w:rPr>
            </w:pPr>
            <w:r>
              <w:rPr>
                <w:rFonts w:ascii="Arial" w:cs="Arial" w:eastAsia="Arial" w:hAnsi="Arial"/>
                <w:sz w:val="13"/>
                <w:szCs w:val="13"/>
                <w:color w:val="auto"/>
              </w:rPr>
              <w:t>CEO Holliday President</w:t>
            </w:r>
          </w:p>
        </w:tc>
        <w:tc>
          <w:tcPr>
            <w:tcW w:w="600" w:type="dxa"/>
            <w:vAlign w:val="bottom"/>
          </w:tcPr>
          <w:p>
            <w:pPr>
              <w:ind w:left="440"/>
              <w:spacing w:after="0"/>
              <w:rPr>
                <w:sz w:val="20"/>
                <w:szCs w:val="20"/>
                <w:color w:val="auto"/>
              </w:rPr>
            </w:pPr>
            <w:r>
              <w:rPr>
                <w:rFonts w:ascii="Arial" w:cs="Arial" w:eastAsia="Arial" w:hAnsi="Arial"/>
                <w:sz w:val="13"/>
                <w:szCs w:val="13"/>
                <w:color w:val="355889"/>
              </w:rPr>
              <w:t>●</w:t>
            </w:r>
          </w:p>
        </w:tc>
        <w:tc>
          <w:tcPr>
            <w:tcW w:w="2980" w:type="dxa"/>
            <w:vAlign w:val="bottom"/>
          </w:tcPr>
          <w:p>
            <w:pPr>
              <w:ind w:left="80"/>
              <w:spacing w:after="0"/>
              <w:rPr>
                <w:sz w:val="20"/>
                <w:szCs w:val="20"/>
                <w:color w:val="auto"/>
              </w:rPr>
            </w:pPr>
            <w:r>
              <w:rPr>
                <w:rFonts w:ascii="Arial" w:cs="Arial" w:eastAsia="Arial" w:hAnsi="Arial"/>
                <w:sz w:val="13"/>
                <w:szCs w:val="13"/>
                <w:color w:val="auto"/>
              </w:rPr>
              <w:t>Improved transparency of pay-for-</w:t>
            </w:r>
          </w:p>
        </w:tc>
        <w:tc>
          <w:tcPr>
            <w:tcW w:w="0" w:type="dxa"/>
            <w:vAlign w:val="bottom"/>
          </w:tcPr>
          <w:p>
            <w:pPr>
              <w:spacing w:after="0"/>
              <w:rPr>
                <w:sz w:val="1"/>
                <w:szCs w:val="1"/>
                <w:color w:val="auto"/>
              </w:rPr>
            </w:pPr>
          </w:p>
        </w:tc>
      </w:tr>
      <w:tr>
        <w:trPr>
          <w:trHeight w:val="81"/>
        </w:trPr>
        <w:tc>
          <w:tcPr>
            <w:tcW w:w="2880" w:type="dxa"/>
            <w:vAlign w:val="bottom"/>
            <w:vMerge w:val="continue"/>
          </w:tcPr>
          <w:p>
            <w:pPr>
              <w:spacing w:after="0"/>
              <w:rPr>
                <w:sz w:val="7"/>
                <w:szCs w:val="7"/>
                <w:color w:val="auto"/>
              </w:rPr>
            </w:pPr>
          </w:p>
        </w:tc>
        <w:tc>
          <w:tcPr>
            <w:tcW w:w="2780" w:type="dxa"/>
            <w:vAlign w:val="bottom"/>
            <w:vMerge w:val="restart"/>
          </w:tcPr>
          <w:p>
            <w:pPr>
              <w:ind w:left="460"/>
              <w:spacing w:after="0"/>
              <w:rPr>
                <w:sz w:val="20"/>
                <w:szCs w:val="20"/>
                <w:color w:val="auto"/>
              </w:rPr>
            </w:pPr>
            <w:r>
              <w:rPr>
                <w:rFonts w:ascii="Arial" w:cs="Arial" w:eastAsia="Arial" w:hAnsi="Arial"/>
                <w:sz w:val="13"/>
                <w:szCs w:val="13"/>
                <w:color w:val="auto"/>
              </w:rPr>
              <w:t>from 7 to 4</w:t>
            </w:r>
          </w:p>
        </w:tc>
        <w:tc>
          <w:tcPr>
            <w:tcW w:w="2000" w:type="dxa"/>
            <w:vAlign w:val="bottom"/>
            <w:vMerge w:val="restart"/>
          </w:tcPr>
          <w:p>
            <w:pPr>
              <w:ind w:left="160"/>
              <w:spacing w:after="0"/>
              <w:rPr>
                <w:sz w:val="20"/>
                <w:szCs w:val="20"/>
                <w:color w:val="auto"/>
              </w:rPr>
            </w:pPr>
            <w:r>
              <w:rPr>
                <w:rFonts w:ascii="Arial" w:cs="Arial" w:eastAsia="Arial" w:hAnsi="Arial"/>
                <w:sz w:val="13"/>
                <w:szCs w:val="13"/>
                <w:color w:val="auto"/>
              </w:rPr>
              <w:t>Mathias</w:t>
            </w:r>
          </w:p>
        </w:tc>
        <w:tc>
          <w:tcPr>
            <w:tcW w:w="600" w:type="dxa"/>
            <w:vAlign w:val="bottom"/>
          </w:tcPr>
          <w:p>
            <w:pPr>
              <w:spacing w:after="0"/>
              <w:rPr>
                <w:sz w:val="7"/>
                <w:szCs w:val="7"/>
                <w:color w:val="auto"/>
              </w:rPr>
            </w:pPr>
          </w:p>
        </w:tc>
        <w:tc>
          <w:tcPr>
            <w:tcW w:w="2980" w:type="dxa"/>
            <w:vAlign w:val="bottom"/>
            <w:vMerge w:val="restart"/>
          </w:tcPr>
          <w:p>
            <w:pPr>
              <w:ind w:left="80"/>
              <w:spacing w:after="0"/>
              <w:rPr>
                <w:sz w:val="20"/>
                <w:szCs w:val="20"/>
                <w:color w:val="auto"/>
              </w:rPr>
            </w:pPr>
            <w:r>
              <w:rPr>
                <w:rFonts w:ascii="Arial" w:cs="Arial" w:eastAsia="Arial" w:hAnsi="Arial"/>
                <w:sz w:val="13"/>
                <w:szCs w:val="13"/>
                <w:color w:val="auto"/>
              </w:rPr>
              <w:t>performance linkage</w:t>
            </w: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20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68" w:lineRule="exact"/>
        <w:rPr>
          <w:sz w:val="20"/>
          <w:szCs w:val="20"/>
          <w:color w:val="auto"/>
        </w:rPr>
      </w:pPr>
    </w:p>
    <w:p>
      <w:pPr>
        <w:ind w:left="360" w:hanging="244"/>
        <w:spacing w:after="0" w:line="258" w:lineRule="auto"/>
        <w:tabs>
          <w:tab w:leader="none" w:pos="364" w:val="left"/>
        </w:tabs>
        <w:numPr>
          <w:ilvl w:val="0"/>
          <w:numId w:val="11"/>
        </w:numPr>
        <w:rPr>
          <w:rFonts w:ascii="Arial" w:cs="Arial" w:eastAsia="Arial" w:hAnsi="Arial"/>
          <w:sz w:val="13"/>
          <w:szCs w:val="13"/>
          <w:color w:val="355889"/>
        </w:rPr>
      </w:pPr>
      <w:r>
        <w:rPr>
          <w:rFonts w:ascii="Arial" w:cs="Arial" w:eastAsia="Arial" w:hAnsi="Arial"/>
          <w:sz w:val="13"/>
          <w:szCs w:val="13"/>
          <w:color w:val="auto"/>
        </w:rPr>
        <w:t>Director compensation is high relative to peers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20"/>
                <w:szCs w:val="20"/>
                <w:color w:val="auto"/>
              </w:rPr>
            </w:pPr>
            <w:r>
              <w:rPr>
                <w:rFonts w:ascii="Arial" w:cs="Arial" w:eastAsia="Arial" w:hAnsi="Arial"/>
                <w:sz w:val="13"/>
                <w:szCs w:val="13"/>
                <w:color w:val="355889"/>
              </w:rPr>
              <w:t xml:space="preserve">●   </w:t>
            </w:r>
            <w:r>
              <w:rPr>
                <w:rFonts w:ascii="Arial" w:cs="Arial" w:eastAsia="Arial" w:hAnsi="Arial"/>
                <w:sz w:val="13"/>
                <w:szCs w:val="13"/>
                <w:color w:val="000000"/>
              </w:rPr>
              <w:t>Reduced Director Compensation by</w:t>
            </w:r>
          </w:p>
        </w:tc>
        <w:tc>
          <w:tcPr>
            <w:tcW w:w="2140" w:type="dxa"/>
            <w:vAlign w:val="bottom"/>
          </w:tcPr>
          <w:p>
            <w:pPr>
              <w:spacing w:after="0"/>
              <w:rPr>
                <w:sz w:val="12"/>
                <w:szCs w:val="12"/>
                <w:color w:val="auto"/>
              </w:rPr>
            </w:pPr>
          </w:p>
        </w:tc>
        <w:tc>
          <w:tcPr>
            <w:tcW w:w="2640" w:type="dxa"/>
            <w:vAlign w:val="bottom"/>
            <w:vMerge w:val="restart"/>
          </w:tcPr>
          <w:p>
            <w:pPr>
              <w:ind w:left="320"/>
              <w:spacing w:after="0"/>
              <w:rPr>
                <w:sz w:val="20"/>
                <w:szCs w:val="20"/>
                <w:color w:val="auto"/>
              </w:rPr>
            </w:pPr>
            <w:r>
              <w:rPr>
                <w:rFonts w:ascii="Arial" w:cs="Arial" w:eastAsia="Arial" w:hAnsi="Arial"/>
                <w:sz w:val="13"/>
                <w:szCs w:val="13"/>
                <w:color w:val="355889"/>
              </w:rPr>
              <w:t xml:space="preserve">●   </w:t>
            </w:r>
            <w:r>
              <w:rPr>
                <w:rFonts w:ascii="Arial" w:cs="Arial" w:eastAsia="Arial" w:hAnsi="Arial"/>
                <w:sz w:val="13"/>
                <w:szCs w:val="13"/>
                <w:color w:val="000000"/>
              </w:rPr>
              <w:t>Improved alignment of director pay</w:t>
            </w:r>
          </w:p>
        </w:tc>
        <w:tc>
          <w:tcPr>
            <w:tcW w:w="0" w:type="dxa"/>
            <w:vAlign w:val="bottom"/>
          </w:tcPr>
          <w:p>
            <w:pPr>
              <w:spacing w:after="0"/>
              <w:rPr>
                <w:sz w:val="1"/>
                <w:szCs w:val="1"/>
                <w:color w:val="auto"/>
              </w:rPr>
            </w:pPr>
          </w:p>
        </w:tc>
      </w:tr>
      <w:tr>
        <w:trPr>
          <w:trHeight w:val="68"/>
        </w:trPr>
        <w:tc>
          <w:tcPr>
            <w:tcW w:w="2540" w:type="dxa"/>
            <w:vAlign w:val="bottom"/>
            <w:vMerge w:val="restart"/>
          </w:tcPr>
          <w:p>
            <w:pPr>
              <w:ind w:left="240"/>
              <w:spacing w:after="0"/>
              <w:rPr>
                <w:sz w:val="20"/>
                <w:szCs w:val="20"/>
                <w:color w:val="auto"/>
              </w:rPr>
            </w:pPr>
            <w:r>
              <w:rPr>
                <w:rFonts w:ascii="Arial" w:cs="Arial" w:eastAsia="Arial" w:hAnsi="Arial"/>
                <w:sz w:val="13"/>
                <w:szCs w:val="13"/>
                <w:color w:val="auto"/>
              </w:rPr>
              <w:t>approx. $50,000 in 2019, and a</w:t>
            </w:r>
          </w:p>
        </w:tc>
        <w:tc>
          <w:tcPr>
            <w:tcW w:w="2140" w:type="dxa"/>
            <w:vAlign w:val="bottom"/>
            <w:vMerge w:val="restart"/>
          </w:tcPr>
          <w:p>
            <w:pPr>
              <w:ind w:left="180"/>
              <w:spacing w:after="0"/>
              <w:rPr>
                <w:sz w:val="20"/>
                <w:szCs w:val="20"/>
                <w:color w:val="auto"/>
              </w:rPr>
            </w:pPr>
            <w:r>
              <w:rPr>
                <w:rFonts w:ascii="Arial" w:cs="Arial" w:eastAsia="Arial" w:hAnsi="Arial"/>
                <w:sz w:val="13"/>
                <w:szCs w:val="13"/>
                <w:color w:val="auto"/>
              </w:rPr>
              <w:t>All Non-Executive Directors</w:t>
            </w:r>
          </w:p>
        </w:tc>
        <w:tc>
          <w:tcPr>
            <w:tcW w:w="2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40" w:type="dxa"/>
            <w:vAlign w:val="bottom"/>
            <w:vMerge w:val="continue"/>
          </w:tcPr>
          <w:p>
            <w:pPr>
              <w:spacing w:after="0"/>
              <w:rPr>
                <w:sz w:val="7"/>
                <w:szCs w:val="7"/>
                <w:color w:val="auto"/>
              </w:rPr>
            </w:pPr>
          </w:p>
        </w:tc>
        <w:tc>
          <w:tcPr>
            <w:tcW w:w="2140" w:type="dxa"/>
            <w:vAlign w:val="bottom"/>
            <w:vMerge w:val="continue"/>
          </w:tcPr>
          <w:p>
            <w:pPr>
              <w:spacing w:after="0"/>
              <w:rPr>
                <w:sz w:val="7"/>
                <w:szCs w:val="7"/>
                <w:color w:val="auto"/>
              </w:rPr>
            </w:pPr>
          </w:p>
        </w:tc>
        <w:tc>
          <w:tcPr>
            <w:tcW w:w="2640" w:type="dxa"/>
            <w:vAlign w:val="bottom"/>
            <w:vMerge w:val="restart"/>
          </w:tcPr>
          <w:p>
            <w:pPr>
              <w:ind w:left="560"/>
              <w:spacing w:after="0"/>
              <w:rPr>
                <w:sz w:val="20"/>
                <w:szCs w:val="20"/>
                <w:color w:val="auto"/>
              </w:rPr>
            </w:pPr>
            <w:r>
              <w:rPr>
                <w:rFonts w:ascii="Arial" w:cs="Arial" w:eastAsia="Arial" w:hAnsi="Arial"/>
                <w:sz w:val="13"/>
                <w:szCs w:val="13"/>
                <w:color w:val="auto"/>
              </w:rPr>
              <w:t>relative to peers</w:t>
            </w:r>
          </w:p>
        </w:tc>
        <w:tc>
          <w:tcPr>
            <w:tcW w:w="0" w:type="dxa"/>
            <w:vAlign w:val="bottom"/>
          </w:tcPr>
          <w:p>
            <w:pPr>
              <w:spacing w:after="0"/>
              <w:rPr>
                <w:sz w:val="1"/>
                <w:szCs w:val="1"/>
                <w:color w:val="auto"/>
              </w:rPr>
            </w:pPr>
          </w:p>
        </w:tc>
      </w:tr>
      <w:tr>
        <w:trPr>
          <w:trHeight w:val="81"/>
        </w:trPr>
        <w:tc>
          <w:tcPr>
            <w:tcW w:w="2540" w:type="dxa"/>
            <w:vAlign w:val="bottom"/>
            <w:vMerge w:val="restart"/>
          </w:tcPr>
          <w:p>
            <w:pPr>
              <w:ind w:left="240"/>
              <w:spacing w:after="0"/>
              <w:rPr>
                <w:sz w:val="20"/>
                <w:szCs w:val="20"/>
                <w:color w:val="auto"/>
              </w:rPr>
            </w:pPr>
            <w:r>
              <w:rPr>
                <w:rFonts w:ascii="Arial" w:cs="Arial" w:eastAsia="Arial" w:hAnsi="Arial"/>
                <w:sz w:val="13"/>
                <w:szCs w:val="13"/>
                <w:color w:val="auto"/>
              </w:rPr>
              <w:t>further $15,000 in 2020</w:t>
            </w:r>
          </w:p>
        </w:tc>
        <w:tc>
          <w:tcPr>
            <w:tcW w:w="214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4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2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760" w:space="340"/>
            <w:col w:w="8140"/>
          </w:cols>
          <w:pgMar w:left="320" w:top="121" w:right="339" w:bottom="1440" w:gutter="0" w:footer="0" w:header="0"/>
          <w:type w:val="continuous"/>
        </w:sectPr>
      </w:pPr>
    </w:p>
    <w:p>
      <w:pPr>
        <w:spacing w:after="0" w:line="60"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6"/>
          <w:szCs w:val="16"/>
          <w:color w:val="3558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2020 PROXY STATEMENT HIGHLIGHTS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355889"/>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459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45995" cy="17145"/>
                    </a:xfrm>
                    <a:prstGeom prst="rect">
                      <a:avLst/>
                    </a:prstGeom>
                    <a:noFill/>
                  </pic:spPr>
                </pic:pic>
              </a:graphicData>
            </a:graphic>
          </wp:anchor>
        </w:drawing>
      </w:r>
    </w:p>
    <w:p>
      <w:pPr>
        <w:spacing w:after="0" w:line="7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Our Board has a diversity of knowledge, skills and education, as well as diversity of age, gender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62635" cy="771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263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355889"/>
        </w:rPr>
        <w:t xml:space="preserve">33% </w:t>
      </w:r>
      <w:r>
        <w:rPr>
          <w:rFonts w:ascii="Arial" w:cs="Arial" w:eastAsia="Arial" w:hAnsi="Arial"/>
          <w:sz w:val="18"/>
          <w:szCs w:val="18"/>
          <w:color w:val="000000"/>
        </w:rPr>
        <w:t>of our independent Board members are</w:t>
      </w:r>
      <w:r>
        <w:rPr>
          <w:rFonts w:ascii="Arial" w:cs="Arial" w:eastAsia="Arial" w:hAnsi="Arial"/>
          <w:sz w:val="18"/>
          <w:szCs w:val="18"/>
          <w:b w:val="1"/>
          <w:bCs w:val="1"/>
          <w:color w:val="355889"/>
        </w:rPr>
        <w:t xml:space="preserve"> </w:t>
      </w:r>
      <w:r>
        <w:rPr>
          <w:rFonts w:ascii="Arial" w:cs="Arial" w:eastAsia="Arial" w:hAnsi="Arial"/>
          <w:sz w:val="18"/>
          <w:szCs w:val="18"/>
          <w:color w:val="000000"/>
        </w:rPr>
        <w:t>women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355889"/>
        </w:rPr>
        <w:t>Board Refreshment</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355889"/>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230568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05685" cy="17145"/>
                    </a:xfrm>
                    <a:prstGeom prst="rect">
                      <a:avLst/>
                    </a:prstGeom>
                    <a:noFill/>
                  </pic:spPr>
                </pic:pic>
              </a:graphicData>
            </a:graphic>
          </wp:anchor>
        </w:drawing>
      </w:r>
    </w:p>
    <w:p>
      <w:pPr>
        <w:spacing w:after="0" w:line="7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Board members have broad experience serving on public boards in industries relevant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275590</wp:posOffset>
            </wp:positionV>
            <wp:extent cx="1080135" cy="754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8013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355889"/>
        </w:rPr>
        <w:t xml:space="preserve">67% </w:t>
      </w:r>
      <w:r>
        <w:rPr>
          <w:rFonts w:ascii="Arial" w:cs="Arial" w:eastAsia="Arial" w:hAnsi="Arial"/>
          <w:sz w:val="18"/>
          <w:szCs w:val="18"/>
          <w:color w:val="000000"/>
        </w:rPr>
        <w:t>of our Board currently serve or have</w:t>
      </w:r>
      <w:r>
        <w:rPr>
          <w:rFonts w:ascii="Arial" w:cs="Arial" w:eastAsia="Arial" w:hAnsi="Arial"/>
          <w:sz w:val="18"/>
          <w:szCs w:val="18"/>
          <w:b w:val="1"/>
          <w:bCs w:val="1"/>
          <w:color w:val="355889"/>
        </w:rPr>
        <w:t xml:space="preserve"> </w:t>
      </w:r>
      <w:r>
        <w:rPr>
          <w:rFonts w:ascii="Arial" w:cs="Arial" w:eastAsia="Arial" w:hAnsi="Arial"/>
          <w:sz w:val="18"/>
          <w:szCs w:val="18"/>
          <w:color w:val="000000"/>
        </w:rPr>
        <w:t>served on the Boards of other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306070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355889"/>
        </w:rPr>
        <w:t>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223710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37105" cy="17145"/>
                    </a:xfrm>
                    <a:prstGeom prst="rect">
                      <a:avLst/>
                    </a:prstGeom>
                    <a:noFill/>
                  </pic:spPr>
                </pic:pic>
              </a:graphicData>
            </a:graphic>
          </wp:anchor>
        </w:drawing>
      </w:r>
    </w:p>
    <w:p>
      <w:pPr>
        <w:spacing w:after="0" w:line="7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Our Board members have strong corporate leadership backgrounds such as being a CEO, CFO or holding other Executive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37235" cy="7543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723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b w:val="1"/>
          <w:bCs w:val="1"/>
          <w:color w:val="355889"/>
        </w:rPr>
        <w:t xml:space="preserve">100% </w:t>
      </w:r>
      <w:r>
        <w:rPr>
          <w:rFonts w:ascii="Arial" w:cs="Arial" w:eastAsia="Arial" w:hAnsi="Arial"/>
          <w:sz w:val="18"/>
          <w:szCs w:val="18"/>
          <w:color w:val="000000"/>
        </w:rPr>
        <w:t>of our Board currently serve or have</w:t>
      </w:r>
      <w:r>
        <w:rPr>
          <w:rFonts w:ascii="Arial" w:cs="Arial" w:eastAsia="Arial" w:hAnsi="Arial"/>
          <w:sz w:val="18"/>
          <w:szCs w:val="18"/>
          <w:b w:val="1"/>
          <w:bCs w:val="1"/>
          <w:color w:val="355889"/>
        </w:rPr>
        <w:t xml:space="preserve"> </w:t>
      </w:r>
      <w:r>
        <w:rPr>
          <w:rFonts w:ascii="Arial" w:cs="Arial" w:eastAsia="Arial" w:hAnsi="Arial"/>
          <w:sz w:val="18"/>
          <w:szCs w:val="18"/>
          <w:color w:val="000000"/>
        </w:rPr>
        <w:t>served as CEO or in senior leadership positions</w:t>
      </w:r>
    </w:p>
    <w:p>
      <w:pPr>
        <w:spacing w:after="0" w:line="557" w:lineRule="exact"/>
        <w:rPr>
          <w:sz w:val="20"/>
          <w:szCs w:val="20"/>
          <w:color w:val="auto"/>
        </w:rPr>
      </w:pPr>
    </w:p>
    <w:p>
      <w:pPr>
        <w:sectPr>
          <w:pgSz w:w="11900" w:h="16838" w:orient="portrait"/>
          <w:cols w:equalWidth="0" w:num="3">
            <w:col w:w="3480" w:space="340"/>
            <w:col w:w="3560" w:space="340"/>
            <w:col w:w="3520"/>
          </w:cols>
          <w:pgMar w:left="320" w:top="121" w:right="339" w:bottom="1440" w:gutter="0" w:footer="0" w:header="0"/>
          <w:type w:val="continuous"/>
        </w:sectPr>
      </w:pPr>
    </w:p>
    <w:p>
      <w:pPr>
        <w:ind w:left="3820"/>
        <w:spacing w:after="0"/>
        <w:rPr>
          <w:sz w:val="20"/>
          <w:szCs w:val="20"/>
          <w:color w:val="auto"/>
        </w:rPr>
      </w:pPr>
      <w:r>
        <w:rPr>
          <w:rFonts w:ascii="Arial" w:cs="Arial" w:eastAsia="Arial" w:hAnsi="Arial"/>
          <w:sz w:val="18"/>
          <w:szCs w:val="18"/>
          <w:b w:val="1"/>
          <w:bCs w:val="1"/>
          <w:color w:val="auto"/>
        </w:rPr>
        <w:t>Chairman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362710" cy="4718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62710" cy="471805"/>
                    </a:xfrm>
                    <a:prstGeom prst="rect">
                      <a:avLst/>
                    </a:prstGeom>
                    <a:noFill/>
                  </pic:spPr>
                </pic:pic>
              </a:graphicData>
            </a:graphic>
          </wp:anchor>
        </w:drawing>
      </w:r>
    </w:p>
    <w:p>
      <w:pPr>
        <w:spacing w:after="0" w:line="192" w:lineRule="exact"/>
        <w:rPr>
          <w:sz w:val="20"/>
          <w:szCs w:val="20"/>
          <w:color w:val="auto"/>
        </w:rPr>
      </w:pPr>
    </w:p>
    <w:p>
      <w:pPr>
        <w:ind w:left="3820"/>
        <w:spacing w:after="0" w:line="239" w:lineRule="auto"/>
        <w:rPr>
          <w:sz w:val="20"/>
          <w:szCs w:val="20"/>
          <w:color w:val="auto"/>
        </w:rPr>
      </w:pPr>
      <w:r>
        <w:rPr>
          <w:rFonts w:ascii="Arial" w:cs="Arial" w:eastAsia="Arial" w:hAnsi="Arial"/>
          <w:sz w:val="18"/>
          <w:szCs w:val="18"/>
          <w:b w:val="1"/>
          <w:bCs w:val="1"/>
          <w:color w:val="auto"/>
        </w:rPr>
        <w:t xml:space="preserve">In January 2019, </w:t>
      </w:r>
      <w:r>
        <w:rPr>
          <w:rFonts w:ascii="Arial" w:cs="Arial" w:eastAsia="Arial" w:hAnsi="Arial"/>
          <w:sz w:val="18"/>
          <w:szCs w:val="18"/>
          <w:b w:val="1"/>
          <w:bCs w:val="1"/>
          <w:color w:val="355889"/>
        </w:rPr>
        <w:t>Stephen L. Green</w:t>
      </w:r>
      <w:r>
        <w:rPr>
          <w:rFonts w:ascii="Arial" w:cs="Arial" w:eastAsia="Arial" w:hAnsi="Arial"/>
          <w:sz w:val="18"/>
          <w:szCs w:val="18"/>
          <w:b w:val="1"/>
          <w:bCs w:val="1"/>
          <w:color w:val="auto"/>
        </w:rPr>
        <w:t xml:space="preserve"> stepped down as Chairman of the Board and transitioned into the role of Chairman Emeritus, and </w:t>
      </w:r>
      <w:r>
        <w:rPr>
          <w:rFonts w:ascii="Arial" w:cs="Arial" w:eastAsia="Arial" w:hAnsi="Arial"/>
          <w:sz w:val="18"/>
          <w:szCs w:val="18"/>
          <w:b w:val="1"/>
          <w:bCs w:val="1"/>
          <w:color w:val="355889"/>
        </w:rPr>
        <w:t>Marc Holliday</w:t>
      </w:r>
      <w:r>
        <w:rPr>
          <w:rFonts w:ascii="Arial" w:cs="Arial" w:eastAsia="Arial" w:hAnsi="Arial"/>
          <w:sz w:val="18"/>
          <w:szCs w:val="18"/>
          <w:b w:val="1"/>
          <w:bCs w:val="1"/>
          <w:color w:val="auto"/>
        </w:rPr>
        <w:t xml:space="preserve"> was appointed to succeed </w:t>
      </w:r>
      <w:r>
        <w:rPr>
          <w:rFonts w:ascii="Arial" w:cs="Arial" w:eastAsia="Arial" w:hAnsi="Arial"/>
          <w:sz w:val="18"/>
          <w:szCs w:val="18"/>
          <w:b w:val="1"/>
          <w:bCs w:val="1"/>
          <w:color w:val="355889"/>
        </w:rPr>
        <w:t>Mr. Green</w:t>
      </w:r>
      <w:r>
        <w:rPr>
          <w:rFonts w:ascii="Arial" w:cs="Arial" w:eastAsia="Arial" w:hAnsi="Arial"/>
          <w:sz w:val="18"/>
          <w:szCs w:val="18"/>
          <w:b w:val="1"/>
          <w:bCs w:val="1"/>
          <w:color w:val="auto"/>
        </w:rPr>
        <w:t xml:space="preserve"> as our Chairman in addition to serving as our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Committee chair rotations:</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18"/>
          <w:szCs w:val="18"/>
          <w:b w:val="1"/>
          <w:bCs w:val="1"/>
          <w:color w:val="auto"/>
        </w:rPr>
        <w:t xml:space="preserve">In February 2018, </w:t>
      </w:r>
      <w:r>
        <w:rPr>
          <w:rFonts w:ascii="Arial" w:cs="Arial" w:eastAsia="Arial" w:hAnsi="Arial"/>
          <w:sz w:val="18"/>
          <w:szCs w:val="18"/>
          <w:b w:val="1"/>
          <w:bCs w:val="1"/>
          <w:color w:val="355889"/>
        </w:rPr>
        <w:t>Lauren Dillard</w:t>
      </w:r>
      <w:r>
        <w:rPr>
          <w:rFonts w:ascii="Arial" w:cs="Arial" w:eastAsia="Arial" w:hAnsi="Arial"/>
          <w:sz w:val="18"/>
          <w:szCs w:val="18"/>
          <w:b w:val="1"/>
          <w:bCs w:val="1"/>
          <w:color w:val="auto"/>
        </w:rPr>
        <w:t xml:space="preserve"> replaced </w:t>
      </w:r>
      <w:r>
        <w:rPr>
          <w:rFonts w:ascii="Arial" w:cs="Arial" w:eastAsia="Arial" w:hAnsi="Arial"/>
          <w:sz w:val="18"/>
          <w:szCs w:val="18"/>
          <w:b w:val="1"/>
          <w:bCs w:val="1"/>
          <w:color w:val="355889"/>
        </w:rPr>
        <w:t xml:space="preserve">John Alschuler </w:t>
      </w:r>
      <w:r>
        <w:rPr>
          <w:rFonts w:ascii="Arial" w:cs="Arial" w:eastAsia="Arial" w:hAnsi="Arial"/>
          <w:sz w:val="18"/>
          <w:szCs w:val="18"/>
          <w:b w:val="1"/>
          <w:bCs w:val="1"/>
          <w:color w:val="000000"/>
        </w:rPr>
        <w:t>as chair of our</w:t>
      </w:r>
      <w:r>
        <w:rPr>
          <w:rFonts w:ascii="Arial" w:cs="Arial" w:eastAsia="Arial" w:hAnsi="Arial"/>
          <w:sz w:val="18"/>
          <w:szCs w:val="18"/>
          <w:b w:val="1"/>
          <w:bCs w:val="1"/>
          <w:color w:val="355889"/>
        </w:rPr>
        <w:t xml:space="preserve"> </w:t>
      </w:r>
      <w:r>
        <w:rPr>
          <w:rFonts w:ascii="Arial" w:cs="Arial" w:eastAsia="Arial" w:hAnsi="Arial"/>
          <w:sz w:val="18"/>
          <w:szCs w:val="18"/>
          <w:b w:val="1"/>
          <w:bCs w:val="1"/>
          <w:color w:val="000000"/>
        </w:rPr>
        <w:t xml:space="preserve">Compensation Committee In March 2018, </w:t>
      </w:r>
      <w:r>
        <w:rPr>
          <w:rFonts w:ascii="Arial" w:cs="Arial" w:eastAsia="Arial" w:hAnsi="Arial"/>
          <w:sz w:val="18"/>
          <w:szCs w:val="18"/>
          <w:b w:val="1"/>
          <w:bCs w:val="1"/>
          <w:color w:val="355889"/>
        </w:rPr>
        <w:t xml:space="preserve">Craig Hatkoff </w:t>
      </w:r>
      <w:r>
        <w:rPr>
          <w:rFonts w:ascii="Arial" w:cs="Arial" w:eastAsia="Arial" w:hAnsi="Arial"/>
          <w:sz w:val="18"/>
          <w:szCs w:val="18"/>
          <w:b w:val="1"/>
          <w:bCs w:val="1"/>
          <w:color w:val="000000"/>
        </w:rPr>
        <w:t>replaced</w:t>
      </w:r>
      <w:r>
        <w:rPr>
          <w:rFonts w:ascii="Arial" w:cs="Arial" w:eastAsia="Arial" w:hAnsi="Arial"/>
          <w:sz w:val="18"/>
          <w:szCs w:val="18"/>
          <w:b w:val="1"/>
          <w:bCs w:val="1"/>
          <w:color w:val="355889"/>
        </w:rPr>
        <w:t xml:space="preserve"> John S. Levy </w:t>
      </w:r>
      <w:r>
        <w:rPr>
          <w:rFonts w:ascii="Arial" w:cs="Arial" w:eastAsia="Arial" w:hAnsi="Arial"/>
          <w:sz w:val="18"/>
          <w:szCs w:val="18"/>
          <w:b w:val="1"/>
          <w:bCs w:val="1"/>
          <w:color w:val="000000"/>
        </w:rPr>
        <w:t>as</w:t>
      </w:r>
      <w:r>
        <w:rPr>
          <w:rFonts w:ascii="Arial" w:cs="Arial" w:eastAsia="Arial" w:hAnsi="Arial"/>
          <w:sz w:val="18"/>
          <w:szCs w:val="18"/>
          <w:b w:val="1"/>
          <w:bCs w:val="1"/>
          <w:color w:val="355889"/>
        </w:rPr>
        <w:t xml:space="preserve"> </w:t>
      </w:r>
      <w:r>
        <w:rPr>
          <w:rFonts w:ascii="Arial" w:cs="Arial" w:eastAsia="Arial" w:hAnsi="Arial"/>
          <w:sz w:val="18"/>
          <w:szCs w:val="18"/>
          <w:b w:val="1"/>
          <w:bCs w:val="1"/>
          <w:color w:val="000000"/>
        </w:rPr>
        <w:t>chair of our Nominating and Corporate Governance Committee</w:t>
      </w:r>
    </w:p>
    <w:p>
      <w:pPr>
        <w:spacing w:after="0" w:line="400" w:lineRule="exact"/>
        <w:rPr>
          <w:sz w:val="20"/>
          <w:szCs w:val="20"/>
          <w:color w:val="auto"/>
        </w:rPr>
      </w:pPr>
    </w:p>
    <w:p>
      <w:pPr>
        <w:sectPr>
          <w:pgSz w:w="11900" w:h="16838" w:orient="portrait"/>
          <w:cols w:equalWidth="0" w:num="2">
            <w:col w:w="7440" w:space="280"/>
            <w:col w:w="3520"/>
          </w:cols>
          <w:pgMar w:left="320" w:top="121" w:right="3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355889"/>
        </w:rPr>
        <w:t>Stockholder Amendments to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668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668655"/>
                    </a:xfrm>
                    <a:prstGeom prst="rect">
                      <a:avLst/>
                    </a:prstGeom>
                    <a:noFill/>
                  </pic:spPr>
                </pic:pic>
              </a:graphicData>
            </a:graphic>
          </wp:anchor>
        </w:drawing>
      </w:r>
    </w:p>
    <w:p>
      <w:pPr>
        <w:spacing w:after="0" w:line="367" w:lineRule="exact"/>
        <w:rPr>
          <w:sz w:val="20"/>
          <w:szCs w:val="20"/>
          <w:color w:val="auto"/>
        </w:rPr>
      </w:pPr>
    </w:p>
    <w:p>
      <w:pPr>
        <w:ind w:left="1320" w:right="40"/>
        <w:spacing w:after="0" w:line="264" w:lineRule="auto"/>
        <w:rPr>
          <w:sz w:val="20"/>
          <w:szCs w:val="20"/>
          <w:color w:val="auto"/>
        </w:rPr>
      </w:pPr>
      <w:r>
        <w:rPr>
          <w:rFonts w:ascii="Arial" w:cs="Arial" w:eastAsia="Arial" w:hAnsi="Arial"/>
          <w:sz w:val="18"/>
          <w:szCs w:val="18"/>
          <w:b w:val="1"/>
          <w:bCs w:val="1"/>
          <w:color w:val="auto"/>
        </w:rPr>
        <w:t xml:space="preserve">In December 2018, we amended our bylaws to </w:t>
      </w:r>
      <w:r>
        <w:rPr>
          <w:rFonts w:ascii="Arial" w:cs="Arial" w:eastAsia="Arial" w:hAnsi="Arial"/>
          <w:sz w:val="18"/>
          <w:szCs w:val="18"/>
          <w:b w:val="1"/>
          <w:bCs w:val="1"/>
          <w:color w:val="355889"/>
        </w:rPr>
        <w:t>permit our stockholders to amend our bylaws</w:t>
      </w:r>
      <w:r>
        <w:rPr>
          <w:rFonts w:ascii="Arial" w:cs="Arial" w:eastAsia="Arial" w:hAnsi="Arial"/>
          <w:sz w:val="18"/>
          <w:szCs w:val="18"/>
          <w:b w:val="1"/>
          <w:bCs w:val="1"/>
          <w:color w:val="auto"/>
        </w:rPr>
        <w:t xml:space="preserve"> by a majority vote without any ownership or holding period limitations.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355889"/>
        </w:rPr>
        <w:t>Declassified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651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354" w:lineRule="exact"/>
        <w:rPr>
          <w:sz w:val="20"/>
          <w:szCs w:val="20"/>
          <w:color w:val="auto"/>
        </w:rPr>
      </w:pPr>
    </w:p>
    <w:p>
      <w:pPr>
        <w:ind w:left="1320" w:right="440"/>
        <w:spacing w:after="0" w:line="264" w:lineRule="auto"/>
        <w:rPr>
          <w:sz w:val="20"/>
          <w:szCs w:val="20"/>
          <w:color w:val="auto"/>
        </w:rPr>
      </w:pPr>
      <w:r>
        <w:rPr>
          <w:rFonts w:ascii="Arial" w:cs="Arial" w:eastAsia="Arial" w:hAnsi="Arial"/>
          <w:sz w:val="18"/>
          <w:szCs w:val="18"/>
          <w:b w:val="1"/>
          <w:bCs w:val="1"/>
          <w:color w:val="auto"/>
        </w:rPr>
        <w:t>Our directors are now elected for one-year terms following stockholder approval of our proposal to declassify our Board. Starting with this year’s annual meeting, our Board of Directors will be annually elected.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355889"/>
        </w:rPr>
        <w:t>Proxy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-847725</wp:posOffset>
            </wp:positionV>
            <wp:extent cx="840105" cy="5911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40105" cy="59118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 xml:space="preserve">(or a group of up to </w:t>
      </w:r>
      <w:r>
        <w:rPr>
          <w:rFonts w:ascii="Arial" w:cs="Arial" w:eastAsia="Arial" w:hAnsi="Arial"/>
          <w:sz w:val="16"/>
          <w:szCs w:val="16"/>
          <w:b w:val="1"/>
          <w:bCs w:val="1"/>
          <w:color w:val="355889"/>
        </w:rPr>
        <w:t>20 stockholders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29"/>
          <w:szCs w:val="29"/>
          <w:b w:val="1"/>
          <w:bCs w:val="1"/>
          <w:color w:val="355889"/>
        </w:rPr>
        <w:t>3% / 3-years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Owning 3% or more of our outstanding common stock continuously for at least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646430</wp:posOffset>
            </wp:positionV>
            <wp:extent cx="71532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29"/>
          <w:szCs w:val="29"/>
          <w:b w:val="1"/>
          <w:bCs w:val="1"/>
          <w:color w:val="355889"/>
        </w:rPr>
        <w:t>2 candidates / 20%</w:t>
      </w:r>
    </w:p>
    <w:p>
      <w:pPr>
        <w:spacing w:after="0" w:line="24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b w:val="1"/>
          <w:bCs w:val="1"/>
          <w:color w:val="auto"/>
        </w:rPr>
        <w:t>Can nominate and include in our proxy materials director candidates constituting up to the greater of two individuals or 20% of the Board, if the nominee(s) satisfy the requirements specified in our bylaws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5</w:t>
      </w:r>
    </w:p>
    <w:p>
      <w:pPr>
        <w:sectPr>
          <w:pgSz w:w="11900" w:h="16838" w:orient="portrait"/>
          <w:cols w:equalWidth="0" w:num="3">
            <w:col w:w="3120" w:space="720"/>
            <w:col w:w="3320" w:space="520"/>
            <w:col w:w="3560"/>
          </w:cols>
          <w:pgMar w:left="320" w:top="121"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2020 PROXY STATEMENT HIGHLIGHTS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ESG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are committed to corporate social responsibility initiatives that deliver efficiency, value and health for our business, tenants and community. Our environmental, social and corporate governance (“ESG”) platform, which has executive-level participation and is overseen by the Board of Directors, is integrated throughout all departments of our company, supporting effective risk-management practices that influence our strategic decision making. The result is industry-leading performance achieved across top ESG rating frameworks, clear and robust environmental goals, and a strong corporate culture. Highlights of these initiatives are set forth below. Our Global Reporting Initiative (“GRI”) adherent sustainability reports and other information relating to these initiatives are available on our website at http://www.slgreen.com/sustainability.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22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2275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55889"/>
        </w:rPr>
        <w:t>Industry Leading ESG Recognition</w:t>
      </w:r>
    </w:p>
    <w:p>
      <w:pPr>
        <w:spacing w:after="0" w:line="104" w:lineRule="exact"/>
        <w:rPr>
          <w:sz w:val="20"/>
          <w:szCs w:val="20"/>
          <w:color w:val="auto"/>
        </w:rPr>
      </w:pPr>
    </w:p>
    <w:p>
      <w:pPr>
        <w:ind w:left="1640" w:hanging="232"/>
        <w:spacing w:after="0"/>
        <w:tabs>
          <w:tab w:leader="none" w:pos="1640" w:val="left"/>
        </w:tabs>
        <w:numPr>
          <w:ilvl w:val="0"/>
          <w:numId w:val="13"/>
        </w:numPr>
        <w:rPr>
          <w:rFonts w:ascii="Arial" w:cs="Arial" w:eastAsia="Arial" w:hAnsi="Arial"/>
          <w:sz w:val="17"/>
          <w:szCs w:val="17"/>
          <w:color w:val="FFFFFF"/>
        </w:rPr>
      </w:pPr>
      <w:r>
        <w:rPr>
          <w:rFonts w:ascii="Arial" w:cs="Arial" w:eastAsia="Arial" w:hAnsi="Arial"/>
          <w:sz w:val="18"/>
          <w:szCs w:val="18"/>
          <w:b w:val="1"/>
          <w:bCs w:val="1"/>
          <w:color w:val="FFFFFF"/>
        </w:rPr>
        <w:t>Bloomberg ESG Disclosure score is the highest score for all companies in the REITs-Office Property sector</w:t>
      </w:r>
    </w:p>
    <w:p>
      <w:pPr>
        <w:spacing w:after="0" w:line="25" w:lineRule="exact"/>
        <w:rPr>
          <w:rFonts w:ascii="Arial" w:cs="Arial" w:eastAsia="Arial" w:hAnsi="Arial"/>
          <w:sz w:val="17"/>
          <w:szCs w:val="17"/>
          <w:color w:val="FFFFFF"/>
        </w:rPr>
      </w:pPr>
    </w:p>
    <w:p>
      <w:pPr>
        <w:ind w:left="1640" w:hanging="232"/>
        <w:spacing w:after="0"/>
        <w:tabs>
          <w:tab w:leader="none" w:pos="1640" w:val="left"/>
        </w:tabs>
        <w:numPr>
          <w:ilvl w:val="0"/>
          <w:numId w:val="13"/>
        </w:numPr>
        <w:rPr>
          <w:rFonts w:ascii="Arial" w:cs="Arial" w:eastAsia="Arial" w:hAnsi="Arial"/>
          <w:sz w:val="17"/>
          <w:szCs w:val="17"/>
          <w:color w:val="FFFFFF"/>
        </w:rPr>
      </w:pPr>
      <w:r>
        <w:rPr>
          <w:rFonts w:ascii="Arial" w:cs="Arial" w:eastAsia="Arial" w:hAnsi="Arial"/>
          <w:sz w:val="18"/>
          <w:szCs w:val="18"/>
          <w:b w:val="1"/>
          <w:bCs w:val="1"/>
          <w:color w:val="FFFFFF"/>
        </w:rPr>
        <w:t>Thomson Reuters ESG score of “A” is within the top 10 percentile of Residential &amp; Commercial REITs (2019)</w:t>
      </w:r>
    </w:p>
    <w:p>
      <w:pPr>
        <w:spacing w:after="0" w:line="9" w:lineRule="exact"/>
        <w:rPr>
          <w:rFonts w:ascii="Arial" w:cs="Arial" w:eastAsia="Arial" w:hAnsi="Arial"/>
          <w:sz w:val="17"/>
          <w:szCs w:val="17"/>
          <w:color w:val="FFFFFF"/>
        </w:rPr>
      </w:pPr>
    </w:p>
    <w:p>
      <w:pPr>
        <w:ind w:left="1640" w:hanging="232"/>
        <w:spacing w:after="0"/>
        <w:tabs>
          <w:tab w:leader="none" w:pos="1640" w:val="left"/>
        </w:tabs>
        <w:numPr>
          <w:ilvl w:val="0"/>
          <w:numId w:val="13"/>
        </w:numPr>
        <w:rPr>
          <w:rFonts w:ascii="Arial" w:cs="Arial" w:eastAsia="Arial" w:hAnsi="Arial"/>
          <w:sz w:val="17"/>
          <w:szCs w:val="17"/>
          <w:color w:val="FFFFFF"/>
        </w:rPr>
      </w:pPr>
      <w:r>
        <w:rPr>
          <w:rFonts w:ascii="Arial" w:cs="Arial" w:eastAsia="Arial" w:hAnsi="Arial"/>
          <w:sz w:val="18"/>
          <w:szCs w:val="18"/>
          <w:b w:val="1"/>
          <w:bCs w:val="1"/>
          <w:color w:val="FFFFFF"/>
        </w:rPr>
        <w:t>ENERGY STAR Partner of the Year – Sustained Excellence (2018, 2019, 2020)</w:t>
      </w:r>
    </w:p>
    <w:p>
      <w:pPr>
        <w:spacing w:after="0" w:line="9" w:lineRule="exact"/>
        <w:rPr>
          <w:rFonts w:ascii="Arial" w:cs="Arial" w:eastAsia="Arial" w:hAnsi="Arial"/>
          <w:sz w:val="17"/>
          <w:szCs w:val="17"/>
          <w:color w:val="FFFFFF"/>
        </w:rPr>
      </w:pPr>
    </w:p>
    <w:p>
      <w:pPr>
        <w:ind w:left="1640" w:hanging="232"/>
        <w:spacing w:after="0"/>
        <w:tabs>
          <w:tab w:leader="none" w:pos="1640" w:val="left"/>
        </w:tabs>
        <w:numPr>
          <w:ilvl w:val="0"/>
          <w:numId w:val="13"/>
        </w:numPr>
        <w:rPr>
          <w:rFonts w:ascii="Arial" w:cs="Arial" w:eastAsia="Arial" w:hAnsi="Arial"/>
          <w:sz w:val="17"/>
          <w:szCs w:val="17"/>
          <w:color w:val="FFFFFF"/>
        </w:rPr>
      </w:pPr>
      <w:r>
        <w:rPr>
          <w:rFonts w:ascii="Arial" w:cs="Arial" w:eastAsia="Arial" w:hAnsi="Arial"/>
          <w:sz w:val="18"/>
          <w:szCs w:val="18"/>
          <w:b w:val="1"/>
          <w:bCs w:val="1"/>
          <w:color w:val="FFFFFF"/>
        </w:rPr>
        <w:t>CDP's Climate Change Questionnaire score of “A-” is the highest among U.S. REITs on the S&amp;P 500 (2019)</w:t>
      </w:r>
    </w:p>
    <w:p>
      <w:pPr>
        <w:spacing w:after="0" w:line="9" w:lineRule="exact"/>
        <w:rPr>
          <w:rFonts w:ascii="Arial" w:cs="Arial" w:eastAsia="Arial" w:hAnsi="Arial"/>
          <w:sz w:val="17"/>
          <w:szCs w:val="17"/>
          <w:color w:val="FFFFFF"/>
        </w:rPr>
      </w:pPr>
    </w:p>
    <w:p>
      <w:pPr>
        <w:ind w:left="1660" w:right="380" w:hanging="252"/>
        <w:spacing w:after="0" w:line="245" w:lineRule="auto"/>
        <w:tabs>
          <w:tab w:leader="none" w:pos="1637" w:val="left"/>
        </w:tabs>
        <w:numPr>
          <w:ilvl w:val="0"/>
          <w:numId w:val="13"/>
        </w:numPr>
        <w:rPr>
          <w:rFonts w:ascii="Arial" w:cs="Arial" w:eastAsia="Arial" w:hAnsi="Arial"/>
          <w:sz w:val="17"/>
          <w:szCs w:val="17"/>
          <w:color w:val="FFFFFF"/>
        </w:rPr>
      </w:pPr>
      <w:r>
        <w:rPr>
          <w:rFonts w:ascii="Arial" w:cs="Arial" w:eastAsia="Arial" w:hAnsi="Arial"/>
          <w:sz w:val="18"/>
          <w:szCs w:val="18"/>
          <w:b w:val="1"/>
          <w:bCs w:val="1"/>
          <w:color w:val="FFFFFF"/>
        </w:rPr>
        <w:t>GRESB’s Public Disclosure Report “A” Rating (2018, 2019); GRESB Green Star designation, with a score 40% higher than the average first-time responder (2019)</w:t>
      </w:r>
    </w:p>
    <w:p>
      <w:pPr>
        <w:spacing w:after="0" w:line="1" w:lineRule="exact"/>
        <w:rPr>
          <w:rFonts w:ascii="Arial" w:cs="Arial" w:eastAsia="Arial" w:hAnsi="Arial"/>
          <w:sz w:val="17"/>
          <w:szCs w:val="17"/>
          <w:color w:val="FFFFFF"/>
        </w:rPr>
      </w:pPr>
    </w:p>
    <w:p>
      <w:pPr>
        <w:ind w:left="1640" w:hanging="232"/>
        <w:spacing w:after="0"/>
        <w:tabs>
          <w:tab w:leader="none" w:pos="1640" w:val="left"/>
        </w:tabs>
        <w:numPr>
          <w:ilvl w:val="0"/>
          <w:numId w:val="13"/>
        </w:numPr>
        <w:rPr>
          <w:rFonts w:ascii="Arial" w:cs="Arial" w:eastAsia="Arial" w:hAnsi="Arial"/>
          <w:sz w:val="17"/>
          <w:szCs w:val="17"/>
          <w:color w:val="FFFFFF"/>
        </w:rPr>
      </w:pPr>
      <w:r>
        <w:rPr>
          <w:rFonts w:ascii="Arial" w:cs="Arial" w:eastAsia="Arial" w:hAnsi="Arial"/>
          <w:sz w:val="18"/>
          <w:szCs w:val="18"/>
          <w:b w:val="1"/>
          <w:bCs w:val="1"/>
          <w:color w:val="FFFFFF"/>
        </w:rPr>
        <w:t>Sustainalytics ESG Rating “Outperformer” designation (2019)</w:t>
      </w:r>
    </w:p>
    <w:p>
      <w:pPr>
        <w:spacing w:after="0" w:line="3" w:lineRule="exact"/>
        <w:rPr>
          <w:rFonts w:ascii="Arial" w:cs="Arial" w:eastAsia="Arial" w:hAnsi="Arial"/>
          <w:sz w:val="17"/>
          <w:szCs w:val="17"/>
          <w:color w:val="FFFFFF"/>
        </w:rPr>
      </w:pPr>
    </w:p>
    <w:p>
      <w:pPr>
        <w:ind w:left="1640" w:hanging="232"/>
        <w:spacing w:after="0"/>
        <w:tabs>
          <w:tab w:leader="none" w:pos="1640" w:val="left"/>
        </w:tabs>
        <w:numPr>
          <w:ilvl w:val="0"/>
          <w:numId w:val="13"/>
        </w:numPr>
        <w:rPr>
          <w:rFonts w:ascii="Arial" w:cs="Arial" w:eastAsia="Arial" w:hAnsi="Arial"/>
          <w:sz w:val="17"/>
          <w:szCs w:val="17"/>
          <w:color w:val="FFFFFF"/>
        </w:rPr>
      </w:pPr>
      <w:r>
        <w:rPr>
          <w:rFonts w:ascii="Arial" w:cs="Arial" w:eastAsia="Arial" w:hAnsi="Arial"/>
          <w:sz w:val="18"/>
          <w:szCs w:val="18"/>
          <w:b w:val="1"/>
          <w:bCs w:val="1"/>
          <w:color w:val="FFFFFF"/>
        </w:rPr>
        <w:t>MSCI’s Environment Category Top 3 Ranking (Opportunities in Green Buildings, 2019)</w:t>
      </w:r>
    </w:p>
    <w:p>
      <w:pPr>
        <w:spacing w:after="0" w:line="9" w:lineRule="exact"/>
        <w:rPr>
          <w:rFonts w:ascii="Arial" w:cs="Arial" w:eastAsia="Arial" w:hAnsi="Arial"/>
          <w:sz w:val="17"/>
          <w:szCs w:val="17"/>
          <w:color w:val="FFFFFF"/>
        </w:rPr>
      </w:pPr>
    </w:p>
    <w:p>
      <w:pPr>
        <w:ind w:left="1660" w:right="1120" w:hanging="252"/>
        <w:spacing w:after="0" w:line="245" w:lineRule="auto"/>
        <w:tabs>
          <w:tab w:leader="none" w:pos="1637" w:val="left"/>
        </w:tabs>
        <w:numPr>
          <w:ilvl w:val="0"/>
          <w:numId w:val="13"/>
        </w:numPr>
        <w:rPr>
          <w:rFonts w:ascii="Arial" w:cs="Arial" w:eastAsia="Arial" w:hAnsi="Arial"/>
          <w:sz w:val="17"/>
          <w:szCs w:val="17"/>
          <w:color w:val="FFFFFF"/>
        </w:rPr>
      </w:pPr>
      <w:r>
        <w:rPr>
          <w:rFonts w:ascii="Arial" w:cs="Arial" w:eastAsia="Arial" w:hAnsi="Arial"/>
          <w:sz w:val="18"/>
          <w:szCs w:val="18"/>
          <w:b w:val="1"/>
          <w:bCs w:val="1"/>
          <w:color w:val="FFFFFF"/>
        </w:rPr>
        <w:t>NYC Mayor’s Office of Service “Changemaker Award” in recognition of SL Green’s volunteerism and philanthropic efforts (2018, 2019)</w:t>
      </w:r>
    </w:p>
    <w:p>
      <w:pPr>
        <w:spacing w:after="0" w:line="1" w:lineRule="exact"/>
        <w:rPr>
          <w:rFonts w:ascii="Arial" w:cs="Arial" w:eastAsia="Arial" w:hAnsi="Arial"/>
          <w:sz w:val="17"/>
          <w:szCs w:val="17"/>
          <w:color w:val="FFFFFF"/>
        </w:rPr>
      </w:pPr>
    </w:p>
    <w:p>
      <w:pPr>
        <w:ind w:left="1640" w:hanging="232"/>
        <w:spacing w:after="0"/>
        <w:tabs>
          <w:tab w:leader="none" w:pos="1640" w:val="left"/>
        </w:tabs>
        <w:numPr>
          <w:ilvl w:val="0"/>
          <w:numId w:val="13"/>
        </w:numPr>
        <w:rPr>
          <w:rFonts w:ascii="Arial" w:cs="Arial" w:eastAsia="Arial" w:hAnsi="Arial"/>
          <w:sz w:val="17"/>
          <w:szCs w:val="17"/>
          <w:color w:val="FFFFFF"/>
        </w:rPr>
      </w:pPr>
      <w:r>
        <w:rPr>
          <w:rFonts w:ascii="Arial" w:cs="Arial" w:eastAsia="Arial" w:hAnsi="Arial"/>
          <w:sz w:val="18"/>
          <w:szCs w:val="18"/>
          <w:b w:val="1"/>
          <w:bCs w:val="1"/>
          <w:color w:val="FFFFFF"/>
        </w:rPr>
        <w:t>S&amp;P 500 and S&amp;P Global 1200 ESG Index constituent</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55889"/>
        </w:rPr>
        <w:t>Environmental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2048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048510"/>
                    </a:xfrm>
                    <a:prstGeom prst="rect">
                      <a:avLst/>
                    </a:prstGeom>
                    <a:noFill/>
                  </pic:spPr>
                </pic:pic>
              </a:graphicData>
            </a:graphic>
          </wp:anchor>
        </w:drawing>
      </w:r>
    </w:p>
    <w:p>
      <w:pPr>
        <w:spacing w:after="0" w:line="30"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FFFFFF"/>
        </w:rPr>
        <w:t>Goals:</w:t>
      </w:r>
    </w:p>
    <w:p>
      <w:pPr>
        <w:spacing w:after="0" w:line="18" w:lineRule="exact"/>
        <w:rPr>
          <w:sz w:val="20"/>
          <w:szCs w:val="20"/>
          <w:color w:val="auto"/>
        </w:rPr>
      </w:pPr>
    </w:p>
    <w:p>
      <w:pPr>
        <w:ind w:left="1660" w:right="680" w:hanging="252"/>
        <w:spacing w:after="0" w:line="242" w:lineRule="auto"/>
        <w:tabs>
          <w:tab w:leader="none" w:pos="1637"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Reduce greenhouse gas emissions intensity 30% by 2025 portfolio-wide as disclosed in CDP response, in alignment with Task Force on Climate-related Financial Disclosures standards</w:t>
      </w:r>
    </w:p>
    <w:p>
      <w:pPr>
        <w:spacing w:after="0" w:line="1" w:lineRule="exact"/>
        <w:rPr>
          <w:rFonts w:ascii="Arial" w:cs="Arial" w:eastAsia="Arial" w:hAnsi="Arial"/>
          <w:sz w:val="17"/>
          <w:szCs w:val="17"/>
          <w:color w:val="FFFFFF"/>
        </w:rPr>
      </w:pPr>
    </w:p>
    <w:p>
      <w:pPr>
        <w:ind w:left="1640" w:hanging="232"/>
        <w:spacing w:after="0"/>
        <w:tabs>
          <w:tab w:leader="none" w:pos="1640"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Achieve 50% recycling rate by 2025, in line with LEED v4 threshold</w:t>
      </w:r>
    </w:p>
    <w:p>
      <w:pPr>
        <w:spacing w:after="0" w:line="3" w:lineRule="exact"/>
        <w:rPr>
          <w:rFonts w:ascii="Arial" w:cs="Arial" w:eastAsia="Arial" w:hAnsi="Arial"/>
          <w:sz w:val="17"/>
          <w:szCs w:val="17"/>
          <w:color w:val="FFFFFF"/>
        </w:rPr>
      </w:pPr>
    </w:p>
    <w:p>
      <w:pPr>
        <w:ind w:left="1400" w:right="1220" w:firstLine="8"/>
        <w:spacing w:after="0" w:line="245" w:lineRule="auto"/>
        <w:tabs>
          <w:tab w:leader="none" w:pos="1647"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Certify 50% of vendor materials with external certification to ensure responsible sourcing practices Achievements:</w:t>
      </w:r>
    </w:p>
    <w:p>
      <w:pPr>
        <w:spacing w:after="0" w:line="1" w:lineRule="exact"/>
        <w:rPr>
          <w:rFonts w:ascii="Arial" w:cs="Arial" w:eastAsia="Arial" w:hAnsi="Arial"/>
          <w:sz w:val="17"/>
          <w:szCs w:val="17"/>
          <w:color w:val="FFFFFF"/>
        </w:rPr>
      </w:pPr>
    </w:p>
    <w:p>
      <w:pPr>
        <w:ind w:left="1640" w:hanging="232"/>
        <w:spacing w:after="0"/>
        <w:tabs>
          <w:tab w:leader="none" w:pos="1640"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LEED certified 85% of fully owned and operated properties</w:t>
      </w:r>
    </w:p>
    <w:p>
      <w:pPr>
        <w:spacing w:after="0" w:line="3" w:lineRule="exact"/>
        <w:rPr>
          <w:rFonts w:ascii="Arial" w:cs="Arial" w:eastAsia="Arial" w:hAnsi="Arial"/>
          <w:sz w:val="17"/>
          <w:szCs w:val="17"/>
          <w:color w:val="FFFFFF"/>
        </w:rPr>
      </w:pPr>
    </w:p>
    <w:p>
      <w:pPr>
        <w:ind w:left="1660" w:right="720" w:hanging="252"/>
        <w:spacing w:after="0" w:line="245" w:lineRule="auto"/>
        <w:tabs>
          <w:tab w:leader="none" w:pos="1637"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ENERGY STAR labels across 10 million square feet in 2019, representing 12% of all ENERGY STAR labels achieved in Manhattan by square footage</w:t>
      </w:r>
    </w:p>
    <w:p>
      <w:pPr>
        <w:spacing w:after="0" w:line="1" w:lineRule="exact"/>
        <w:rPr>
          <w:rFonts w:ascii="Arial" w:cs="Arial" w:eastAsia="Arial" w:hAnsi="Arial"/>
          <w:sz w:val="17"/>
          <w:szCs w:val="17"/>
          <w:color w:val="FFFFFF"/>
        </w:rPr>
      </w:pPr>
    </w:p>
    <w:p>
      <w:pPr>
        <w:ind w:left="1640" w:hanging="232"/>
        <w:spacing w:after="0"/>
        <w:tabs>
          <w:tab w:leader="none" w:pos="1640"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WELL Portfolio program participation across 16 million square feet</w:t>
      </w:r>
    </w:p>
    <w:p>
      <w:pPr>
        <w:spacing w:after="0" w:line="3" w:lineRule="exact"/>
        <w:rPr>
          <w:rFonts w:ascii="Arial" w:cs="Arial" w:eastAsia="Arial" w:hAnsi="Arial"/>
          <w:sz w:val="17"/>
          <w:szCs w:val="17"/>
          <w:color w:val="FFFFFF"/>
        </w:rPr>
      </w:pPr>
    </w:p>
    <w:p>
      <w:pPr>
        <w:ind w:left="1660" w:right="100" w:hanging="252"/>
        <w:spacing w:after="0" w:line="245" w:lineRule="auto"/>
        <w:tabs>
          <w:tab w:leader="none" w:pos="1637"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One Vanderbilt, our largest active sustainable development project, expected to deliver energy performance 26% below ASHRAE 90.1-2007 baseline standard</w:t>
      </w:r>
    </w:p>
    <w:p>
      <w:pPr>
        <w:spacing w:after="0" w:line="1" w:lineRule="exact"/>
        <w:rPr>
          <w:rFonts w:ascii="Arial" w:cs="Arial" w:eastAsia="Arial" w:hAnsi="Arial"/>
          <w:sz w:val="17"/>
          <w:szCs w:val="17"/>
          <w:color w:val="FFFFFF"/>
        </w:rPr>
      </w:pPr>
    </w:p>
    <w:p>
      <w:pPr>
        <w:ind w:left="1660" w:right="540" w:hanging="252"/>
        <w:spacing w:after="0" w:line="254" w:lineRule="auto"/>
        <w:tabs>
          <w:tab w:leader="none" w:pos="1637"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LEED Manhattan portfolio fixture upgrades achieved water reduction of 30%, equivalent to 29 million gallon reduction annually</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55889"/>
        </w:rPr>
        <w:t>Social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3798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9855"/>
                    </a:xfrm>
                    <a:prstGeom prst="rect">
                      <a:avLst/>
                    </a:prstGeom>
                    <a:noFill/>
                  </pic:spPr>
                </pic:pic>
              </a:graphicData>
            </a:graphic>
          </wp:anchor>
        </w:drawing>
      </w:r>
    </w:p>
    <w:p>
      <w:pPr>
        <w:spacing w:after="0" w:line="30" w:lineRule="exact"/>
        <w:rPr>
          <w:sz w:val="20"/>
          <w:szCs w:val="20"/>
          <w:color w:val="auto"/>
        </w:rPr>
      </w:pPr>
    </w:p>
    <w:p>
      <w:pPr>
        <w:ind w:left="1660" w:right="160" w:hanging="252"/>
        <w:spacing w:after="0" w:line="255" w:lineRule="auto"/>
        <w:tabs>
          <w:tab w:leader="none" w:pos="1637" w:val="left"/>
        </w:tabs>
        <w:numPr>
          <w:ilvl w:val="0"/>
          <w:numId w:val="15"/>
        </w:numPr>
        <w:rPr>
          <w:rFonts w:ascii="Arial" w:cs="Arial" w:eastAsia="Arial" w:hAnsi="Arial"/>
          <w:sz w:val="17"/>
          <w:szCs w:val="17"/>
          <w:color w:val="FFFFFF"/>
        </w:rPr>
      </w:pPr>
      <w:r>
        <w:rPr>
          <w:rFonts w:ascii="Arial" w:cs="Arial" w:eastAsia="Arial" w:hAnsi="Arial"/>
          <w:sz w:val="18"/>
          <w:szCs w:val="18"/>
          <w:b w:val="1"/>
          <w:bCs w:val="1"/>
          <w:color w:val="FFFFFF"/>
        </w:rPr>
        <w:t>Investment in employees through funding of training programs, tuition reimbursement and continued education courses</w:t>
      </w:r>
    </w:p>
    <w:p>
      <w:pPr>
        <w:ind w:left="1660" w:right="340" w:hanging="252"/>
        <w:spacing w:after="0" w:line="242" w:lineRule="auto"/>
        <w:tabs>
          <w:tab w:leader="none" w:pos="1637" w:val="left"/>
        </w:tabs>
        <w:numPr>
          <w:ilvl w:val="0"/>
          <w:numId w:val="15"/>
        </w:numPr>
        <w:rPr>
          <w:rFonts w:ascii="Arial" w:cs="Arial" w:eastAsia="Arial" w:hAnsi="Arial"/>
          <w:sz w:val="17"/>
          <w:szCs w:val="17"/>
          <w:color w:val="FFFFFF"/>
        </w:rPr>
      </w:pPr>
      <w:r>
        <w:rPr>
          <w:rFonts w:ascii="Arial" w:cs="Arial" w:eastAsia="Arial" w:hAnsi="Arial"/>
          <w:sz w:val="18"/>
          <w:szCs w:val="18"/>
          <w:b w:val="1"/>
          <w:bCs w:val="1"/>
          <w:color w:val="FFFFFF"/>
        </w:rPr>
        <w:t>Market-leading benefits program spanning healthcare, 401(k) match, employee stock purchase plan, disability coverage, wellness and life insurance</w:t>
      </w:r>
    </w:p>
    <w:p>
      <w:pPr>
        <w:spacing w:after="0" w:line="1" w:lineRule="exact"/>
        <w:rPr>
          <w:rFonts w:ascii="Arial" w:cs="Arial" w:eastAsia="Arial" w:hAnsi="Arial"/>
          <w:sz w:val="17"/>
          <w:szCs w:val="17"/>
          <w:color w:val="FFFFFF"/>
        </w:rPr>
      </w:pPr>
    </w:p>
    <w:p>
      <w:pPr>
        <w:ind w:left="1640" w:hanging="232"/>
        <w:spacing w:after="0"/>
        <w:tabs>
          <w:tab w:leader="none" w:pos="1640" w:val="left"/>
        </w:tabs>
        <w:numPr>
          <w:ilvl w:val="0"/>
          <w:numId w:val="15"/>
        </w:numPr>
        <w:rPr>
          <w:rFonts w:ascii="Arial" w:cs="Arial" w:eastAsia="Arial" w:hAnsi="Arial"/>
          <w:sz w:val="17"/>
          <w:szCs w:val="17"/>
          <w:color w:val="FFFFFF"/>
        </w:rPr>
      </w:pPr>
      <w:r>
        <w:rPr>
          <w:rFonts w:ascii="Arial" w:cs="Arial" w:eastAsia="Arial" w:hAnsi="Arial"/>
          <w:sz w:val="18"/>
          <w:szCs w:val="18"/>
          <w:b w:val="1"/>
          <w:bCs w:val="1"/>
          <w:color w:val="FFFFFF"/>
        </w:rPr>
        <w:t>Coordination of 150 volunteering events annually, including employer-sponsored volunteer days</w:t>
      </w:r>
    </w:p>
    <w:p>
      <w:pPr>
        <w:spacing w:after="0" w:line="3" w:lineRule="exact"/>
        <w:rPr>
          <w:rFonts w:ascii="Arial" w:cs="Arial" w:eastAsia="Arial" w:hAnsi="Arial"/>
          <w:sz w:val="17"/>
          <w:szCs w:val="17"/>
          <w:color w:val="FFFFFF"/>
        </w:rPr>
      </w:pPr>
    </w:p>
    <w:p>
      <w:pPr>
        <w:ind w:left="1660" w:right="1060" w:hanging="252"/>
        <w:spacing w:after="0" w:line="245" w:lineRule="auto"/>
        <w:tabs>
          <w:tab w:leader="none" w:pos="1637" w:val="left"/>
        </w:tabs>
        <w:numPr>
          <w:ilvl w:val="0"/>
          <w:numId w:val="15"/>
        </w:numPr>
        <w:rPr>
          <w:rFonts w:ascii="Arial" w:cs="Arial" w:eastAsia="Arial" w:hAnsi="Arial"/>
          <w:sz w:val="17"/>
          <w:szCs w:val="17"/>
          <w:color w:val="FFFFFF"/>
        </w:rPr>
      </w:pPr>
      <w:r>
        <w:rPr>
          <w:rFonts w:ascii="Arial" w:cs="Arial" w:eastAsia="Arial" w:hAnsi="Arial"/>
          <w:sz w:val="18"/>
          <w:szCs w:val="18"/>
          <w:b w:val="1"/>
          <w:bCs w:val="1"/>
          <w:color w:val="FFFFFF"/>
        </w:rPr>
        <w:t>Corporate and employee contribution of $3 million across greater than 150 partner organizations and sponsorship of a charitable contribution match program</w:t>
      </w:r>
    </w:p>
    <w:p>
      <w:pPr>
        <w:spacing w:after="0" w:line="1" w:lineRule="exact"/>
        <w:rPr>
          <w:rFonts w:ascii="Arial" w:cs="Arial" w:eastAsia="Arial" w:hAnsi="Arial"/>
          <w:sz w:val="17"/>
          <w:szCs w:val="17"/>
          <w:color w:val="FFFFFF"/>
        </w:rPr>
      </w:pPr>
    </w:p>
    <w:p>
      <w:pPr>
        <w:ind w:left="1660" w:right="440" w:hanging="252"/>
        <w:spacing w:after="0" w:line="254" w:lineRule="auto"/>
        <w:tabs>
          <w:tab w:leader="none" w:pos="1637" w:val="left"/>
        </w:tabs>
        <w:numPr>
          <w:ilvl w:val="0"/>
          <w:numId w:val="15"/>
        </w:numPr>
        <w:rPr>
          <w:rFonts w:ascii="Arial" w:cs="Arial" w:eastAsia="Arial" w:hAnsi="Arial"/>
          <w:sz w:val="17"/>
          <w:szCs w:val="17"/>
          <w:color w:val="FFFFFF"/>
        </w:rPr>
      </w:pPr>
      <w:r>
        <w:rPr>
          <w:rFonts w:ascii="Arial" w:cs="Arial" w:eastAsia="Arial" w:hAnsi="Arial"/>
          <w:sz w:val="18"/>
          <w:szCs w:val="18"/>
          <w:b w:val="1"/>
          <w:bCs w:val="1"/>
          <w:color w:val="FFFFFF"/>
        </w:rPr>
        <w:t>Promotion of tenant wellness through unique “Living Green” program, under which vacant office spaces are activated to offer a suite of health and wellness events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55889"/>
        </w:rPr>
        <w:t>Governance Initiatives -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1144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114425"/>
                    </a:xfrm>
                    <a:prstGeom prst="rect">
                      <a:avLst/>
                    </a:prstGeom>
                    <a:noFill/>
                  </pic:spPr>
                </pic:pic>
              </a:graphicData>
            </a:graphic>
          </wp:anchor>
        </w:drawing>
      </w:r>
    </w:p>
    <w:p>
      <w:pPr>
        <w:spacing w:after="0" w:line="30" w:lineRule="exact"/>
        <w:rPr>
          <w:sz w:val="20"/>
          <w:szCs w:val="20"/>
          <w:color w:val="auto"/>
        </w:rPr>
      </w:pPr>
    </w:p>
    <w:p>
      <w:pPr>
        <w:ind w:left="1640" w:hanging="232"/>
        <w:spacing w:after="0"/>
        <w:tabs>
          <w:tab w:leader="none" w:pos="1640" w:val="left"/>
        </w:tabs>
        <w:numPr>
          <w:ilvl w:val="0"/>
          <w:numId w:val="16"/>
        </w:numPr>
        <w:rPr>
          <w:rFonts w:ascii="Arial" w:cs="Arial" w:eastAsia="Arial" w:hAnsi="Arial"/>
          <w:sz w:val="17"/>
          <w:szCs w:val="17"/>
          <w:color w:val="FFFFFF"/>
        </w:rPr>
      </w:pPr>
      <w:r>
        <w:rPr>
          <w:rFonts w:ascii="Arial" w:cs="Arial" w:eastAsia="Arial" w:hAnsi="Arial"/>
          <w:sz w:val="18"/>
          <w:szCs w:val="18"/>
          <w:b w:val="1"/>
          <w:bCs w:val="1"/>
          <w:color w:val="FFFFFF"/>
        </w:rPr>
        <w:t>Executive and Board oversight of sustainability mission statement, goal setting and resiliency planning</w:t>
      </w:r>
    </w:p>
    <w:p>
      <w:pPr>
        <w:spacing w:after="0" w:line="25" w:lineRule="exact"/>
        <w:rPr>
          <w:rFonts w:ascii="Arial" w:cs="Arial" w:eastAsia="Arial" w:hAnsi="Arial"/>
          <w:sz w:val="17"/>
          <w:szCs w:val="17"/>
          <w:color w:val="FFFFFF"/>
        </w:rPr>
      </w:pPr>
    </w:p>
    <w:p>
      <w:pPr>
        <w:ind w:left="1660" w:right="220" w:hanging="252"/>
        <w:spacing w:after="0" w:line="245" w:lineRule="auto"/>
        <w:tabs>
          <w:tab w:leader="none" w:pos="1637" w:val="left"/>
        </w:tabs>
        <w:numPr>
          <w:ilvl w:val="0"/>
          <w:numId w:val="16"/>
        </w:numPr>
        <w:rPr>
          <w:rFonts w:ascii="Arial" w:cs="Arial" w:eastAsia="Arial" w:hAnsi="Arial"/>
          <w:sz w:val="17"/>
          <w:szCs w:val="17"/>
          <w:color w:val="FFFFFF"/>
        </w:rPr>
      </w:pPr>
      <w:r>
        <w:rPr>
          <w:rFonts w:ascii="Arial" w:cs="Arial" w:eastAsia="Arial" w:hAnsi="Arial"/>
          <w:sz w:val="18"/>
          <w:szCs w:val="18"/>
          <w:b w:val="1"/>
          <w:bCs w:val="1"/>
          <w:color w:val="FFFFFF"/>
        </w:rPr>
        <w:t>Annual GRI sustainability reports distributed to the Board, investors, tenants, vendor partners and government stakeholders</w:t>
      </w:r>
    </w:p>
    <w:p>
      <w:pPr>
        <w:spacing w:after="0" w:line="1" w:lineRule="exact"/>
        <w:rPr>
          <w:rFonts w:ascii="Arial" w:cs="Arial" w:eastAsia="Arial" w:hAnsi="Arial"/>
          <w:sz w:val="17"/>
          <w:szCs w:val="17"/>
          <w:color w:val="FFFFFF"/>
        </w:rPr>
      </w:pPr>
    </w:p>
    <w:p>
      <w:pPr>
        <w:ind w:left="1660" w:right="220" w:hanging="252"/>
        <w:spacing w:after="0" w:line="242" w:lineRule="auto"/>
        <w:tabs>
          <w:tab w:leader="none" w:pos="1637" w:val="left"/>
        </w:tabs>
        <w:numPr>
          <w:ilvl w:val="0"/>
          <w:numId w:val="16"/>
        </w:numPr>
        <w:rPr>
          <w:rFonts w:ascii="Arial" w:cs="Arial" w:eastAsia="Arial" w:hAnsi="Arial"/>
          <w:sz w:val="17"/>
          <w:szCs w:val="17"/>
          <w:color w:val="FFFFFF"/>
        </w:rPr>
      </w:pPr>
      <w:r>
        <w:rPr>
          <w:rFonts w:ascii="Arial" w:cs="Arial" w:eastAsia="Arial" w:hAnsi="Arial"/>
          <w:sz w:val="18"/>
          <w:szCs w:val="18"/>
          <w:b w:val="1"/>
          <w:bCs w:val="1"/>
          <w:color w:val="FFFFFF"/>
        </w:rPr>
        <w:t>Stakeholder engagement and materiality assessment processes initiated across tenants, community members, industry peers and employees to identify material ESG topics</w:t>
      </w:r>
    </w:p>
    <w:p>
      <w:pPr>
        <w:spacing w:after="0" w:line="1" w:lineRule="exact"/>
        <w:rPr>
          <w:rFonts w:ascii="Arial" w:cs="Arial" w:eastAsia="Arial" w:hAnsi="Arial"/>
          <w:sz w:val="17"/>
          <w:szCs w:val="17"/>
          <w:color w:val="FFFFFF"/>
        </w:rPr>
      </w:pPr>
    </w:p>
    <w:p>
      <w:pPr>
        <w:ind w:left="1660" w:right="20" w:hanging="252"/>
        <w:spacing w:after="0" w:line="254" w:lineRule="auto"/>
        <w:tabs>
          <w:tab w:leader="none" w:pos="1637" w:val="left"/>
        </w:tabs>
        <w:numPr>
          <w:ilvl w:val="0"/>
          <w:numId w:val="16"/>
        </w:numPr>
        <w:rPr>
          <w:rFonts w:ascii="Arial" w:cs="Arial" w:eastAsia="Arial" w:hAnsi="Arial"/>
          <w:sz w:val="17"/>
          <w:szCs w:val="17"/>
          <w:color w:val="FFFFFF"/>
        </w:rPr>
      </w:pPr>
      <w:r>
        <w:rPr>
          <w:rFonts w:ascii="Arial" w:cs="Arial" w:eastAsia="Arial" w:hAnsi="Arial"/>
          <w:sz w:val="18"/>
          <w:szCs w:val="18"/>
          <w:b w:val="1"/>
          <w:bCs w:val="1"/>
          <w:color w:val="FFFFFF"/>
        </w:rPr>
        <w:t>Recent environmental legislation risk mitigated by long-term and sustained focus on increasing energy efficiency and reducing GHG emissions</w:t>
      </w:r>
    </w:p>
    <w:p>
      <w:pPr>
        <w:spacing w:after="0" w:line="223"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 REALTY CORP.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420 Lexington Avenue New York,</w:t>
      </w:r>
    </w:p>
    <w:p>
      <w:pPr>
        <w:spacing w:after="0"/>
        <w:rPr>
          <w:sz w:val="20"/>
          <w:szCs w:val="20"/>
          <w:color w:val="auto"/>
        </w:rPr>
      </w:pPr>
      <w:r>
        <w:rPr>
          <w:rFonts w:ascii="Arial" w:cs="Arial" w:eastAsia="Arial" w:hAnsi="Arial"/>
          <w:sz w:val="18"/>
          <w:szCs w:val="18"/>
          <w:color w:val="auto"/>
        </w:rPr>
        <w:t>New York 10170-1881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156970" cy="351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5697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32"/>
          <w:szCs w:val="32"/>
          <w:b w:val="1"/>
          <w:bCs w:val="1"/>
          <w:color w:val="355889"/>
        </w:rPr>
        <w:t>NOTICE OF ANNUAL MEETING OF STOCKHOLDERS</w:t>
      </w: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color w:val="auto"/>
        </w:rPr>
        <w:t>Dear Stockholder:</w:t>
      </w:r>
    </w:p>
    <w:p>
      <w:pPr>
        <w:spacing w:after="0" w:line="215" w:lineRule="exact"/>
        <w:rPr>
          <w:sz w:val="20"/>
          <w:szCs w:val="20"/>
          <w:color w:val="auto"/>
        </w:rPr>
      </w:pPr>
    </w:p>
    <w:p>
      <w:pPr>
        <w:ind w:right="320"/>
        <w:spacing w:after="0" w:line="258" w:lineRule="auto"/>
        <w:rPr>
          <w:sz w:val="20"/>
          <w:szCs w:val="20"/>
          <w:color w:val="auto"/>
        </w:rPr>
      </w:pPr>
      <w:r>
        <w:rPr>
          <w:rFonts w:ascii="Arial" w:cs="Arial" w:eastAsia="Arial" w:hAnsi="Arial"/>
          <w:sz w:val="13"/>
          <w:szCs w:val="13"/>
          <w:color w:val="auto"/>
        </w:rPr>
        <w:t>You are invited to attend the 2020 annual meeting of stockholders of SL Green Realty Corp., a Maryland corporation, which will be held on Thursday, May 28, 2020 at 10:00 a.m., local time, at Andaz 5th Avenue (ground floor), 485 5th Ave, New York, NY 10017.</w:t>
      </w:r>
    </w:p>
    <w:p>
      <w:pPr>
        <w:spacing w:after="0" w:line="192"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Since becoming a public company, we have always held our annual meetings in person, and it remains our intention to do so. However, we are actively monitoring information about the coronavirus (COVID-19), and we are sensitive to the public health and travel concerns our stockholders may have and the protocols that federal, state, and local governments may impose. In the event it is not possible or we deem it inadvisable to hold the annual meeting in person or at the originally scheduled date, time and location, we will announce alternative arrangements for the meeting as promptly as practicable, which may include holding the meeting solely by means of remote communication, and we will file the announcement as definitive additional soliciting material with the SEC.</w:t>
      </w:r>
    </w:p>
    <w:p>
      <w:pPr>
        <w:sectPr>
          <w:pgSz w:w="11900" w:h="16838" w:orient="portrait"/>
          <w:cols w:equalWidth="0" w:num="1">
            <w:col w:w="11240"/>
          </w:cols>
          <w:pgMar w:left="320" w:top="121" w:right="339" w:bottom="1440" w:gutter="0" w:footer="0" w:header="0"/>
        </w:sectPr>
      </w:pPr>
    </w:p>
    <w:p>
      <w:pPr>
        <w:spacing w:after="0" w:line="202"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Please monitor our website at www.slgreen.com for updated information. If we decide to hold the meeting solely by means of remote communication, you will be able to attend our annual meeting through a link at this location on our website using your control number, which is included in the proxy card sent to you or, if you are a beneficial owner who did not receive such number, may be obtained upon request to the broker, bank, or other nominee that holds your shares. As always, we strongly encourage you to vote your shares by proxy prior to the annual meeting.</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The annual meeting will be held for the following purposes:</w:t>
      </w:r>
    </w:p>
    <w:p>
      <w:pPr>
        <w:spacing w:after="0" w:line="215" w:lineRule="exact"/>
        <w:rPr>
          <w:sz w:val="20"/>
          <w:szCs w:val="20"/>
          <w:color w:val="auto"/>
        </w:rPr>
      </w:pPr>
    </w:p>
    <w:p>
      <w:pPr>
        <w:ind w:left="260" w:right="40" w:hanging="252"/>
        <w:spacing w:after="0" w:line="251" w:lineRule="auto"/>
        <w:tabs>
          <w:tab w:leader="none" w:pos="260" w:val="left"/>
        </w:tabs>
        <w:numPr>
          <w:ilvl w:val="0"/>
          <w:numId w:val="18"/>
        </w:numPr>
        <w:rPr>
          <w:rFonts w:ascii="Arial" w:cs="Arial" w:eastAsia="Arial" w:hAnsi="Arial"/>
          <w:sz w:val="13"/>
          <w:szCs w:val="13"/>
          <w:color w:val="355889"/>
        </w:rPr>
      </w:pPr>
      <w:r>
        <w:rPr>
          <w:rFonts w:ascii="Arial" w:cs="Arial" w:eastAsia="Arial" w:hAnsi="Arial"/>
          <w:sz w:val="13"/>
          <w:szCs w:val="13"/>
          <w:color w:val="auto"/>
        </w:rPr>
        <w:t>To elect the nine director nominees named in the proxy statement to serve on the Board of Directors for a one-year term and until their successors are duly elected and qualify;</w:t>
      </w:r>
    </w:p>
    <w:p>
      <w:pPr>
        <w:spacing w:after="0" w:line="159" w:lineRule="exact"/>
        <w:rPr>
          <w:rFonts w:ascii="Arial" w:cs="Arial" w:eastAsia="Arial" w:hAnsi="Arial"/>
          <w:sz w:val="13"/>
          <w:szCs w:val="13"/>
          <w:color w:val="355889"/>
        </w:rPr>
      </w:pPr>
    </w:p>
    <w:p>
      <w:pPr>
        <w:ind w:left="260" w:hanging="252"/>
        <w:spacing w:after="0"/>
        <w:tabs>
          <w:tab w:leader="none" w:pos="260" w:val="left"/>
        </w:tabs>
        <w:numPr>
          <w:ilvl w:val="0"/>
          <w:numId w:val="18"/>
        </w:numPr>
        <w:rPr>
          <w:rFonts w:ascii="Arial" w:cs="Arial" w:eastAsia="Arial" w:hAnsi="Arial"/>
          <w:sz w:val="13"/>
          <w:szCs w:val="13"/>
          <w:color w:val="355889"/>
        </w:rPr>
      </w:pPr>
      <w:r>
        <w:rPr>
          <w:rFonts w:ascii="Arial" w:cs="Arial" w:eastAsia="Arial" w:hAnsi="Arial"/>
          <w:sz w:val="13"/>
          <w:szCs w:val="13"/>
          <w:color w:val="auto"/>
        </w:rPr>
        <w:t>To hold an advisory vote on executive compensation; and</w:t>
      </w:r>
    </w:p>
    <w:p>
      <w:pPr>
        <w:spacing w:after="0" w:line="26" w:lineRule="exact"/>
        <w:rPr>
          <w:rFonts w:ascii="Arial" w:cs="Arial" w:eastAsia="Arial" w:hAnsi="Arial"/>
          <w:sz w:val="13"/>
          <w:szCs w:val="13"/>
          <w:color w:val="355889"/>
        </w:rPr>
      </w:pPr>
    </w:p>
    <w:p>
      <w:pPr>
        <w:ind w:left="260" w:right="120" w:hanging="252"/>
        <w:spacing w:after="0" w:line="258" w:lineRule="auto"/>
        <w:tabs>
          <w:tab w:leader="none" w:pos="260" w:val="left"/>
        </w:tabs>
        <w:numPr>
          <w:ilvl w:val="0"/>
          <w:numId w:val="18"/>
        </w:numPr>
        <w:rPr>
          <w:rFonts w:ascii="Arial" w:cs="Arial" w:eastAsia="Arial" w:hAnsi="Arial"/>
          <w:sz w:val="13"/>
          <w:szCs w:val="13"/>
          <w:color w:val="355889"/>
        </w:rPr>
      </w:pPr>
      <w:r>
        <w:rPr>
          <w:rFonts w:ascii="Arial" w:cs="Arial" w:eastAsia="Arial" w:hAnsi="Arial"/>
          <w:sz w:val="13"/>
          <w:szCs w:val="13"/>
          <w:color w:val="auto"/>
        </w:rPr>
        <w:t>To ratify the appointment of Ernst &amp; Young LLP as our independent registered public accounting firm for the fiscal year ending December 31, 2020.</w:t>
      </w:r>
    </w:p>
    <w:p>
      <w:pPr>
        <w:spacing w:after="0" w:line="192" w:lineRule="exact"/>
        <w:rPr>
          <w:sz w:val="20"/>
          <w:szCs w:val="20"/>
          <w:color w:val="auto"/>
        </w:rPr>
      </w:pPr>
    </w:p>
    <w:p>
      <w:pPr>
        <w:ind w:right="120"/>
        <w:spacing w:after="0" w:line="248" w:lineRule="auto"/>
        <w:rPr>
          <w:sz w:val="20"/>
          <w:szCs w:val="20"/>
          <w:color w:val="auto"/>
        </w:rPr>
      </w:pPr>
      <w:r>
        <w:rPr>
          <w:rFonts w:ascii="Arial" w:cs="Arial" w:eastAsia="Arial" w:hAnsi="Arial"/>
          <w:sz w:val="13"/>
          <w:szCs w:val="13"/>
          <w:color w:val="auto"/>
        </w:rPr>
        <w:t>In addition, stockholders may be asked to consider and vote upon any other matters that may properly be brought before the annual meeting and at any adjournments or postponements thereof.</w:t>
      </w:r>
    </w:p>
    <w:p>
      <w:pPr>
        <w:spacing w:after="0" w:line="198" w:lineRule="exact"/>
        <w:rPr>
          <w:sz w:val="20"/>
          <w:szCs w:val="20"/>
          <w:color w:val="auto"/>
        </w:rPr>
      </w:pPr>
    </w:p>
    <w:p>
      <w:pPr>
        <w:ind w:right="120"/>
        <w:spacing w:after="0" w:line="248" w:lineRule="auto"/>
        <w:rPr>
          <w:sz w:val="20"/>
          <w:szCs w:val="20"/>
          <w:color w:val="auto"/>
        </w:rPr>
      </w:pPr>
      <w:r>
        <w:rPr>
          <w:rFonts w:ascii="Arial" w:cs="Arial" w:eastAsia="Arial" w:hAnsi="Arial"/>
          <w:sz w:val="13"/>
          <w:szCs w:val="13"/>
          <w:color w:val="auto"/>
        </w:rPr>
        <w:t>Any action may be taken on the foregoing matters at the annual meeting on the date specified above, or on any date or dates to which the annual meeting may be adjourned, or to which the annual meeting may be postponed.</w:t>
      </w:r>
    </w:p>
    <w:p>
      <w:pPr>
        <w:spacing w:after="0" w:line="198" w:lineRule="exact"/>
        <w:rPr>
          <w:sz w:val="20"/>
          <w:szCs w:val="20"/>
          <w:color w:val="auto"/>
        </w:rPr>
      </w:pPr>
    </w:p>
    <w:p>
      <w:pPr>
        <w:ind w:right="160"/>
        <w:spacing w:after="0" w:line="248" w:lineRule="auto"/>
        <w:rPr>
          <w:sz w:val="20"/>
          <w:szCs w:val="20"/>
          <w:color w:val="auto"/>
        </w:rPr>
      </w:pPr>
      <w:r>
        <w:rPr>
          <w:rFonts w:ascii="Arial" w:cs="Arial" w:eastAsia="Arial" w:hAnsi="Arial"/>
          <w:sz w:val="13"/>
          <w:szCs w:val="13"/>
          <w:color w:val="auto"/>
        </w:rPr>
        <w:t>The Board of Directors has fixed the close of business on March 31, 2020 as the record date for determining the stockholders entitled to notice of, and to vote at, the annual meeting and at any adjournments or postponements thereof.</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840105"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4010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S. Levine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April 24, 2020</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-238760</wp:posOffset>
            </wp:positionV>
            <wp:extent cx="3420110" cy="3463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0110" cy="34632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You may authorize your proxy via the Internet or by telephone: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Visit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Scan this QR code to vote with your mobile device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Call 1-800-454-8683</w:t>
      </w:r>
    </w:p>
    <w:p>
      <w:pPr>
        <w:spacing w:after="0"/>
        <w:rPr>
          <w:sz w:val="20"/>
          <w:szCs w:val="20"/>
          <w:color w:val="auto"/>
        </w:rPr>
      </w:pPr>
      <w:r>
        <w:rPr>
          <w:rFonts w:ascii="Arial" w:cs="Arial" w:eastAsia="Arial" w:hAnsi="Arial"/>
          <w:sz w:val="18"/>
          <w:szCs w:val="18"/>
          <w:color w:val="auto"/>
        </w:rPr>
        <w:t>24h/7</w:t>
      </w:r>
    </w:p>
    <w:p>
      <w:pPr>
        <w:spacing w:after="0" w:line="217" w:lineRule="exact"/>
        <w:rPr>
          <w:sz w:val="20"/>
          <w:szCs w:val="20"/>
          <w:color w:val="auto"/>
        </w:rPr>
      </w:pPr>
    </w:p>
    <w:p>
      <w:pPr>
        <w:jc w:val="center"/>
        <w:ind w:left="-99" w:right="20"/>
        <w:spacing w:after="0" w:line="249" w:lineRule="auto"/>
        <w:rPr>
          <w:sz w:val="20"/>
          <w:szCs w:val="20"/>
          <w:color w:val="auto"/>
        </w:rPr>
      </w:pPr>
      <w:r>
        <w:rPr>
          <w:rFonts w:ascii="Arial" w:cs="Arial" w:eastAsia="Arial" w:hAnsi="Arial"/>
          <w:sz w:val="18"/>
          <w:szCs w:val="18"/>
          <w:b w:val="1"/>
          <w:bCs w:val="1"/>
          <w:color w:val="355889"/>
        </w:rPr>
        <w:t>Important Notice Regarding the Availability of Proxy Materials for the Stockholder Meeting to be Held on May 28, 2020.</w:t>
      </w:r>
    </w:p>
    <w:p>
      <w:pPr>
        <w:spacing w:after="0" w:line="17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355889"/>
        </w:rPr>
        <w:t>This proxy statement and our 2019 Annual Report to</w:t>
      </w:r>
    </w:p>
    <w:p>
      <w:pPr>
        <w:spacing w:after="0" w:line="18"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355889"/>
        </w:rPr>
        <w:t>Stockholders are available at http://www.proxyvote.com</w:t>
      </w:r>
    </w:p>
    <w:p>
      <w:pPr>
        <w:spacing w:after="0" w:line="1599" w:lineRule="exact"/>
        <w:rPr>
          <w:sz w:val="20"/>
          <w:szCs w:val="20"/>
          <w:color w:val="auto"/>
        </w:rPr>
      </w:pPr>
    </w:p>
    <w:p>
      <w:pPr>
        <w:sectPr>
          <w:pgSz w:w="11900" w:h="16838" w:orient="portrait"/>
          <w:cols w:equalWidth="0" w:num="2">
            <w:col w:w="5400" w:space="700"/>
            <w:col w:w="5140"/>
          </w:cols>
          <w:pgMar w:left="320" w:top="121" w:right="339" w:bottom="1440" w:gutter="0" w:footer="0" w:header="0"/>
          <w:type w:val="continuous"/>
        </w:sectPr>
      </w:pPr>
    </w:p>
    <w:p>
      <w:pPr>
        <w:spacing w:after="0" w:line="208"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b w:val="1"/>
          <w:bCs w:val="1"/>
          <w:i w:val="1"/>
          <w:iCs w:val="1"/>
          <w:color w:val="auto"/>
        </w:rPr>
        <w:t>Whether or not you plan to attend the annual meeting, please complete, sign, date and promptly return the enclosed proxy card in the post-prepaid envelope provided or authorize your proxy by telephone or the Internet by following the instructions on your proxy card. For specific instructions on voting, please see the instructions on the proxy card or the information forwarded by your broker, bank or other holder of record. If you attend the annual meeting, you may vote in person if you wish, even if you previously have signed and returned your proxy card. Please note that if your shares are held of record by a bank, broker or other nominee and you wish to vote in person at the annual meeting, you must obtain a proxy issued in your name from such bank, broker or other nominee.</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55889"/>
        </w:rPr>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280" w:type="dxa"/>
            <w:vAlign w:val="bottom"/>
          </w:tcPr>
          <w:p>
            <w:pPr>
              <w:spacing w:after="0"/>
              <w:rPr>
                <w:rFonts w:ascii="Arial" w:cs="Arial" w:eastAsia="Arial" w:hAnsi="Arial"/>
                <w:sz w:val="18"/>
                <w:szCs w:val="18"/>
                <w:b w:val="1"/>
                <w:bCs w:val="1"/>
                <w:u w:val="single" w:color="auto"/>
                <w:color w:val="355889"/>
              </w:rPr>
            </w:pPr>
            <w:hyperlink w:anchor="page3">
              <w:r>
                <w:rPr>
                  <w:rFonts w:ascii="Arial" w:cs="Arial" w:eastAsia="Arial" w:hAnsi="Arial"/>
                  <w:sz w:val="18"/>
                  <w:szCs w:val="18"/>
                  <w:b w:val="1"/>
                  <w:bCs w:val="1"/>
                  <w:u w:val="single" w:color="auto"/>
                  <w:color w:val="355889"/>
                </w:rPr>
                <w:t>2020 PROXY STATEMENT HIGHLIGHTS</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1</w:t>
              </w:r>
            </w:hyperlink>
          </w:p>
        </w:tc>
      </w:tr>
      <w:tr>
        <w:trPr>
          <w:trHeight w:val="43"/>
        </w:trPr>
        <w:tc>
          <w:tcPr>
            <w:tcW w:w="9280" w:type="dxa"/>
            <w:vAlign w:val="bottom"/>
            <w:tcBorders>
              <w:bottom w:val="single" w:sz="8" w:color="8797B7"/>
            </w:tcBorders>
          </w:tcPr>
          <w:p>
            <w:pPr>
              <w:spacing w:after="0"/>
              <w:rPr>
                <w:sz w:val="3"/>
                <w:szCs w:val="3"/>
                <w:color w:val="auto"/>
              </w:rPr>
            </w:pPr>
          </w:p>
        </w:tc>
        <w:tc>
          <w:tcPr>
            <w:tcW w:w="1960" w:type="dxa"/>
            <w:vAlign w:val="bottom"/>
            <w:tcBorders>
              <w:bottom w:val="single" w:sz="8" w:color="8797B7"/>
            </w:tcBorders>
          </w:tcPr>
          <w:p>
            <w:pPr>
              <w:spacing w:after="0"/>
              <w:rPr>
                <w:sz w:val="3"/>
                <w:szCs w:val="3"/>
                <w:color w:val="auto"/>
              </w:rPr>
            </w:pPr>
          </w:p>
        </w:tc>
      </w:tr>
      <w:tr>
        <w:trPr>
          <w:trHeight w:val="248"/>
        </w:trPr>
        <w:tc>
          <w:tcPr>
            <w:tcW w:w="928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Business Overview and Highlights</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2</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Executive Compensation and Governance Transformation</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3</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Compensation Highlights</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4</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Corporate Governance Highlights</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5</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ESG Highlights</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6</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355889"/>
              </w:rPr>
            </w:pPr>
            <w:hyperlink w:anchor="page9">
              <w:r>
                <w:rPr>
                  <w:rFonts w:ascii="Arial" w:cs="Arial" w:eastAsia="Arial" w:hAnsi="Arial"/>
                  <w:sz w:val="18"/>
                  <w:szCs w:val="18"/>
                  <w:b w:val="1"/>
                  <w:bCs w:val="1"/>
                  <w:u w:val="single" w:color="auto"/>
                  <w:color w:val="355889"/>
                </w:rPr>
                <w:t>NOTICE OF ANNUAL MEETING OF STOCKHOLDERS</w:t>
              </w:r>
            </w:hyperlink>
          </w:p>
        </w:tc>
        <w:tc>
          <w:tcPr>
            <w:tcW w:w="1960" w:type="dxa"/>
            <w:vAlign w:val="bottom"/>
          </w:tcPr>
          <w:p>
            <w:pPr>
              <w:jc w:val="right"/>
              <w:spacing w:after="0"/>
              <w:rPr>
                <w:rFonts w:ascii="Arial" w:cs="Arial" w:eastAsia="Arial" w:hAnsi="Arial"/>
                <w:sz w:val="18"/>
                <w:szCs w:val="18"/>
                <w:b w:val="1"/>
                <w:bCs w:val="1"/>
                <w:u w:val="single" w:color="auto"/>
                <w:color w:val="355889"/>
              </w:rPr>
            </w:pPr>
            <w:hyperlink w:anchor="page9">
              <w:r>
                <w:rPr>
                  <w:rFonts w:ascii="Arial" w:cs="Arial" w:eastAsia="Arial" w:hAnsi="Arial"/>
                  <w:sz w:val="18"/>
                  <w:szCs w:val="18"/>
                  <w:b w:val="1"/>
                  <w:bCs w:val="1"/>
                  <w:u w:val="single" w:color="auto"/>
                  <w:color w:val="355889"/>
                </w:rPr>
                <w:t>7</w:t>
              </w:r>
            </w:hyperlink>
          </w:p>
        </w:tc>
      </w:tr>
      <w:tr>
        <w:trPr>
          <w:trHeight w:val="43"/>
        </w:trPr>
        <w:tc>
          <w:tcPr>
            <w:tcW w:w="9280" w:type="dxa"/>
            <w:vAlign w:val="bottom"/>
            <w:tcBorders>
              <w:bottom w:val="single" w:sz="8" w:color="8797B7"/>
            </w:tcBorders>
          </w:tcPr>
          <w:p>
            <w:pPr>
              <w:spacing w:after="0"/>
              <w:rPr>
                <w:sz w:val="3"/>
                <w:szCs w:val="3"/>
                <w:color w:val="auto"/>
              </w:rPr>
            </w:pPr>
          </w:p>
        </w:tc>
        <w:tc>
          <w:tcPr>
            <w:tcW w:w="1960" w:type="dxa"/>
            <w:vAlign w:val="bottom"/>
            <w:tcBorders>
              <w:bottom w:val="single" w:sz="8" w:color="8797B7"/>
            </w:tcBorders>
          </w:tcPr>
          <w:p>
            <w:pPr>
              <w:spacing w:after="0"/>
              <w:rPr>
                <w:sz w:val="3"/>
                <w:szCs w:val="3"/>
                <w:color w:val="auto"/>
              </w:rPr>
            </w:pPr>
          </w:p>
        </w:tc>
      </w:tr>
      <w:tr>
        <w:trPr>
          <w:trHeight w:val="248"/>
        </w:trPr>
        <w:tc>
          <w:tcPr>
            <w:tcW w:w="9280" w:type="dxa"/>
            <w:vAlign w:val="bottom"/>
          </w:tcPr>
          <w:p>
            <w:pPr>
              <w:spacing w:after="0"/>
              <w:rPr>
                <w:rFonts w:ascii="Arial" w:cs="Arial" w:eastAsia="Arial" w:hAnsi="Arial"/>
                <w:sz w:val="18"/>
                <w:szCs w:val="18"/>
                <w:b w:val="1"/>
                <w:bCs w:val="1"/>
                <w:u w:val="single" w:color="auto"/>
                <w:color w:val="355889"/>
              </w:rPr>
            </w:pPr>
            <w:hyperlink w:anchor="page11">
              <w:r>
                <w:rPr>
                  <w:rFonts w:ascii="Arial" w:cs="Arial" w:eastAsia="Arial" w:hAnsi="Arial"/>
                  <w:sz w:val="18"/>
                  <w:szCs w:val="18"/>
                  <w:b w:val="1"/>
                  <w:bCs w:val="1"/>
                  <w:u w:val="single" w:color="auto"/>
                  <w:color w:val="355889"/>
                </w:rPr>
                <w:t>OUR BOARD OF DIRECTORS AND CORPORATE GOVERNANCE</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9</w:t>
              </w:r>
            </w:hyperlink>
          </w:p>
        </w:tc>
      </w:tr>
      <w:tr>
        <w:trPr>
          <w:trHeight w:val="43"/>
        </w:trPr>
        <w:tc>
          <w:tcPr>
            <w:tcW w:w="9280" w:type="dxa"/>
            <w:vAlign w:val="bottom"/>
            <w:tcBorders>
              <w:bottom w:val="single" w:sz="8" w:color="8797B7"/>
            </w:tcBorders>
          </w:tcPr>
          <w:p>
            <w:pPr>
              <w:spacing w:after="0"/>
              <w:rPr>
                <w:sz w:val="3"/>
                <w:szCs w:val="3"/>
                <w:color w:val="auto"/>
              </w:rPr>
            </w:pPr>
          </w:p>
        </w:tc>
        <w:tc>
          <w:tcPr>
            <w:tcW w:w="1960" w:type="dxa"/>
            <w:vAlign w:val="bottom"/>
            <w:tcBorders>
              <w:bottom w:val="single" w:sz="8" w:color="8797B7"/>
            </w:tcBorders>
          </w:tcPr>
          <w:p>
            <w:pPr>
              <w:spacing w:after="0"/>
              <w:rPr>
                <w:sz w:val="3"/>
                <w:szCs w:val="3"/>
                <w:color w:val="auto"/>
              </w:rPr>
            </w:pPr>
          </w:p>
        </w:tc>
      </w:tr>
      <w:tr>
        <w:trPr>
          <w:trHeight w:val="248"/>
        </w:trPr>
        <w:tc>
          <w:tcPr>
            <w:tcW w:w="9280" w:type="dxa"/>
            <w:vAlign w:val="bottom"/>
          </w:tcPr>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Proposal 1: Election of Directors</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9</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Board Structure and Independence</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19</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Board Committees</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21</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Corporate Governance</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23</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Director Compensation</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28</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Executive Officers</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29</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355889"/>
              </w:rPr>
            </w:pPr>
            <w:hyperlink w:anchor="page32">
              <w:r>
                <w:rPr>
                  <w:rFonts w:ascii="Arial" w:cs="Arial" w:eastAsia="Arial" w:hAnsi="Arial"/>
                  <w:sz w:val="18"/>
                  <w:szCs w:val="18"/>
                  <w:b w:val="1"/>
                  <w:bCs w:val="1"/>
                  <w:u w:val="single" w:color="auto"/>
                  <w:color w:val="355889"/>
                </w:rPr>
                <w:t>EXECUTIVE COMPENSATION</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30</w:t>
              </w:r>
            </w:hyperlink>
          </w:p>
        </w:tc>
      </w:tr>
      <w:tr>
        <w:trPr>
          <w:trHeight w:val="43"/>
        </w:trPr>
        <w:tc>
          <w:tcPr>
            <w:tcW w:w="9280" w:type="dxa"/>
            <w:vAlign w:val="bottom"/>
            <w:tcBorders>
              <w:bottom w:val="single" w:sz="8" w:color="8797B7"/>
            </w:tcBorders>
          </w:tcPr>
          <w:p>
            <w:pPr>
              <w:spacing w:after="0"/>
              <w:rPr>
                <w:sz w:val="3"/>
                <w:szCs w:val="3"/>
                <w:color w:val="auto"/>
              </w:rPr>
            </w:pPr>
          </w:p>
        </w:tc>
        <w:tc>
          <w:tcPr>
            <w:tcW w:w="1960" w:type="dxa"/>
            <w:vAlign w:val="bottom"/>
            <w:tcBorders>
              <w:bottom w:val="single" w:sz="8" w:color="8797B7"/>
            </w:tcBorders>
          </w:tcPr>
          <w:p>
            <w:pPr>
              <w:spacing w:after="0"/>
              <w:rPr>
                <w:sz w:val="3"/>
                <w:szCs w:val="3"/>
                <w:color w:val="auto"/>
              </w:rPr>
            </w:pPr>
          </w:p>
        </w:tc>
      </w:tr>
      <w:tr>
        <w:trPr>
          <w:trHeight w:val="248"/>
        </w:trPr>
        <w:tc>
          <w:tcPr>
            <w:tcW w:w="9280" w:type="dxa"/>
            <w:vAlign w:val="bottom"/>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Proposal 2: Advisory Vote on the Compensation of our Named Executive Officers</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30</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Compensation Committee Report</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30</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Compensation Discussion and Analysis</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31</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Executive Compensation Tables</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50</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355889"/>
              </w:rPr>
            </w:pPr>
            <w:hyperlink w:anchor="page65">
              <w:r>
                <w:rPr>
                  <w:rFonts w:ascii="Arial" w:cs="Arial" w:eastAsia="Arial" w:hAnsi="Arial"/>
                  <w:sz w:val="18"/>
                  <w:szCs w:val="18"/>
                  <w:b w:val="1"/>
                  <w:bCs w:val="1"/>
                  <w:u w:val="single" w:color="auto"/>
                  <w:color w:val="355889"/>
                </w:rPr>
                <w:t>AUDIT COMMITTEE MATTERS</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63</w:t>
              </w:r>
            </w:hyperlink>
          </w:p>
        </w:tc>
      </w:tr>
      <w:tr>
        <w:trPr>
          <w:trHeight w:val="42"/>
        </w:trPr>
        <w:tc>
          <w:tcPr>
            <w:tcW w:w="9280" w:type="dxa"/>
            <w:vAlign w:val="bottom"/>
            <w:tcBorders>
              <w:bottom w:val="single" w:sz="8" w:color="8797B7"/>
            </w:tcBorders>
          </w:tcPr>
          <w:p>
            <w:pPr>
              <w:spacing w:after="0"/>
              <w:rPr>
                <w:sz w:val="3"/>
                <w:szCs w:val="3"/>
                <w:color w:val="auto"/>
              </w:rPr>
            </w:pPr>
          </w:p>
        </w:tc>
        <w:tc>
          <w:tcPr>
            <w:tcW w:w="1960" w:type="dxa"/>
            <w:vAlign w:val="bottom"/>
            <w:tcBorders>
              <w:bottom w:val="single" w:sz="8" w:color="8797B7"/>
            </w:tcBorders>
          </w:tcPr>
          <w:p>
            <w:pPr>
              <w:spacing w:after="0"/>
              <w:rPr>
                <w:sz w:val="3"/>
                <w:szCs w:val="3"/>
                <w:color w:val="auto"/>
              </w:rPr>
            </w:pPr>
          </w:p>
        </w:tc>
      </w:tr>
      <w:tr>
        <w:trPr>
          <w:trHeight w:val="248"/>
        </w:trPr>
        <w:tc>
          <w:tcPr>
            <w:tcW w:w="9280" w:type="dxa"/>
            <w:vAlign w:val="bottom"/>
          </w:tcPr>
          <w:p>
            <w:pPr>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Proposal 3: Ratification of Appointment of Independent Registered Public Accounting Firm</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63</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Audit Committee Report</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63</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Fee Disclosure</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64</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Pre-Approval Policies and Procedures of our Audit Committee</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64</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355889"/>
              </w:rPr>
            </w:pPr>
            <w:hyperlink w:anchor="page67">
              <w:r>
                <w:rPr>
                  <w:rFonts w:ascii="Arial" w:cs="Arial" w:eastAsia="Arial" w:hAnsi="Arial"/>
                  <w:sz w:val="18"/>
                  <w:szCs w:val="18"/>
                  <w:b w:val="1"/>
                  <w:bCs w:val="1"/>
                  <w:u w:val="single" w:color="auto"/>
                  <w:color w:val="355889"/>
                </w:rPr>
                <w:t>STOCK OWNERSHIP INFORMATION</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67">
              <w:r>
                <w:rPr>
                  <w:rFonts w:ascii="Arial" w:cs="Arial" w:eastAsia="Arial" w:hAnsi="Arial"/>
                  <w:sz w:val="18"/>
                  <w:szCs w:val="18"/>
                  <w:b w:val="1"/>
                  <w:bCs w:val="1"/>
                  <w:u w:val="single" w:color="auto"/>
                  <w:color w:val="0000EE"/>
                </w:rPr>
                <w:t>65</w:t>
              </w:r>
            </w:hyperlink>
          </w:p>
        </w:tc>
      </w:tr>
      <w:tr>
        <w:trPr>
          <w:trHeight w:val="43"/>
        </w:trPr>
        <w:tc>
          <w:tcPr>
            <w:tcW w:w="9280" w:type="dxa"/>
            <w:vAlign w:val="bottom"/>
            <w:tcBorders>
              <w:bottom w:val="single" w:sz="8" w:color="8797B7"/>
            </w:tcBorders>
          </w:tcPr>
          <w:p>
            <w:pPr>
              <w:spacing w:after="0"/>
              <w:rPr>
                <w:sz w:val="3"/>
                <w:szCs w:val="3"/>
                <w:color w:val="auto"/>
              </w:rPr>
            </w:pPr>
          </w:p>
        </w:tc>
        <w:tc>
          <w:tcPr>
            <w:tcW w:w="1960" w:type="dxa"/>
            <w:vAlign w:val="bottom"/>
            <w:tcBorders>
              <w:bottom w:val="single" w:sz="8" w:color="8797B7"/>
            </w:tcBorders>
          </w:tcPr>
          <w:p>
            <w:pPr>
              <w:spacing w:after="0"/>
              <w:rPr>
                <w:sz w:val="3"/>
                <w:szCs w:val="3"/>
                <w:color w:val="auto"/>
              </w:rPr>
            </w:pPr>
          </w:p>
        </w:tc>
      </w:tr>
      <w:tr>
        <w:trPr>
          <w:trHeight w:val="248"/>
        </w:trPr>
        <w:tc>
          <w:tcPr>
            <w:tcW w:w="9280" w:type="dxa"/>
            <w:vAlign w:val="bottom"/>
          </w:tcPr>
          <w:p>
            <w:pPr>
              <w:spacing w:after="0"/>
              <w:rPr>
                <w:rFonts w:ascii="Arial" w:cs="Arial" w:eastAsia="Arial" w:hAnsi="Arial"/>
                <w:sz w:val="18"/>
                <w:szCs w:val="18"/>
                <w:b w:val="1"/>
                <w:bCs w:val="1"/>
                <w:u w:val="single" w:color="auto"/>
                <w:color w:val="0000EE"/>
              </w:rPr>
            </w:pPr>
            <w:hyperlink w:anchor="page67">
              <w:r>
                <w:rPr>
                  <w:rFonts w:ascii="Arial" w:cs="Arial" w:eastAsia="Arial" w:hAnsi="Arial"/>
                  <w:sz w:val="18"/>
                  <w:szCs w:val="18"/>
                  <w:b w:val="1"/>
                  <w:bCs w:val="1"/>
                  <w:u w:val="single" w:color="auto"/>
                  <w:color w:val="0000EE"/>
                </w:rPr>
                <w:t>Security Ownership of Certain Beneficial Owners and Management</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67">
              <w:r>
                <w:rPr>
                  <w:rFonts w:ascii="Arial" w:cs="Arial" w:eastAsia="Arial" w:hAnsi="Arial"/>
                  <w:sz w:val="18"/>
                  <w:szCs w:val="18"/>
                  <w:b w:val="1"/>
                  <w:bCs w:val="1"/>
                  <w:u w:val="single" w:color="auto"/>
                  <w:color w:val="0000EE"/>
                </w:rPr>
                <w:t>65</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Delinquent Section 16(a) Reports</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67</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355889"/>
              </w:rPr>
            </w:pPr>
            <w:hyperlink w:anchor="page70">
              <w:r>
                <w:rPr>
                  <w:rFonts w:ascii="Arial" w:cs="Arial" w:eastAsia="Arial" w:hAnsi="Arial"/>
                  <w:sz w:val="18"/>
                  <w:szCs w:val="18"/>
                  <w:b w:val="1"/>
                  <w:bCs w:val="1"/>
                  <w:u w:val="single" w:color="auto"/>
                  <w:color w:val="355889"/>
                </w:rPr>
                <w:t>CERTAIN RELATIONSHIPS AND RELATED PARTY TRANSACTIONS</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68</w:t>
              </w:r>
            </w:hyperlink>
          </w:p>
        </w:tc>
      </w:tr>
      <w:tr>
        <w:trPr>
          <w:trHeight w:val="43"/>
        </w:trPr>
        <w:tc>
          <w:tcPr>
            <w:tcW w:w="9280" w:type="dxa"/>
            <w:vAlign w:val="bottom"/>
            <w:tcBorders>
              <w:bottom w:val="single" w:sz="8" w:color="8797B7"/>
            </w:tcBorders>
          </w:tcPr>
          <w:p>
            <w:pPr>
              <w:spacing w:after="0"/>
              <w:rPr>
                <w:sz w:val="3"/>
                <w:szCs w:val="3"/>
                <w:color w:val="auto"/>
              </w:rPr>
            </w:pPr>
          </w:p>
        </w:tc>
        <w:tc>
          <w:tcPr>
            <w:tcW w:w="1960" w:type="dxa"/>
            <w:vAlign w:val="bottom"/>
            <w:tcBorders>
              <w:bottom w:val="single" w:sz="8" w:color="8797B7"/>
            </w:tcBorders>
          </w:tcPr>
          <w:p>
            <w:pPr>
              <w:spacing w:after="0"/>
              <w:rPr>
                <w:sz w:val="3"/>
                <w:szCs w:val="3"/>
                <w:color w:val="auto"/>
              </w:rPr>
            </w:pPr>
          </w:p>
        </w:tc>
      </w:tr>
      <w:tr>
        <w:trPr>
          <w:trHeight w:val="248"/>
        </w:trPr>
        <w:tc>
          <w:tcPr>
            <w:tcW w:w="9280" w:type="dxa"/>
            <w:vAlign w:val="bottom"/>
          </w:tcPr>
          <w:p>
            <w:pPr>
              <w:spacing w:after="0"/>
              <w:rPr>
                <w:rFonts w:ascii="Arial" w:cs="Arial" w:eastAsia="Arial" w:hAnsi="Arial"/>
                <w:sz w:val="18"/>
                <w:szCs w:val="18"/>
                <w:b w:val="1"/>
                <w:bCs w:val="1"/>
                <w:u w:val="single" w:color="auto"/>
                <w:color w:val="355889"/>
              </w:rPr>
            </w:pPr>
            <w:hyperlink w:anchor="page72">
              <w:r>
                <w:rPr>
                  <w:rFonts w:ascii="Arial" w:cs="Arial" w:eastAsia="Arial" w:hAnsi="Arial"/>
                  <w:sz w:val="18"/>
                  <w:szCs w:val="18"/>
                  <w:b w:val="1"/>
                  <w:bCs w:val="1"/>
                  <w:u w:val="single" w:color="auto"/>
                  <w:color w:val="355889"/>
                </w:rPr>
                <w:t>OTHER INFORMATION</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72">
              <w:r>
                <w:rPr>
                  <w:rFonts w:ascii="Arial" w:cs="Arial" w:eastAsia="Arial" w:hAnsi="Arial"/>
                  <w:sz w:val="18"/>
                  <w:szCs w:val="18"/>
                  <w:b w:val="1"/>
                  <w:bCs w:val="1"/>
                  <w:u w:val="single" w:color="auto"/>
                  <w:color w:val="0000EE"/>
                </w:rPr>
                <w:t>70</w:t>
              </w:r>
            </w:hyperlink>
          </w:p>
        </w:tc>
      </w:tr>
      <w:tr>
        <w:trPr>
          <w:trHeight w:val="42"/>
        </w:trPr>
        <w:tc>
          <w:tcPr>
            <w:tcW w:w="9280" w:type="dxa"/>
            <w:vAlign w:val="bottom"/>
            <w:tcBorders>
              <w:bottom w:val="single" w:sz="8" w:color="8797B7"/>
            </w:tcBorders>
          </w:tcPr>
          <w:p>
            <w:pPr>
              <w:spacing w:after="0"/>
              <w:rPr>
                <w:sz w:val="3"/>
                <w:szCs w:val="3"/>
                <w:color w:val="auto"/>
              </w:rPr>
            </w:pPr>
          </w:p>
        </w:tc>
        <w:tc>
          <w:tcPr>
            <w:tcW w:w="1960" w:type="dxa"/>
            <w:vAlign w:val="bottom"/>
            <w:tcBorders>
              <w:bottom w:val="single" w:sz="8" w:color="8797B7"/>
            </w:tcBorders>
          </w:tcPr>
          <w:p>
            <w:pPr>
              <w:spacing w:after="0"/>
              <w:rPr>
                <w:sz w:val="3"/>
                <w:szCs w:val="3"/>
                <w:color w:val="auto"/>
              </w:rPr>
            </w:pPr>
          </w:p>
        </w:tc>
      </w:tr>
      <w:tr>
        <w:trPr>
          <w:trHeight w:val="248"/>
        </w:trPr>
        <w:tc>
          <w:tcPr>
            <w:tcW w:w="9280" w:type="dxa"/>
            <w:vAlign w:val="bottom"/>
          </w:tcPr>
          <w:p>
            <w:pPr>
              <w:spacing w:after="0"/>
              <w:rPr>
                <w:rFonts w:ascii="Arial" w:cs="Arial" w:eastAsia="Arial" w:hAnsi="Arial"/>
                <w:sz w:val="18"/>
                <w:szCs w:val="18"/>
                <w:b w:val="1"/>
                <w:bCs w:val="1"/>
                <w:u w:val="single" w:color="auto"/>
                <w:color w:val="0000EE"/>
              </w:rPr>
            </w:pPr>
            <w:hyperlink w:anchor="page72">
              <w:r>
                <w:rPr>
                  <w:rFonts w:ascii="Arial" w:cs="Arial" w:eastAsia="Arial" w:hAnsi="Arial"/>
                  <w:sz w:val="18"/>
                  <w:szCs w:val="18"/>
                  <w:b w:val="1"/>
                  <w:bCs w:val="1"/>
                  <w:u w:val="single" w:color="auto"/>
                  <w:color w:val="0000EE"/>
                </w:rPr>
                <w:t>Questions and Answers About the Annual Meeting</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72">
              <w:r>
                <w:rPr>
                  <w:rFonts w:ascii="Arial" w:cs="Arial" w:eastAsia="Arial" w:hAnsi="Arial"/>
                  <w:sz w:val="18"/>
                  <w:szCs w:val="18"/>
                  <w:b w:val="1"/>
                  <w:bCs w:val="1"/>
                  <w:u w:val="single" w:color="auto"/>
                  <w:color w:val="0000EE"/>
                </w:rPr>
                <w:t>70</w:t>
              </w:r>
            </w:hyperlink>
          </w:p>
        </w:tc>
      </w:tr>
      <w:tr>
        <w:trPr>
          <w:trHeight w:val="297"/>
        </w:trPr>
        <w:tc>
          <w:tcPr>
            <w:tcW w:w="9280" w:type="dxa"/>
            <w:vAlign w:val="bottom"/>
          </w:tcPr>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Other Matters</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72</w:t>
              </w:r>
            </w:hyperlink>
          </w:p>
        </w:tc>
      </w:tr>
      <w:tr>
        <w:trPr>
          <w:trHeight w:val="297"/>
        </w:trPr>
        <w:tc>
          <w:tcPr>
            <w:tcW w:w="9280" w:type="dxa"/>
            <w:vAlign w:val="bottom"/>
          </w:tcPr>
          <w:p>
            <w:pPr>
              <w:spacing w:after="0"/>
              <w:rPr>
                <w:sz w:val="20"/>
                <w:szCs w:val="20"/>
                <w:color w:val="auto"/>
              </w:rPr>
            </w:pPr>
            <w:r>
              <w:rPr>
                <w:rFonts w:ascii="Arial" w:cs="Arial" w:eastAsia="Arial" w:hAnsi="Arial"/>
                <w:sz w:val="18"/>
                <w:szCs w:val="18"/>
                <w:b w:val="1"/>
                <w:bCs w:val="1"/>
                <w:color w:val="355889"/>
              </w:rPr>
              <w:t>APPENDICES</w:t>
            </w:r>
          </w:p>
        </w:tc>
        <w:tc>
          <w:tcPr>
            <w:tcW w:w="1960" w:type="dxa"/>
            <w:vAlign w:val="bottom"/>
          </w:tcPr>
          <w:p>
            <w:pPr>
              <w:spacing w:after="0"/>
              <w:rPr>
                <w:sz w:val="24"/>
                <w:szCs w:val="24"/>
                <w:color w:val="auto"/>
              </w:rPr>
            </w:pPr>
          </w:p>
        </w:tc>
      </w:tr>
      <w:tr>
        <w:trPr>
          <w:trHeight w:val="43"/>
        </w:trPr>
        <w:tc>
          <w:tcPr>
            <w:tcW w:w="9280" w:type="dxa"/>
            <w:vAlign w:val="bottom"/>
            <w:tcBorders>
              <w:bottom w:val="single" w:sz="8" w:color="8797B7"/>
            </w:tcBorders>
          </w:tcPr>
          <w:p>
            <w:pPr>
              <w:spacing w:after="0"/>
              <w:rPr>
                <w:sz w:val="3"/>
                <w:szCs w:val="3"/>
                <w:color w:val="auto"/>
              </w:rPr>
            </w:pPr>
          </w:p>
        </w:tc>
        <w:tc>
          <w:tcPr>
            <w:tcW w:w="1960" w:type="dxa"/>
            <w:vAlign w:val="bottom"/>
            <w:tcBorders>
              <w:bottom w:val="single" w:sz="8" w:color="8797B7"/>
            </w:tcBorders>
          </w:tcPr>
          <w:p>
            <w:pPr>
              <w:spacing w:after="0"/>
              <w:rPr>
                <w:sz w:val="3"/>
                <w:szCs w:val="3"/>
                <w:color w:val="auto"/>
              </w:rPr>
            </w:pPr>
          </w:p>
        </w:tc>
      </w:tr>
      <w:tr>
        <w:trPr>
          <w:trHeight w:val="248"/>
        </w:trPr>
        <w:tc>
          <w:tcPr>
            <w:tcW w:w="9280" w:type="dxa"/>
            <w:vAlign w:val="bottom"/>
          </w:tcPr>
          <w:p>
            <w:pPr>
              <w:spacing w:after="0"/>
              <w:rPr>
                <w:rFonts w:ascii="Arial" w:cs="Arial" w:eastAsia="Arial" w:hAnsi="Arial"/>
                <w:sz w:val="18"/>
                <w:szCs w:val="18"/>
                <w:b w:val="1"/>
                <w:bCs w:val="1"/>
                <w:u w:val="single" w:color="auto"/>
                <w:color w:val="0000EE"/>
              </w:rPr>
            </w:pPr>
            <w:hyperlink w:anchor="page76">
              <w:r>
                <w:rPr>
                  <w:rFonts w:ascii="Arial" w:cs="Arial" w:eastAsia="Arial" w:hAnsi="Arial"/>
                  <w:sz w:val="18"/>
                  <w:szCs w:val="18"/>
                  <w:b w:val="1"/>
                  <w:bCs w:val="1"/>
                  <w:u w:val="single" w:color="auto"/>
                  <w:color w:val="0000EE"/>
                </w:rPr>
                <w:t>Appendix A: Information Regarding Certain Financial Measures</w:t>
              </w:r>
            </w:hyperlink>
          </w:p>
        </w:tc>
        <w:tc>
          <w:tcPr>
            <w:tcW w:w="1960" w:type="dxa"/>
            <w:vAlign w:val="bottom"/>
          </w:tcPr>
          <w:p>
            <w:pPr>
              <w:jc w:val="right"/>
              <w:spacing w:after="0"/>
              <w:rPr>
                <w:rFonts w:ascii="Arial" w:cs="Arial" w:eastAsia="Arial" w:hAnsi="Arial"/>
                <w:sz w:val="18"/>
                <w:szCs w:val="18"/>
                <w:b w:val="1"/>
                <w:bCs w:val="1"/>
                <w:u w:val="single" w:color="auto"/>
                <w:color w:val="0000EE"/>
              </w:rPr>
            </w:pPr>
            <w:hyperlink w:anchor="page76">
              <w:r>
                <w:rPr>
                  <w:rFonts w:ascii="Arial" w:cs="Arial" w:eastAsia="Arial" w:hAnsi="Arial"/>
                  <w:sz w:val="18"/>
                  <w:szCs w:val="18"/>
                  <w:b w:val="1"/>
                  <w:bCs w:val="1"/>
                  <w:u w:val="single" w:color="auto"/>
                  <w:color w:val="0000EE"/>
                </w:rPr>
                <w:t>A-1</w:t>
              </w:r>
            </w:hyperlink>
          </w:p>
        </w:tc>
      </w:tr>
    </w:tbl>
    <w:p>
      <w:pPr>
        <w:spacing w:after="0" w:line="262"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References in this proxy statement to “we,”“us,”“our,”“ours,” and the “Company” refer to SL Green Realty Corp., unless the context otherwise requires. This proxy statement and a form of proxy have been made available to our stockholders on the Internet and will be mailed to stockholders on or about April 24, 2020.</w:t>
      </w:r>
    </w:p>
    <w:p>
      <w:pPr>
        <w:spacing w:after="0" w:line="208"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55889"/>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28721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872105"/>
                    </a:xfrm>
                    <a:prstGeom prst="rect">
                      <a:avLst/>
                    </a:prstGeom>
                    <a:noFill/>
                  </pic:spPr>
                </pic:pic>
              </a:graphicData>
            </a:graphic>
          </wp:anchor>
        </w:drawing>
      </w:r>
    </w:p>
    <w:p>
      <w:pPr>
        <w:spacing w:after="0" w:line="32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Proposal 1: Election of Directors</w:t>
      </w:r>
    </w:p>
    <w:p>
      <w:pPr>
        <w:spacing w:after="0" w:line="313" w:lineRule="exact"/>
        <w:rPr>
          <w:sz w:val="20"/>
          <w:szCs w:val="20"/>
          <w:color w:val="auto"/>
        </w:rPr>
      </w:pPr>
    </w:p>
    <w:p>
      <w:pPr>
        <w:ind w:left="80" w:right="120"/>
        <w:spacing w:after="0" w:line="236" w:lineRule="auto"/>
        <w:rPr>
          <w:sz w:val="20"/>
          <w:szCs w:val="20"/>
          <w:color w:val="auto"/>
        </w:rPr>
      </w:pPr>
      <w:r>
        <w:rPr>
          <w:rFonts w:ascii="Arial" w:cs="Arial" w:eastAsia="Arial" w:hAnsi="Arial"/>
          <w:sz w:val="18"/>
          <w:szCs w:val="18"/>
          <w:color w:val="auto"/>
        </w:rPr>
        <w:t>The Board, upon the recommendation of the Nominating and Corporate Governance Committee, has nominated John H. Alschuler, Betsy Atkins, Edwin T. Burton, III, Lauren B. Dillard, Stephen L. Green, Craig M. Hatkoff, Marc Holliday, John S. Levy and Andrew W. Mathias for election to serve as directors until the 2021 annual meeting of stockholders and until their successors are duly elected and qualify. Each of the nominees is currently serving as a director, and has consented to being named in this proxy statement and to serve as a director if elected. However, if any of the nominees is unable to accept election, proxies voted in favor of such nominee will be voted for the election of such other person as the Board nominates or the Board may reduce the size of the Board.</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Majority Voting Standard</w:t>
      </w:r>
    </w:p>
    <w:p>
      <w:pPr>
        <w:spacing w:after="0" w:line="234" w:lineRule="exact"/>
        <w:rPr>
          <w:sz w:val="20"/>
          <w:szCs w:val="20"/>
          <w:color w:val="auto"/>
        </w:rPr>
      </w:pPr>
    </w:p>
    <w:p>
      <w:pPr>
        <w:ind w:left="80" w:right="240"/>
        <w:spacing w:after="0" w:line="236" w:lineRule="auto"/>
        <w:rPr>
          <w:sz w:val="20"/>
          <w:szCs w:val="20"/>
          <w:color w:val="auto"/>
        </w:rPr>
      </w:pPr>
      <w:r>
        <w:rPr>
          <w:rFonts w:ascii="Arial" w:cs="Arial" w:eastAsia="Arial" w:hAnsi="Arial"/>
          <w:sz w:val="18"/>
          <w:szCs w:val="18"/>
          <w:color w:val="auto"/>
        </w:rPr>
        <w:t>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For more information on the operation of our majority voting standard in director elections, see the section entitled “Our Board of Directors and Corporate Governance—Corporate Governance—Majority Voting Standard and Director Resignation Policy.”</w:t>
      </w:r>
    </w:p>
    <w:p>
      <w:pPr>
        <w:spacing w:after="0" w:line="256" w:lineRule="exact"/>
        <w:rPr>
          <w:sz w:val="20"/>
          <w:szCs w:val="20"/>
          <w:color w:val="auto"/>
        </w:rPr>
      </w:pPr>
    </w:p>
    <w:p>
      <w:pPr>
        <w:jc w:val="center"/>
        <w:spacing w:after="0" w:line="261" w:lineRule="auto"/>
        <w:rPr>
          <w:sz w:val="20"/>
          <w:szCs w:val="20"/>
          <w:color w:val="auto"/>
        </w:rPr>
      </w:pPr>
      <w:r>
        <w:rPr>
          <w:rFonts w:ascii="Arial" w:cs="Arial" w:eastAsia="Arial" w:hAnsi="Arial"/>
          <w:sz w:val="22"/>
          <w:szCs w:val="22"/>
          <w:b w:val="1"/>
          <w:bCs w:val="1"/>
          <w:color w:val="355889"/>
        </w:rPr>
        <w:t xml:space="preserve">The Board unanimously recommends a vote </w:t>
      </w:r>
      <w:r>
        <w:rPr>
          <w:rFonts w:ascii="Arial" w:cs="Arial" w:eastAsia="Arial" w:hAnsi="Arial"/>
          <w:sz w:val="22"/>
          <w:szCs w:val="22"/>
          <w:b w:val="1"/>
          <w:bCs w:val="1"/>
          <w:color w:val="000000"/>
        </w:rPr>
        <w:t>“FOR”</w:t>
      </w:r>
      <w:r>
        <w:rPr>
          <w:rFonts w:ascii="Arial" w:cs="Arial" w:eastAsia="Arial" w:hAnsi="Arial"/>
          <w:sz w:val="22"/>
          <w:szCs w:val="22"/>
          <w:b w:val="1"/>
          <w:bCs w:val="1"/>
          <w:color w:val="355889"/>
        </w:rPr>
        <w:t xml:space="preserve"> the election of Messrs. Alschuler, Burton, Green, Hatkoff, Holliday, Levy and Mathias and Mses. Atkins and Dillard.</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Information Regarding the Director Nominees</w:t>
      </w:r>
    </w:p>
    <w:p>
      <w:pPr>
        <w:spacing w:after="0" w:line="233"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The following table, matrix and biographical descriptions set forth certain information with respect to the nominees for election as directors at the 2020 annual meeting, based upon information furnished by each director. At our annual meeting of stockholders in 2017, stockholders approved a proposal to declassify our Board over three years. Accordingly, our Board of Directors is fully declassified as of our 2020 annual meeting, and all directors will be elected for one-year terms.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355889"/>
              </w:rPr>
              <w:t>Director</w:t>
            </w:r>
          </w:p>
        </w:tc>
      </w:tr>
      <w:tr>
        <w:trPr>
          <w:trHeight w:val="199"/>
        </w:trPr>
        <w:tc>
          <w:tcPr>
            <w:tcW w:w="10140" w:type="dxa"/>
            <w:vAlign w:val="bottom"/>
            <w:tcBorders>
              <w:bottom w:val="single" w:sz="8" w:color="355889"/>
            </w:tcBorders>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7"/>
                <w:szCs w:val="17"/>
                <w:color w:val="auto"/>
              </w:rPr>
            </w:pPr>
          </w:p>
        </w:tc>
        <w:tc>
          <w:tcPr>
            <w:tcW w:w="260" w:type="dxa"/>
            <w:vAlign w:val="bottom"/>
            <w:tcBorders>
              <w:bottom w:val="single" w:sz="8" w:color="355889"/>
            </w:tcBorders>
          </w:tcPr>
          <w:p>
            <w:pPr>
              <w:jc w:val="center"/>
              <w:spacing w:after="0"/>
              <w:rPr>
                <w:sz w:val="20"/>
                <w:szCs w:val="20"/>
                <w:color w:val="auto"/>
              </w:rPr>
            </w:pPr>
            <w:r>
              <w:rPr>
                <w:rFonts w:ascii="Arial" w:cs="Arial" w:eastAsia="Arial" w:hAnsi="Arial"/>
                <w:sz w:val="13"/>
                <w:szCs w:val="13"/>
                <w:b w:val="1"/>
                <w:bCs w:val="1"/>
                <w:color w:val="355889"/>
              </w:rPr>
              <w:t>Age</w:t>
            </w:r>
          </w:p>
        </w:tc>
        <w:tc>
          <w:tcPr>
            <w:tcW w:w="160" w:type="dxa"/>
            <w:vAlign w:val="bottom"/>
          </w:tcPr>
          <w:p>
            <w:pPr>
              <w:spacing w:after="0"/>
              <w:rPr>
                <w:sz w:val="17"/>
                <w:szCs w:val="17"/>
                <w:color w:val="auto"/>
              </w:rPr>
            </w:pPr>
          </w:p>
        </w:tc>
        <w:tc>
          <w:tcPr>
            <w:tcW w:w="520" w:type="dxa"/>
            <w:vAlign w:val="bottom"/>
            <w:tcBorders>
              <w:bottom w:val="single" w:sz="8" w:color="355889"/>
            </w:tcBorders>
          </w:tcPr>
          <w:p>
            <w:pPr>
              <w:jc w:val="center"/>
              <w:spacing w:after="0"/>
              <w:rPr>
                <w:sz w:val="20"/>
                <w:szCs w:val="20"/>
                <w:color w:val="auto"/>
              </w:rPr>
            </w:pPr>
            <w:r>
              <w:rPr>
                <w:rFonts w:ascii="Arial" w:cs="Arial" w:eastAsia="Arial" w:hAnsi="Arial"/>
                <w:sz w:val="13"/>
                <w:szCs w:val="13"/>
                <w:b w:val="1"/>
                <w:bCs w:val="1"/>
                <w:color w:val="355889"/>
              </w:rPr>
              <w:t>Since</w:t>
            </w:r>
          </w:p>
        </w:tc>
      </w:tr>
      <w:tr>
        <w:trPr>
          <w:trHeight w:val="237"/>
        </w:trPr>
        <w:tc>
          <w:tcPr>
            <w:tcW w:w="10140" w:type="dxa"/>
            <w:vAlign w:val="bottom"/>
            <w:tcBorders>
              <w:bottom w:val="single" w:sz="8" w:color="355889"/>
            </w:tcBorders>
          </w:tcPr>
          <w:p>
            <w:pPr>
              <w:spacing w:after="0"/>
              <w:rPr>
                <w:sz w:val="20"/>
                <w:szCs w:val="20"/>
                <w:color w:val="auto"/>
              </w:rPr>
            </w:pPr>
            <w:r>
              <w:rPr>
                <w:rFonts w:ascii="Arial" w:cs="Arial" w:eastAsia="Arial" w:hAnsi="Arial"/>
                <w:sz w:val="18"/>
                <w:szCs w:val="18"/>
                <w:color w:val="auto"/>
              </w:rPr>
              <w:t>John H. Alschuler*</w:t>
            </w:r>
          </w:p>
        </w:tc>
        <w:tc>
          <w:tcPr>
            <w:tcW w:w="160" w:type="dxa"/>
            <w:vAlign w:val="bottom"/>
          </w:tcPr>
          <w:p>
            <w:pPr>
              <w:spacing w:after="0"/>
              <w:rPr>
                <w:sz w:val="20"/>
                <w:szCs w:val="20"/>
                <w:color w:val="auto"/>
              </w:rPr>
            </w:pPr>
          </w:p>
        </w:tc>
        <w:tc>
          <w:tcPr>
            <w:tcW w:w="26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9"/>
              </w:rPr>
              <w:t>72</w:t>
            </w:r>
          </w:p>
        </w:tc>
        <w:tc>
          <w:tcPr>
            <w:tcW w:w="160" w:type="dxa"/>
            <w:vAlign w:val="bottom"/>
          </w:tcPr>
          <w:p>
            <w:pPr>
              <w:spacing w:after="0"/>
              <w:rPr>
                <w:sz w:val="20"/>
                <w:szCs w:val="20"/>
                <w:color w:val="auto"/>
              </w:rPr>
            </w:pPr>
          </w:p>
        </w:tc>
        <w:tc>
          <w:tcPr>
            <w:tcW w:w="52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9"/>
              </w:rPr>
              <w:t>1997</w:t>
            </w:r>
          </w:p>
        </w:tc>
      </w:tr>
      <w:tr>
        <w:trPr>
          <w:trHeight w:val="236"/>
        </w:trPr>
        <w:tc>
          <w:tcPr>
            <w:tcW w:w="10140" w:type="dxa"/>
            <w:vAlign w:val="bottom"/>
            <w:tcBorders>
              <w:bottom w:val="single" w:sz="8" w:color="355889"/>
            </w:tcBorders>
          </w:tcPr>
          <w:p>
            <w:pPr>
              <w:spacing w:after="0"/>
              <w:rPr>
                <w:sz w:val="20"/>
                <w:szCs w:val="20"/>
                <w:color w:val="auto"/>
              </w:rPr>
            </w:pPr>
            <w:r>
              <w:rPr>
                <w:rFonts w:ascii="Arial" w:cs="Arial" w:eastAsia="Arial" w:hAnsi="Arial"/>
                <w:sz w:val="18"/>
                <w:szCs w:val="18"/>
                <w:color w:val="auto"/>
              </w:rPr>
              <w:t>Betsy Atkins*</w:t>
            </w:r>
          </w:p>
        </w:tc>
        <w:tc>
          <w:tcPr>
            <w:tcW w:w="160" w:type="dxa"/>
            <w:vAlign w:val="bottom"/>
          </w:tcPr>
          <w:p>
            <w:pPr>
              <w:spacing w:after="0"/>
              <w:rPr>
                <w:sz w:val="20"/>
                <w:szCs w:val="20"/>
                <w:color w:val="auto"/>
              </w:rPr>
            </w:pPr>
          </w:p>
        </w:tc>
        <w:tc>
          <w:tcPr>
            <w:tcW w:w="26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9"/>
              </w:rPr>
              <w:t>66</w:t>
            </w:r>
          </w:p>
        </w:tc>
        <w:tc>
          <w:tcPr>
            <w:tcW w:w="160" w:type="dxa"/>
            <w:vAlign w:val="bottom"/>
          </w:tcPr>
          <w:p>
            <w:pPr>
              <w:spacing w:after="0"/>
              <w:rPr>
                <w:sz w:val="20"/>
                <w:szCs w:val="20"/>
                <w:color w:val="auto"/>
              </w:rPr>
            </w:pPr>
          </w:p>
        </w:tc>
        <w:tc>
          <w:tcPr>
            <w:tcW w:w="52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9"/>
              </w:rPr>
              <w:t>2015</w:t>
            </w:r>
          </w:p>
        </w:tc>
      </w:tr>
      <w:tr>
        <w:trPr>
          <w:trHeight w:val="237"/>
        </w:trPr>
        <w:tc>
          <w:tcPr>
            <w:tcW w:w="10140" w:type="dxa"/>
            <w:vAlign w:val="bottom"/>
            <w:tcBorders>
              <w:bottom w:val="single" w:sz="8" w:color="355889"/>
            </w:tcBorders>
          </w:tcPr>
          <w:p>
            <w:pPr>
              <w:spacing w:after="0"/>
              <w:rPr>
                <w:sz w:val="20"/>
                <w:szCs w:val="20"/>
                <w:color w:val="auto"/>
              </w:rPr>
            </w:pPr>
            <w:r>
              <w:rPr>
                <w:rFonts w:ascii="Arial" w:cs="Arial" w:eastAsia="Arial" w:hAnsi="Arial"/>
                <w:sz w:val="18"/>
                <w:szCs w:val="18"/>
                <w:color w:val="auto"/>
              </w:rPr>
              <w:t>Edwin T. Burton, III*</w:t>
            </w:r>
          </w:p>
        </w:tc>
        <w:tc>
          <w:tcPr>
            <w:tcW w:w="160" w:type="dxa"/>
            <w:vAlign w:val="bottom"/>
          </w:tcPr>
          <w:p>
            <w:pPr>
              <w:spacing w:after="0"/>
              <w:rPr>
                <w:sz w:val="20"/>
                <w:szCs w:val="20"/>
                <w:color w:val="auto"/>
              </w:rPr>
            </w:pPr>
          </w:p>
        </w:tc>
        <w:tc>
          <w:tcPr>
            <w:tcW w:w="26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9"/>
              </w:rPr>
              <w:t>77</w:t>
            </w:r>
          </w:p>
        </w:tc>
        <w:tc>
          <w:tcPr>
            <w:tcW w:w="160" w:type="dxa"/>
            <w:vAlign w:val="bottom"/>
          </w:tcPr>
          <w:p>
            <w:pPr>
              <w:spacing w:after="0"/>
              <w:rPr>
                <w:sz w:val="20"/>
                <w:szCs w:val="20"/>
                <w:color w:val="auto"/>
              </w:rPr>
            </w:pPr>
          </w:p>
        </w:tc>
        <w:tc>
          <w:tcPr>
            <w:tcW w:w="52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9"/>
              </w:rPr>
              <w:t>1997</w:t>
            </w:r>
          </w:p>
        </w:tc>
      </w:tr>
      <w:tr>
        <w:trPr>
          <w:trHeight w:val="237"/>
        </w:trPr>
        <w:tc>
          <w:tcPr>
            <w:tcW w:w="10140" w:type="dxa"/>
            <w:vAlign w:val="bottom"/>
            <w:tcBorders>
              <w:bottom w:val="single" w:sz="8" w:color="355889"/>
            </w:tcBorders>
          </w:tcPr>
          <w:p>
            <w:pPr>
              <w:spacing w:after="0"/>
              <w:rPr>
                <w:sz w:val="20"/>
                <w:szCs w:val="20"/>
                <w:color w:val="auto"/>
              </w:rPr>
            </w:pPr>
            <w:r>
              <w:rPr>
                <w:rFonts w:ascii="Arial" w:cs="Arial" w:eastAsia="Arial" w:hAnsi="Arial"/>
                <w:sz w:val="18"/>
                <w:szCs w:val="18"/>
                <w:color w:val="auto"/>
              </w:rPr>
              <w:t>Lauren B. Dillard*</w:t>
            </w:r>
          </w:p>
        </w:tc>
        <w:tc>
          <w:tcPr>
            <w:tcW w:w="160" w:type="dxa"/>
            <w:vAlign w:val="bottom"/>
          </w:tcPr>
          <w:p>
            <w:pPr>
              <w:spacing w:after="0"/>
              <w:rPr>
                <w:sz w:val="20"/>
                <w:szCs w:val="20"/>
                <w:color w:val="auto"/>
              </w:rPr>
            </w:pPr>
          </w:p>
        </w:tc>
        <w:tc>
          <w:tcPr>
            <w:tcW w:w="26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9"/>
              </w:rPr>
              <w:t>44</w:t>
            </w:r>
          </w:p>
        </w:tc>
        <w:tc>
          <w:tcPr>
            <w:tcW w:w="160" w:type="dxa"/>
            <w:vAlign w:val="bottom"/>
          </w:tcPr>
          <w:p>
            <w:pPr>
              <w:spacing w:after="0"/>
              <w:rPr>
                <w:sz w:val="20"/>
                <w:szCs w:val="20"/>
                <w:color w:val="auto"/>
              </w:rPr>
            </w:pPr>
          </w:p>
        </w:tc>
        <w:tc>
          <w:tcPr>
            <w:tcW w:w="52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9"/>
              </w:rPr>
              <w:t>2016</w:t>
            </w:r>
          </w:p>
        </w:tc>
      </w:tr>
      <w:tr>
        <w:trPr>
          <w:trHeight w:val="236"/>
        </w:trPr>
        <w:tc>
          <w:tcPr>
            <w:tcW w:w="10140" w:type="dxa"/>
            <w:vAlign w:val="bottom"/>
            <w:tcBorders>
              <w:bottom w:val="single" w:sz="8" w:color="355889"/>
            </w:tcBorders>
          </w:tcPr>
          <w:p>
            <w:pPr>
              <w:spacing w:after="0"/>
              <w:rPr>
                <w:sz w:val="20"/>
                <w:szCs w:val="20"/>
                <w:color w:val="auto"/>
              </w:rPr>
            </w:pPr>
            <w:r>
              <w:rPr>
                <w:rFonts w:ascii="Arial" w:cs="Arial" w:eastAsia="Arial" w:hAnsi="Arial"/>
                <w:sz w:val="18"/>
                <w:szCs w:val="18"/>
                <w:color w:val="auto"/>
              </w:rPr>
              <w:t>Stephen L. Green</w:t>
            </w:r>
          </w:p>
        </w:tc>
        <w:tc>
          <w:tcPr>
            <w:tcW w:w="160" w:type="dxa"/>
            <w:vAlign w:val="bottom"/>
          </w:tcPr>
          <w:p>
            <w:pPr>
              <w:spacing w:after="0"/>
              <w:rPr>
                <w:sz w:val="20"/>
                <w:szCs w:val="20"/>
                <w:color w:val="auto"/>
              </w:rPr>
            </w:pPr>
          </w:p>
        </w:tc>
        <w:tc>
          <w:tcPr>
            <w:tcW w:w="26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9"/>
              </w:rPr>
              <w:t>82</w:t>
            </w:r>
          </w:p>
        </w:tc>
        <w:tc>
          <w:tcPr>
            <w:tcW w:w="160" w:type="dxa"/>
            <w:vAlign w:val="bottom"/>
          </w:tcPr>
          <w:p>
            <w:pPr>
              <w:spacing w:after="0"/>
              <w:rPr>
                <w:sz w:val="20"/>
                <w:szCs w:val="20"/>
                <w:color w:val="auto"/>
              </w:rPr>
            </w:pPr>
          </w:p>
        </w:tc>
        <w:tc>
          <w:tcPr>
            <w:tcW w:w="52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9"/>
              </w:rPr>
              <w:t>1997</w:t>
            </w:r>
          </w:p>
        </w:tc>
      </w:tr>
      <w:tr>
        <w:trPr>
          <w:trHeight w:val="237"/>
        </w:trPr>
        <w:tc>
          <w:tcPr>
            <w:tcW w:w="10140" w:type="dxa"/>
            <w:vAlign w:val="bottom"/>
            <w:tcBorders>
              <w:bottom w:val="single" w:sz="8" w:color="355889"/>
            </w:tcBorders>
          </w:tcPr>
          <w:p>
            <w:pPr>
              <w:spacing w:after="0"/>
              <w:rPr>
                <w:sz w:val="20"/>
                <w:szCs w:val="20"/>
                <w:color w:val="auto"/>
              </w:rPr>
            </w:pPr>
            <w:r>
              <w:rPr>
                <w:rFonts w:ascii="Arial" w:cs="Arial" w:eastAsia="Arial" w:hAnsi="Arial"/>
                <w:sz w:val="18"/>
                <w:szCs w:val="18"/>
                <w:color w:val="auto"/>
              </w:rPr>
              <w:t>Craig M. Hatkoff*</w:t>
            </w:r>
          </w:p>
        </w:tc>
        <w:tc>
          <w:tcPr>
            <w:tcW w:w="160" w:type="dxa"/>
            <w:vAlign w:val="bottom"/>
          </w:tcPr>
          <w:p>
            <w:pPr>
              <w:spacing w:after="0"/>
              <w:rPr>
                <w:sz w:val="20"/>
                <w:szCs w:val="20"/>
                <w:color w:val="auto"/>
              </w:rPr>
            </w:pPr>
          </w:p>
        </w:tc>
        <w:tc>
          <w:tcPr>
            <w:tcW w:w="26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9"/>
              </w:rPr>
              <w:t>66</w:t>
            </w:r>
          </w:p>
        </w:tc>
        <w:tc>
          <w:tcPr>
            <w:tcW w:w="160" w:type="dxa"/>
            <w:vAlign w:val="bottom"/>
          </w:tcPr>
          <w:p>
            <w:pPr>
              <w:spacing w:after="0"/>
              <w:rPr>
                <w:sz w:val="20"/>
                <w:szCs w:val="20"/>
                <w:color w:val="auto"/>
              </w:rPr>
            </w:pPr>
          </w:p>
        </w:tc>
        <w:tc>
          <w:tcPr>
            <w:tcW w:w="52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9"/>
              </w:rPr>
              <w:t>2011</w:t>
            </w:r>
          </w:p>
        </w:tc>
      </w:tr>
      <w:tr>
        <w:trPr>
          <w:trHeight w:val="236"/>
        </w:trPr>
        <w:tc>
          <w:tcPr>
            <w:tcW w:w="10140" w:type="dxa"/>
            <w:vAlign w:val="bottom"/>
            <w:tcBorders>
              <w:bottom w:val="single" w:sz="8" w:color="355889"/>
            </w:tcBorders>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26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9"/>
              </w:rPr>
              <w:t>53</w:t>
            </w:r>
          </w:p>
        </w:tc>
        <w:tc>
          <w:tcPr>
            <w:tcW w:w="160" w:type="dxa"/>
            <w:vAlign w:val="bottom"/>
          </w:tcPr>
          <w:p>
            <w:pPr>
              <w:spacing w:after="0"/>
              <w:rPr>
                <w:sz w:val="20"/>
                <w:szCs w:val="20"/>
                <w:color w:val="auto"/>
              </w:rPr>
            </w:pPr>
          </w:p>
        </w:tc>
        <w:tc>
          <w:tcPr>
            <w:tcW w:w="52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9"/>
              </w:rPr>
              <w:t>2001</w:t>
            </w:r>
          </w:p>
        </w:tc>
      </w:tr>
      <w:tr>
        <w:trPr>
          <w:trHeight w:val="237"/>
        </w:trPr>
        <w:tc>
          <w:tcPr>
            <w:tcW w:w="10140" w:type="dxa"/>
            <w:vAlign w:val="bottom"/>
            <w:tcBorders>
              <w:bottom w:val="single" w:sz="8" w:color="355889"/>
            </w:tcBorders>
          </w:tcPr>
          <w:p>
            <w:pPr>
              <w:spacing w:after="0"/>
              <w:rPr>
                <w:sz w:val="20"/>
                <w:szCs w:val="20"/>
                <w:color w:val="auto"/>
              </w:rPr>
            </w:pPr>
            <w:r>
              <w:rPr>
                <w:rFonts w:ascii="Arial" w:cs="Arial" w:eastAsia="Arial" w:hAnsi="Arial"/>
                <w:sz w:val="18"/>
                <w:szCs w:val="18"/>
                <w:color w:val="auto"/>
              </w:rPr>
              <w:t>John S. Levy*</w:t>
            </w:r>
          </w:p>
        </w:tc>
        <w:tc>
          <w:tcPr>
            <w:tcW w:w="160" w:type="dxa"/>
            <w:vAlign w:val="bottom"/>
          </w:tcPr>
          <w:p>
            <w:pPr>
              <w:spacing w:after="0"/>
              <w:rPr>
                <w:sz w:val="20"/>
                <w:szCs w:val="20"/>
                <w:color w:val="auto"/>
              </w:rPr>
            </w:pPr>
          </w:p>
        </w:tc>
        <w:tc>
          <w:tcPr>
            <w:tcW w:w="26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9"/>
              </w:rPr>
              <w:t>84</w:t>
            </w:r>
          </w:p>
        </w:tc>
        <w:tc>
          <w:tcPr>
            <w:tcW w:w="160" w:type="dxa"/>
            <w:vAlign w:val="bottom"/>
          </w:tcPr>
          <w:p>
            <w:pPr>
              <w:spacing w:after="0"/>
              <w:rPr>
                <w:sz w:val="20"/>
                <w:szCs w:val="20"/>
                <w:color w:val="auto"/>
              </w:rPr>
            </w:pPr>
          </w:p>
        </w:tc>
        <w:tc>
          <w:tcPr>
            <w:tcW w:w="52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9"/>
              </w:rPr>
              <w:t>1997</w:t>
            </w:r>
          </w:p>
        </w:tc>
      </w:tr>
      <w:tr>
        <w:trPr>
          <w:trHeight w:val="250"/>
        </w:trPr>
        <w:tc>
          <w:tcPr>
            <w:tcW w:w="10140" w:type="dxa"/>
            <w:vAlign w:val="bottom"/>
            <w:tcBorders>
              <w:bottom w:val="single" w:sz="8" w:color="355889"/>
            </w:tcBorders>
          </w:tcPr>
          <w:p>
            <w:pPr>
              <w:spacing w:after="0"/>
              <w:rPr>
                <w:sz w:val="20"/>
                <w:szCs w:val="20"/>
                <w:color w:val="auto"/>
              </w:rPr>
            </w:pPr>
            <w:r>
              <w:rPr>
                <w:rFonts w:ascii="Arial" w:cs="Arial" w:eastAsia="Arial" w:hAnsi="Arial"/>
                <w:sz w:val="18"/>
                <w:szCs w:val="18"/>
                <w:color w:val="auto"/>
              </w:rPr>
              <w:t>Andrew W. Mathias</w:t>
            </w:r>
          </w:p>
        </w:tc>
        <w:tc>
          <w:tcPr>
            <w:tcW w:w="160" w:type="dxa"/>
            <w:vAlign w:val="bottom"/>
          </w:tcPr>
          <w:p>
            <w:pPr>
              <w:spacing w:after="0"/>
              <w:rPr>
                <w:sz w:val="21"/>
                <w:szCs w:val="21"/>
                <w:color w:val="auto"/>
              </w:rPr>
            </w:pPr>
          </w:p>
        </w:tc>
        <w:tc>
          <w:tcPr>
            <w:tcW w:w="26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9"/>
              </w:rPr>
              <w:t>46</w:t>
            </w:r>
          </w:p>
        </w:tc>
        <w:tc>
          <w:tcPr>
            <w:tcW w:w="160" w:type="dxa"/>
            <w:vAlign w:val="bottom"/>
          </w:tcPr>
          <w:p>
            <w:pPr>
              <w:spacing w:after="0"/>
              <w:rPr>
                <w:sz w:val="21"/>
                <w:szCs w:val="21"/>
                <w:color w:val="auto"/>
              </w:rPr>
            </w:pPr>
          </w:p>
        </w:tc>
        <w:tc>
          <w:tcPr>
            <w:tcW w:w="52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9"/>
              </w:rPr>
              <w:t>2014</w:t>
            </w:r>
          </w:p>
        </w:tc>
      </w:tr>
    </w:tbl>
    <w:p>
      <w:pPr>
        <w:spacing w:after="0" w:line="148"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Independent Director</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Director Nominees Business Experience</w:t>
      </w:r>
    </w:p>
    <w:p>
      <w:pPr>
        <w:spacing w:after="0" w:line="233"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The matrix below represents some of the key skills that our Board has identified as particularly valuable to the effective oversight of the Company and the execution of our strategy. This matrix highlights the depth and breadth of skills of our current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130810</wp:posOffset>
            </wp:positionV>
            <wp:extent cx="2545715" cy="1431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45715" cy="1431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392"/>
        </w:trPr>
        <w:tc>
          <w:tcPr>
            <w:tcW w:w="620" w:type="dxa"/>
            <w:vAlign w:val="bottom"/>
            <w:shd w:val="clear" w:color="auto" w:fill="9BA8C3"/>
          </w:tcPr>
          <w:p>
            <w:pPr>
              <w:spacing w:after="0"/>
              <w:rPr>
                <w:sz w:val="24"/>
                <w:szCs w:val="24"/>
                <w:color w:val="auto"/>
              </w:rPr>
            </w:pPr>
          </w:p>
        </w:tc>
        <w:tc>
          <w:tcPr>
            <w:tcW w:w="2900" w:type="dxa"/>
            <w:vAlign w:val="bottom"/>
            <w:shd w:val="clear" w:color="auto" w:fill="9BA8C3"/>
          </w:tcPr>
          <w:p>
            <w:pPr>
              <w:spacing w:after="0"/>
              <w:rPr>
                <w:sz w:val="20"/>
                <w:szCs w:val="20"/>
                <w:color w:val="auto"/>
              </w:rPr>
            </w:pPr>
            <w:r>
              <w:rPr>
                <w:rFonts w:ascii="Arial" w:cs="Arial" w:eastAsia="Arial" w:hAnsi="Arial"/>
                <w:sz w:val="13"/>
                <w:szCs w:val="13"/>
                <w:b w:val="1"/>
                <w:bCs w:val="1"/>
                <w:color w:val="355889"/>
              </w:rPr>
              <w:t>Executive Leadership</w:t>
            </w:r>
          </w:p>
        </w:tc>
        <w:tc>
          <w:tcPr>
            <w:tcW w:w="100" w:type="dxa"/>
            <w:vAlign w:val="bottom"/>
            <w:shd w:val="clear" w:color="auto" w:fill="9BA8C3"/>
          </w:tcPr>
          <w:p>
            <w:pPr>
              <w:jc w:val="right"/>
              <w:spacing w:after="0"/>
              <w:rPr>
                <w:sz w:val="20"/>
                <w:szCs w:val="20"/>
                <w:color w:val="auto"/>
              </w:rPr>
            </w:pPr>
            <w:r>
              <w:rPr>
                <w:rFonts w:ascii="Arial" w:cs="Arial" w:eastAsia="Arial" w:hAnsi="Arial"/>
                <w:sz w:val="18"/>
                <w:szCs w:val="18"/>
                <w:b w:val="1"/>
                <w:bCs w:val="1"/>
                <w:color w:val="355889"/>
                <w:w w:val="79"/>
                <w:shd w:val="clear" w:color="auto" w:fill="9BA8C3"/>
              </w:rPr>
              <w:t>9</w:t>
            </w:r>
          </w:p>
        </w:tc>
        <w:tc>
          <w:tcPr>
            <w:tcW w:w="280" w:type="dxa"/>
            <w:vAlign w:val="bottom"/>
            <w:shd w:val="clear" w:color="auto" w:fill="9BA8C3"/>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20" w:type="dxa"/>
            <w:vAlign w:val="bottom"/>
            <w:shd w:val="clear" w:color="auto" w:fill="9BA8C3"/>
          </w:tcPr>
          <w:p>
            <w:pPr>
              <w:spacing w:after="0"/>
              <w:rPr>
                <w:sz w:val="8"/>
                <w:szCs w:val="8"/>
                <w:color w:val="auto"/>
              </w:rPr>
            </w:pPr>
          </w:p>
        </w:tc>
        <w:tc>
          <w:tcPr>
            <w:tcW w:w="2900" w:type="dxa"/>
            <w:vAlign w:val="bottom"/>
            <w:vMerge w:val="restart"/>
            <w:shd w:val="clear" w:color="auto" w:fill="9BA8C3"/>
          </w:tcPr>
          <w:p>
            <w:pPr>
              <w:spacing w:after="0"/>
              <w:rPr>
                <w:sz w:val="20"/>
                <w:szCs w:val="20"/>
                <w:color w:val="auto"/>
              </w:rPr>
            </w:pPr>
            <w:r>
              <w:rPr>
                <w:rFonts w:ascii="Arial" w:cs="Arial" w:eastAsia="Arial" w:hAnsi="Arial"/>
                <w:sz w:val="13"/>
                <w:szCs w:val="13"/>
                <w:b w:val="1"/>
                <w:bCs w:val="1"/>
                <w:color w:val="355889"/>
              </w:rPr>
              <w:t>Public Company Board Service/ Corporate</w:t>
            </w:r>
          </w:p>
        </w:tc>
        <w:tc>
          <w:tcPr>
            <w:tcW w:w="100" w:type="dxa"/>
            <w:vAlign w:val="bottom"/>
            <w:vMerge w:val="restart"/>
            <w:shd w:val="clear" w:color="auto" w:fill="9BA8C3"/>
          </w:tcPr>
          <w:p>
            <w:pPr>
              <w:jc w:val="right"/>
              <w:spacing w:after="0"/>
              <w:rPr>
                <w:sz w:val="20"/>
                <w:szCs w:val="20"/>
                <w:color w:val="auto"/>
              </w:rPr>
            </w:pPr>
            <w:r>
              <w:rPr>
                <w:rFonts w:ascii="Arial" w:cs="Arial" w:eastAsia="Arial" w:hAnsi="Arial"/>
                <w:sz w:val="18"/>
                <w:szCs w:val="18"/>
                <w:b w:val="1"/>
                <w:bCs w:val="1"/>
                <w:color w:val="355889"/>
                <w:w w:val="79"/>
                <w:shd w:val="clear" w:color="auto" w:fill="9BA8C3"/>
              </w:rPr>
              <w:t>6</w:t>
            </w:r>
          </w:p>
        </w:tc>
        <w:tc>
          <w:tcPr>
            <w:tcW w:w="280" w:type="dxa"/>
            <w:vAlign w:val="bottom"/>
            <w:shd w:val="clear" w:color="auto" w:fill="9BA8C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620" w:type="dxa"/>
            <w:vAlign w:val="bottom"/>
            <w:shd w:val="clear" w:color="auto" w:fill="9BA8C3"/>
          </w:tcPr>
          <w:p>
            <w:pPr>
              <w:spacing w:after="0"/>
              <w:rPr>
                <w:sz w:val="16"/>
                <w:szCs w:val="16"/>
                <w:color w:val="auto"/>
              </w:rPr>
            </w:pPr>
          </w:p>
        </w:tc>
        <w:tc>
          <w:tcPr>
            <w:tcW w:w="2900" w:type="dxa"/>
            <w:vAlign w:val="bottom"/>
            <w:vMerge w:val="continue"/>
            <w:shd w:val="clear" w:color="auto" w:fill="9BA8C3"/>
          </w:tcPr>
          <w:p>
            <w:pPr>
              <w:spacing w:after="0"/>
              <w:rPr>
                <w:sz w:val="16"/>
                <w:szCs w:val="16"/>
                <w:color w:val="auto"/>
              </w:rPr>
            </w:pPr>
          </w:p>
        </w:tc>
        <w:tc>
          <w:tcPr>
            <w:tcW w:w="100" w:type="dxa"/>
            <w:vAlign w:val="bottom"/>
            <w:vMerge w:val="continue"/>
            <w:shd w:val="clear" w:color="auto" w:fill="9BA8C3"/>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20" w:type="dxa"/>
            <w:vAlign w:val="bottom"/>
            <w:shd w:val="clear" w:color="auto" w:fill="9BA8C3"/>
          </w:tcPr>
          <w:p>
            <w:pPr>
              <w:spacing w:after="0"/>
              <w:rPr>
                <w:sz w:val="12"/>
                <w:szCs w:val="12"/>
                <w:color w:val="auto"/>
              </w:rPr>
            </w:pPr>
          </w:p>
        </w:tc>
        <w:tc>
          <w:tcPr>
            <w:tcW w:w="2900" w:type="dxa"/>
            <w:vAlign w:val="bottom"/>
            <w:vMerge w:val="continue"/>
            <w:shd w:val="clear" w:color="auto" w:fill="9BA8C3"/>
          </w:tcPr>
          <w:p>
            <w:pPr>
              <w:spacing w:after="0"/>
              <w:rPr>
                <w:sz w:val="12"/>
                <w:szCs w:val="12"/>
                <w:color w:val="auto"/>
              </w:rPr>
            </w:pPr>
          </w:p>
        </w:tc>
        <w:tc>
          <w:tcPr>
            <w:tcW w:w="100" w:type="dxa"/>
            <w:vAlign w:val="bottom"/>
            <w:vMerge w:val="continue"/>
            <w:shd w:val="clear" w:color="auto" w:fill="9BA8C3"/>
          </w:tcPr>
          <w:p>
            <w:pPr>
              <w:spacing w:after="0"/>
              <w:rPr>
                <w:sz w:val="12"/>
                <w:szCs w:val="12"/>
                <w:color w:val="auto"/>
              </w:rPr>
            </w:pPr>
          </w:p>
        </w:tc>
        <w:tc>
          <w:tcPr>
            <w:tcW w:w="280" w:type="dxa"/>
            <w:vAlign w:val="bottom"/>
            <w:shd w:val="clear" w:color="auto" w:fill="9BA8C3"/>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20" w:type="dxa"/>
            <w:vAlign w:val="bottom"/>
            <w:shd w:val="clear" w:color="auto" w:fill="9BA8C3"/>
          </w:tcPr>
          <w:p>
            <w:pPr>
              <w:spacing w:after="0"/>
              <w:rPr>
                <w:sz w:val="15"/>
                <w:szCs w:val="15"/>
                <w:color w:val="auto"/>
              </w:rPr>
            </w:pPr>
          </w:p>
        </w:tc>
        <w:tc>
          <w:tcPr>
            <w:tcW w:w="2900" w:type="dxa"/>
            <w:vAlign w:val="bottom"/>
            <w:shd w:val="clear" w:color="auto" w:fill="9BA8C3"/>
          </w:tcPr>
          <w:p>
            <w:pPr>
              <w:spacing w:after="0"/>
              <w:rPr>
                <w:sz w:val="20"/>
                <w:szCs w:val="20"/>
                <w:color w:val="auto"/>
              </w:rPr>
            </w:pPr>
            <w:r>
              <w:rPr>
                <w:rFonts w:ascii="Arial" w:cs="Arial" w:eastAsia="Arial" w:hAnsi="Arial"/>
                <w:sz w:val="13"/>
                <w:szCs w:val="13"/>
                <w:b w:val="1"/>
                <w:bCs w:val="1"/>
                <w:color w:val="355889"/>
              </w:rPr>
              <w:t>Governance</w:t>
            </w:r>
          </w:p>
        </w:tc>
        <w:tc>
          <w:tcPr>
            <w:tcW w:w="100" w:type="dxa"/>
            <w:vAlign w:val="bottom"/>
            <w:vMerge w:val="restart"/>
            <w:shd w:val="clear" w:color="auto" w:fill="9BA8C3"/>
          </w:tcPr>
          <w:p>
            <w:pPr>
              <w:jc w:val="right"/>
              <w:spacing w:after="0"/>
              <w:rPr>
                <w:sz w:val="20"/>
                <w:szCs w:val="20"/>
                <w:color w:val="auto"/>
              </w:rPr>
            </w:pPr>
            <w:r>
              <w:rPr>
                <w:rFonts w:ascii="Arial" w:cs="Arial" w:eastAsia="Arial" w:hAnsi="Arial"/>
                <w:sz w:val="18"/>
                <w:szCs w:val="18"/>
                <w:b w:val="1"/>
                <w:bCs w:val="1"/>
                <w:color w:val="355889"/>
                <w:w w:val="79"/>
                <w:shd w:val="clear" w:color="auto" w:fill="9BA8C3"/>
              </w:rPr>
              <w:t>5</w:t>
            </w:r>
          </w:p>
        </w:tc>
        <w:tc>
          <w:tcPr>
            <w:tcW w:w="280" w:type="dxa"/>
            <w:vAlign w:val="bottom"/>
            <w:shd w:val="clear" w:color="auto" w:fill="9BA8C3"/>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620" w:type="dxa"/>
            <w:vAlign w:val="bottom"/>
            <w:shd w:val="clear" w:color="auto" w:fill="9BA8C3"/>
          </w:tcPr>
          <w:p>
            <w:pPr>
              <w:spacing w:after="0"/>
              <w:rPr>
                <w:sz w:val="24"/>
                <w:szCs w:val="24"/>
                <w:color w:val="auto"/>
              </w:rPr>
            </w:pPr>
          </w:p>
        </w:tc>
        <w:tc>
          <w:tcPr>
            <w:tcW w:w="2900" w:type="dxa"/>
            <w:vAlign w:val="bottom"/>
            <w:shd w:val="clear" w:color="auto" w:fill="9BA8C3"/>
          </w:tcPr>
          <w:p>
            <w:pPr>
              <w:spacing w:after="0"/>
              <w:rPr>
                <w:sz w:val="20"/>
                <w:szCs w:val="20"/>
                <w:color w:val="auto"/>
              </w:rPr>
            </w:pPr>
            <w:r>
              <w:rPr>
                <w:rFonts w:ascii="Arial" w:cs="Arial" w:eastAsia="Arial" w:hAnsi="Arial"/>
                <w:sz w:val="13"/>
                <w:szCs w:val="13"/>
                <w:b w:val="1"/>
                <w:bCs w:val="1"/>
                <w:color w:val="355889"/>
              </w:rPr>
              <w:t>Talent Management</w:t>
            </w:r>
          </w:p>
        </w:tc>
        <w:tc>
          <w:tcPr>
            <w:tcW w:w="100" w:type="dxa"/>
            <w:vAlign w:val="bottom"/>
            <w:vMerge w:val="continue"/>
            <w:shd w:val="clear" w:color="auto" w:fill="9BA8C3"/>
          </w:tcPr>
          <w:p>
            <w:pPr>
              <w:spacing w:after="0"/>
              <w:rPr>
                <w:sz w:val="24"/>
                <w:szCs w:val="24"/>
                <w:color w:val="auto"/>
              </w:rPr>
            </w:pPr>
          </w:p>
        </w:tc>
        <w:tc>
          <w:tcPr>
            <w:tcW w:w="280" w:type="dxa"/>
            <w:vAlign w:val="bottom"/>
            <w:shd w:val="clear" w:color="auto" w:fill="9BA8C3"/>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shd w:val="clear" w:color="auto" w:fill="9BA8C3"/>
          </w:tcPr>
          <w:p>
            <w:pPr>
              <w:spacing w:after="0"/>
              <w:rPr>
                <w:sz w:val="24"/>
                <w:szCs w:val="24"/>
                <w:color w:val="auto"/>
              </w:rPr>
            </w:pPr>
          </w:p>
        </w:tc>
        <w:tc>
          <w:tcPr>
            <w:tcW w:w="2900" w:type="dxa"/>
            <w:vAlign w:val="bottom"/>
            <w:shd w:val="clear" w:color="auto" w:fill="9BA8C3"/>
          </w:tcPr>
          <w:p>
            <w:pPr>
              <w:spacing w:after="0"/>
              <w:rPr>
                <w:sz w:val="20"/>
                <w:szCs w:val="20"/>
                <w:color w:val="auto"/>
              </w:rPr>
            </w:pPr>
            <w:r>
              <w:rPr>
                <w:rFonts w:ascii="Arial" w:cs="Arial" w:eastAsia="Arial" w:hAnsi="Arial"/>
                <w:sz w:val="13"/>
                <w:szCs w:val="13"/>
                <w:b w:val="1"/>
                <w:bCs w:val="1"/>
                <w:color w:val="355889"/>
              </w:rPr>
              <w:t>Governmental/Regulatory Experience</w:t>
            </w:r>
          </w:p>
        </w:tc>
        <w:tc>
          <w:tcPr>
            <w:tcW w:w="100" w:type="dxa"/>
            <w:vAlign w:val="bottom"/>
            <w:shd w:val="clear" w:color="auto" w:fill="9BA8C3"/>
          </w:tcPr>
          <w:p>
            <w:pPr>
              <w:jc w:val="right"/>
              <w:spacing w:after="0"/>
              <w:rPr>
                <w:sz w:val="20"/>
                <w:szCs w:val="20"/>
                <w:color w:val="auto"/>
              </w:rPr>
            </w:pPr>
            <w:r>
              <w:rPr>
                <w:rFonts w:ascii="Arial" w:cs="Arial" w:eastAsia="Arial" w:hAnsi="Arial"/>
                <w:sz w:val="18"/>
                <w:szCs w:val="18"/>
                <w:b w:val="1"/>
                <w:bCs w:val="1"/>
                <w:color w:val="355889"/>
                <w:w w:val="79"/>
                <w:shd w:val="clear" w:color="auto" w:fill="9BA8C3"/>
              </w:rPr>
              <w:t>2</w:t>
            </w:r>
          </w:p>
        </w:tc>
        <w:tc>
          <w:tcPr>
            <w:tcW w:w="280" w:type="dxa"/>
            <w:vAlign w:val="bottom"/>
            <w:shd w:val="clear" w:color="auto" w:fill="9BA8C3"/>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20" w:type="dxa"/>
            <w:vAlign w:val="bottom"/>
            <w:shd w:val="clear" w:color="auto" w:fill="9BA8C3"/>
          </w:tcPr>
          <w:p>
            <w:pPr>
              <w:spacing w:after="0"/>
              <w:rPr>
                <w:sz w:val="24"/>
                <w:szCs w:val="24"/>
                <w:color w:val="auto"/>
              </w:rPr>
            </w:pPr>
          </w:p>
        </w:tc>
        <w:tc>
          <w:tcPr>
            <w:tcW w:w="2900" w:type="dxa"/>
            <w:vAlign w:val="bottom"/>
            <w:shd w:val="clear" w:color="auto" w:fill="9BA8C3"/>
          </w:tcPr>
          <w:p>
            <w:pPr>
              <w:spacing w:after="0"/>
              <w:rPr>
                <w:sz w:val="24"/>
                <w:szCs w:val="24"/>
                <w:color w:val="auto"/>
              </w:rPr>
            </w:pPr>
          </w:p>
        </w:tc>
        <w:tc>
          <w:tcPr>
            <w:tcW w:w="100" w:type="dxa"/>
            <w:vAlign w:val="bottom"/>
            <w:shd w:val="clear" w:color="auto" w:fill="9BA8C3"/>
          </w:tcPr>
          <w:p>
            <w:pPr>
              <w:spacing w:after="0"/>
              <w:rPr>
                <w:sz w:val="24"/>
                <w:szCs w:val="24"/>
                <w:color w:val="auto"/>
              </w:rPr>
            </w:pPr>
          </w:p>
        </w:tc>
        <w:tc>
          <w:tcPr>
            <w:tcW w:w="280" w:type="dxa"/>
            <w:vAlign w:val="bottom"/>
            <w:shd w:val="clear" w:color="auto" w:fill="9BA8C3"/>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-1319530</wp:posOffset>
            </wp:positionV>
            <wp:extent cx="1482725" cy="1208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82725" cy="1208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Finance/Capital Markets</w:t>
      </w: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REIT/Real Estate Industry</w:t>
      </w: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Academia</w:t>
      </w: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Technology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740" w:type="dxa"/>
            <w:vAlign w:val="bottom"/>
            <w:shd w:val="clear" w:color="auto" w:fill="9BA8C3"/>
          </w:tcPr>
          <w:p>
            <w:pPr>
              <w:spacing w:after="0"/>
              <w:rPr>
                <w:sz w:val="16"/>
                <w:szCs w:val="16"/>
                <w:color w:val="auto"/>
              </w:rPr>
            </w:pPr>
          </w:p>
        </w:tc>
        <w:tc>
          <w:tcPr>
            <w:tcW w:w="2860" w:type="dxa"/>
            <w:vAlign w:val="bottom"/>
            <w:shd w:val="clear" w:color="auto" w:fill="9BA8C3"/>
          </w:tcPr>
          <w:p>
            <w:pPr>
              <w:spacing w:after="0"/>
              <w:rPr>
                <w:sz w:val="16"/>
                <w:szCs w:val="16"/>
                <w:color w:val="auto"/>
              </w:rPr>
            </w:pPr>
          </w:p>
        </w:tc>
        <w:tc>
          <w:tcPr>
            <w:tcW w:w="100" w:type="dxa"/>
            <w:vAlign w:val="bottom"/>
            <w:shd w:val="clear" w:color="auto" w:fill="9BA8C3"/>
          </w:tcPr>
          <w:p>
            <w:pPr>
              <w:spacing w:after="0"/>
              <w:rPr>
                <w:sz w:val="16"/>
                <w:szCs w:val="16"/>
                <w:color w:val="auto"/>
              </w:rPr>
            </w:pPr>
          </w:p>
        </w:tc>
        <w:tc>
          <w:tcPr>
            <w:tcW w:w="180" w:type="dxa"/>
            <w:vAlign w:val="bottom"/>
            <w:shd w:val="clear" w:color="auto" w:fill="9BA8C3"/>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9BA8C3"/>
          </w:tcPr>
          <w:p>
            <w:pPr>
              <w:jc w:val="right"/>
              <w:spacing w:after="0" w:line="202" w:lineRule="exact"/>
              <w:rPr>
                <w:sz w:val="20"/>
                <w:szCs w:val="20"/>
                <w:color w:val="auto"/>
              </w:rPr>
            </w:pPr>
            <w:r>
              <w:rPr>
                <w:rFonts w:ascii="Arial" w:cs="Arial" w:eastAsia="Arial" w:hAnsi="Arial"/>
                <w:sz w:val="18"/>
                <w:szCs w:val="18"/>
                <w:b w:val="1"/>
                <w:bCs w:val="1"/>
                <w:color w:val="355889"/>
                <w:w w:val="79"/>
                <w:shd w:val="clear" w:color="auto" w:fill="9BA8C3"/>
              </w:rPr>
              <w:t>9</w:t>
            </w:r>
          </w:p>
        </w:tc>
        <w:tc>
          <w:tcPr>
            <w:tcW w:w="740" w:type="dxa"/>
            <w:vAlign w:val="bottom"/>
            <w:shd w:val="clear" w:color="auto" w:fill="9BA8C3"/>
          </w:tcPr>
          <w:p>
            <w:pPr>
              <w:spacing w:after="0"/>
              <w:rPr>
                <w:sz w:val="17"/>
                <w:szCs w:val="17"/>
                <w:color w:val="auto"/>
              </w:rPr>
            </w:pPr>
          </w:p>
        </w:tc>
        <w:tc>
          <w:tcPr>
            <w:tcW w:w="2860" w:type="dxa"/>
            <w:vAlign w:val="bottom"/>
            <w:shd w:val="clear" w:color="auto" w:fill="9BA8C3"/>
          </w:tcPr>
          <w:p>
            <w:pPr>
              <w:spacing w:after="0"/>
              <w:rPr>
                <w:sz w:val="20"/>
                <w:szCs w:val="20"/>
                <w:color w:val="auto"/>
              </w:rPr>
            </w:pPr>
            <w:r>
              <w:rPr>
                <w:rFonts w:ascii="Arial" w:cs="Arial" w:eastAsia="Arial" w:hAnsi="Arial"/>
                <w:sz w:val="13"/>
                <w:szCs w:val="13"/>
                <w:b w:val="1"/>
                <w:bCs w:val="1"/>
                <w:color w:val="355889"/>
              </w:rPr>
              <w:t>Risk Management</w:t>
            </w:r>
          </w:p>
        </w:tc>
        <w:tc>
          <w:tcPr>
            <w:tcW w:w="100" w:type="dxa"/>
            <w:vAlign w:val="bottom"/>
            <w:shd w:val="clear" w:color="auto" w:fill="9BA8C3"/>
          </w:tcPr>
          <w:p>
            <w:pPr>
              <w:jc w:val="right"/>
              <w:spacing w:after="0" w:line="202" w:lineRule="exact"/>
              <w:rPr>
                <w:sz w:val="20"/>
                <w:szCs w:val="20"/>
                <w:color w:val="auto"/>
              </w:rPr>
            </w:pPr>
            <w:r>
              <w:rPr>
                <w:rFonts w:ascii="Arial" w:cs="Arial" w:eastAsia="Arial" w:hAnsi="Arial"/>
                <w:sz w:val="18"/>
                <w:szCs w:val="18"/>
                <w:b w:val="1"/>
                <w:bCs w:val="1"/>
                <w:color w:val="355889"/>
                <w:w w:val="79"/>
                <w:shd w:val="clear" w:color="auto" w:fill="9BA8C3"/>
              </w:rPr>
              <w:t>8</w:t>
            </w:r>
          </w:p>
        </w:tc>
        <w:tc>
          <w:tcPr>
            <w:tcW w:w="180" w:type="dxa"/>
            <w:vAlign w:val="bottom"/>
            <w:shd w:val="clear" w:color="auto" w:fill="9BA8C3"/>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740" w:type="dxa"/>
            <w:vAlign w:val="bottom"/>
            <w:shd w:val="clear" w:color="auto" w:fill="9BA8C3"/>
          </w:tcPr>
          <w:p>
            <w:pPr>
              <w:spacing w:after="0"/>
              <w:rPr>
                <w:sz w:val="24"/>
                <w:szCs w:val="24"/>
                <w:color w:val="auto"/>
              </w:rPr>
            </w:pPr>
          </w:p>
        </w:tc>
        <w:tc>
          <w:tcPr>
            <w:tcW w:w="2860" w:type="dxa"/>
            <w:vAlign w:val="bottom"/>
            <w:shd w:val="clear" w:color="auto" w:fill="9BA8C3"/>
          </w:tcPr>
          <w:p>
            <w:pPr>
              <w:spacing w:after="0"/>
              <w:rPr>
                <w:sz w:val="24"/>
                <w:szCs w:val="24"/>
                <w:color w:val="auto"/>
              </w:rPr>
            </w:pPr>
          </w:p>
        </w:tc>
        <w:tc>
          <w:tcPr>
            <w:tcW w:w="100" w:type="dxa"/>
            <w:vAlign w:val="bottom"/>
            <w:shd w:val="clear" w:color="auto" w:fill="9BA8C3"/>
          </w:tcPr>
          <w:p>
            <w:pPr>
              <w:spacing w:after="0"/>
              <w:rPr>
                <w:sz w:val="24"/>
                <w:szCs w:val="24"/>
                <w:color w:val="auto"/>
              </w:rPr>
            </w:pPr>
          </w:p>
        </w:tc>
        <w:tc>
          <w:tcPr>
            <w:tcW w:w="180" w:type="dxa"/>
            <w:vAlign w:val="bottom"/>
            <w:shd w:val="clear" w:color="auto" w:fill="9BA8C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9BA8C3"/>
            </w:tcBorders>
            <w:shd w:val="clear" w:color="auto" w:fill="9BA8C3"/>
          </w:tcPr>
          <w:p>
            <w:pPr>
              <w:jc w:val="right"/>
              <w:spacing w:after="0" w:line="176" w:lineRule="exact"/>
              <w:rPr>
                <w:sz w:val="20"/>
                <w:szCs w:val="20"/>
                <w:color w:val="auto"/>
              </w:rPr>
            </w:pPr>
            <w:r>
              <w:rPr>
                <w:rFonts w:ascii="Arial" w:cs="Arial" w:eastAsia="Arial" w:hAnsi="Arial"/>
                <w:sz w:val="18"/>
                <w:szCs w:val="18"/>
                <w:b w:val="1"/>
                <w:bCs w:val="1"/>
                <w:color w:val="355889"/>
                <w:w w:val="79"/>
                <w:shd w:val="clear" w:color="auto" w:fill="9BA8C3"/>
              </w:rPr>
              <w:t>6</w:t>
            </w:r>
          </w:p>
        </w:tc>
        <w:tc>
          <w:tcPr>
            <w:tcW w:w="740" w:type="dxa"/>
            <w:vAlign w:val="bottom"/>
            <w:tcBorders>
              <w:bottom w:val="single" w:sz="8" w:color="9BA8C3"/>
            </w:tcBorders>
            <w:shd w:val="clear" w:color="auto" w:fill="9BA8C3"/>
          </w:tcPr>
          <w:p>
            <w:pPr>
              <w:spacing w:after="0"/>
              <w:rPr>
                <w:sz w:val="15"/>
                <w:szCs w:val="15"/>
                <w:color w:val="auto"/>
              </w:rPr>
            </w:pPr>
          </w:p>
        </w:tc>
        <w:tc>
          <w:tcPr>
            <w:tcW w:w="2860" w:type="dxa"/>
            <w:vAlign w:val="bottom"/>
            <w:tcBorders>
              <w:bottom w:val="single" w:sz="8" w:color="9BA8C3"/>
            </w:tcBorders>
            <w:shd w:val="clear" w:color="auto" w:fill="9BA8C3"/>
          </w:tcPr>
          <w:p>
            <w:pPr>
              <w:spacing w:after="0"/>
              <w:rPr>
                <w:sz w:val="20"/>
                <w:szCs w:val="20"/>
                <w:color w:val="auto"/>
              </w:rPr>
            </w:pPr>
            <w:r>
              <w:rPr>
                <w:rFonts w:ascii="Arial" w:cs="Arial" w:eastAsia="Arial" w:hAnsi="Arial"/>
                <w:sz w:val="13"/>
                <w:szCs w:val="13"/>
                <w:b w:val="1"/>
                <w:bCs w:val="1"/>
                <w:color w:val="355889"/>
              </w:rPr>
              <w:t>Experience Over Several Business Cycles</w:t>
            </w:r>
          </w:p>
        </w:tc>
        <w:tc>
          <w:tcPr>
            <w:tcW w:w="100" w:type="dxa"/>
            <w:vAlign w:val="bottom"/>
            <w:tcBorders>
              <w:bottom w:val="single" w:sz="8" w:color="9BA8C3"/>
            </w:tcBorders>
            <w:shd w:val="clear" w:color="auto" w:fill="9BA8C3"/>
          </w:tcPr>
          <w:p>
            <w:pPr>
              <w:jc w:val="right"/>
              <w:spacing w:after="0" w:line="176" w:lineRule="exact"/>
              <w:rPr>
                <w:sz w:val="20"/>
                <w:szCs w:val="20"/>
                <w:color w:val="auto"/>
              </w:rPr>
            </w:pPr>
            <w:r>
              <w:rPr>
                <w:rFonts w:ascii="Arial" w:cs="Arial" w:eastAsia="Arial" w:hAnsi="Arial"/>
                <w:sz w:val="18"/>
                <w:szCs w:val="18"/>
                <w:b w:val="1"/>
                <w:bCs w:val="1"/>
                <w:color w:val="355889"/>
                <w:w w:val="79"/>
                <w:shd w:val="clear" w:color="auto" w:fill="9BA8C3"/>
              </w:rPr>
              <w:t>5</w:t>
            </w:r>
          </w:p>
        </w:tc>
        <w:tc>
          <w:tcPr>
            <w:tcW w:w="180" w:type="dxa"/>
            <w:vAlign w:val="bottom"/>
            <w:tcBorders>
              <w:bottom w:val="single" w:sz="8" w:color="9BA8C3"/>
            </w:tcBorders>
            <w:shd w:val="clear" w:color="auto" w:fill="9BA8C3"/>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740" w:type="dxa"/>
            <w:vAlign w:val="bottom"/>
            <w:vMerge w:val="restart"/>
            <w:shd w:val="clear" w:color="auto" w:fill="9BA8C3"/>
          </w:tcPr>
          <w:p>
            <w:pPr>
              <w:spacing w:after="0"/>
              <w:rPr>
                <w:sz w:val="24"/>
                <w:szCs w:val="24"/>
                <w:color w:val="auto"/>
              </w:rPr>
            </w:pPr>
          </w:p>
        </w:tc>
        <w:tc>
          <w:tcPr>
            <w:tcW w:w="2860" w:type="dxa"/>
            <w:vAlign w:val="bottom"/>
            <w:shd w:val="clear" w:color="auto" w:fill="9BA8C3"/>
          </w:tcPr>
          <w:p>
            <w:pPr>
              <w:spacing w:after="0"/>
              <w:rPr>
                <w:sz w:val="24"/>
                <w:szCs w:val="24"/>
                <w:color w:val="auto"/>
              </w:rPr>
            </w:pPr>
          </w:p>
        </w:tc>
        <w:tc>
          <w:tcPr>
            <w:tcW w:w="100" w:type="dxa"/>
            <w:vAlign w:val="bottom"/>
            <w:vMerge w:val="restart"/>
            <w:shd w:val="clear" w:color="auto" w:fill="9BA8C3"/>
          </w:tcPr>
          <w:p>
            <w:pPr>
              <w:jc w:val="right"/>
              <w:spacing w:after="0"/>
              <w:rPr>
                <w:sz w:val="20"/>
                <w:szCs w:val="20"/>
                <w:color w:val="auto"/>
              </w:rPr>
            </w:pPr>
            <w:r>
              <w:rPr>
                <w:rFonts w:ascii="Arial" w:cs="Arial" w:eastAsia="Arial" w:hAnsi="Arial"/>
                <w:sz w:val="18"/>
                <w:szCs w:val="18"/>
                <w:b w:val="1"/>
                <w:bCs w:val="1"/>
                <w:color w:val="355889"/>
                <w:w w:val="79"/>
                <w:shd w:val="clear" w:color="auto" w:fill="9BA8C3"/>
              </w:rPr>
              <w:t>2</w:t>
            </w:r>
          </w:p>
        </w:tc>
        <w:tc>
          <w:tcPr>
            <w:tcW w:w="180" w:type="dxa"/>
            <w:vAlign w:val="bottom"/>
            <w:shd w:val="clear" w:color="auto" w:fill="9BA8C3"/>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9BA8C3"/>
          </w:tcPr>
          <w:p>
            <w:pPr>
              <w:jc w:val="right"/>
              <w:spacing w:after="0" w:line="202" w:lineRule="exact"/>
              <w:rPr>
                <w:sz w:val="20"/>
                <w:szCs w:val="20"/>
                <w:color w:val="auto"/>
              </w:rPr>
            </w:pPr>
            <w:r>
              <w:rPr>
                <w:rFonts w:ascii="Arial" w:cs="Arial" w:eastAsia="Arial" w:hAnsi="Arial"/>
                <w:sz w:val="18"/>
                <w:szCs w:val="18"/>
                <w:b w:val="1"/>
                <w:bCs w:val="1"/>
                <w:color w:val="355889"/>
                <w:w w:val="79"/>
                <w:shd w:val="clear" w:color="auto" w:fill="9BA8C3"/>
              </w:rPr>
              <w:t>3</w:t>
            </w:r>
          </w:p>
        </w:tc>
        <w:tc>
          <w:tcPr>
            <w:tcW w:w="740" w:type="dxa"/>
            <w:vAlign w:val="bottom"/>
            <w:vMerge w:val="continue"/>
            <w:shd w:val="clear" w:color="auto" w:fill="9BA8C3"/>
          </w:tcPr>
          <w:p>
            <w:pPr>
              <w:spacing w:after="0"/>
              <w:rPr>
                <w:sz w:val="17"/>
                <w:szCs w:val="17"/>
                <w:color w:val="auto"/>
              </w:rPr>
            </w:pPr>
          </w:p>
        </w:tc>
        <w:tc>
          <w:tcPr>
            <w:tcW w:w="2860" w:type="dxa"/>
            <w:vAlign w:val="bottom"/>
            <w:shd w:val="clear" w:color="auto" w:fill="9BA8C3"/>
          </w:tcPr>
          <w:p>
            <w:pPr>
              <w:spacing w:after="0"/>
              <w:rPr>
                <w:sz w:val="20"/>
                <w:szCs w:val="20"/>
                <w:color w:val="auto"/>
              </w:rPr>
            </w:pPr>
            <w:r>
              <w:rPr>
                <w:rFonts w:ascii="Arial" w:cs="Arial" w:eastAsia="Arial" w:hAnsi="Arial"/>
                <w:sz w:val="13"/>
                <w:szCs w:val="13"/>
                <w:b w:val="1"/>
                <w:bCs w:val="1"/>
                <w:color w:val="355889"/>
              </w:rPr>
              <w:t>Accounting</w:t>
            </w:r>
          </w:p>
        </w:tc>
        <w:tc>
          <w:tcPr>
            <w:tcW w:w="100" w:type="dxa"/>
            <w:vAlign w:val="bottom"/>
            <w:vMerge w:val="continue"/>
            <w:shd w:val="clear" w:color="auto" w:fill="9BA8C3"/>
          </w:tcPr>
          <w:p>
            <w:pPr>
              <w:spacing w:after="0"/>
              <w:rPr>
                <w:sz w:val="17"/>
                <w:szCs w:val="17"/>
                <w:color w:val="auto"/>
              </w:rPr>
            </w:pPr>
          </w:p>
        </w:tc>
        <w:tc>
          <w:tcPr>
            <w:tcW w:w="180" w:type="dxa"/>
            <w:vAlign w:val="bottom"/>
            <w:shd w:val="clear" w:color="auto" w:fill="9BA8C3"/>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740" w:type="dxa"/>
            <w:vAlign w:val="bottom"/>
            <w:vMerge w:val="restart"/>
            <w:shd w:val="clear" w:color="auto" w:fill="9BA8C3"/>
          </w:tcPr>
          <w:p>
            <w:pPr>
              <w:spacing w:after="0"/>
              <w:rPr>
                <w:sz w:val="22"/>
                <w:szCs w:val="22"/>
                <w:color w:val="auto"/>
              </w:rPr>
            </w:pPr>
          </w:p>
        </w:tc>
        <w:tc>
          <w:tcPr>
            <w:tcW w:w="2860" w:type="dxa"/>
            <w:vAlign w:val="bottom"/>
            <w:shd w:val="clear" w:color="auto" w:fill="9BA8C3"/>
          </w:tcPr>
          <w:p>
            <w:pPr>
              <w:spacing w:after="0"/>
              <w:rPr>
                <w:sz w:val="22"/>
                <w:szCs w:val="22"/>
                <w:color w:val="auto"/>
              </w:rPr>
            </w:pPr>
          </w:p>
        </w:tc>
        <w:tc>
          <w:tcPr>
            <w:tcW w:w="100" w:type="dxa"/>
            <w:vAlign w:val="bottom"/>
            <w:shd w:val="clear" w:color="auto" w:fill="9BA8C3"/>
          </w:tcPr>
          <w:p>
            <w:pPr>
              <w:spacing w:after="0"/>
              <w:rPr>
                <w:sz w:val="22"/>
                <w:szCs w:val="22"/>
                <w:color w:val="auto"/>
              </w:rPr>
            </w:pPr>
          </w:p>
        </w:tc>
        <w:tc>
          <w:tcPr>
            <w:tcW w:w="180" w:type="dxa"/>
            <w:vAlign w:val="bottom"/>
            <w:shd w:val="clear" w:color="auto" w:fill="9BA8C3"/>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9BA8C3"/>
          </w:tcPr>
          <w:p>
            <w:pPr>
              <w:jc w:val="right"/>
              <w:spacing w:after="0" w:line="202" w:lineRule="exact"/>
              <w:rPr>
                <w:sz w:val="20"/>
                <w:szCs w:val="20"/>
                <w:color w:val="auto"/>
              </w:rPr>
            </w:pPr>
            <w:r>
              <w:rPr>
                <w:rFonts w:ascii="Arial" w:cs="Arial" w:eastAsia="Arial" w:hAnsi="Arial"/>
                <w:sz w:val="18"/>
                <w:szCs w:val="18"/>
                <w:b w:val="1"/>
                <w:bCs w:val="1"/>
                <w:color w:val="355889"/>
                <w:w w:val="79"/>
                <w:shd w:val="clear" w:color="auto" w:fill="9BA8C3"/>
              </w:rPr>
              <w:t>2</w:t>
            </w:r>
          </w:p>
        </w:tc>
        <w:tc>
          <w:tcPr>
            <w:tcW w:w="740" w:type="dxa"/>
            <w:vAlign w:val="bottom"/>
            <w:vMerge w:val="continue"/>
            <w:shd w:val="clear" w:color="auto" w:fill="9BA8C3"/>
          </w:tcPr>
          <w:p>
            <w:pPr>
              <w:spacing w:after="0"/>
              <w:rPr>
                <w:sz w:val="17"/>
                <w:szCs w:val="17"/>
                <w:color w:val="auto"/>
              </w:rPr>
            </w:pPr>
          </w:p>
        </w:tc>
        <w:tc>
          <w:tcPr>
            <w:tcW w:w="2860" w:type="dxa"/>
            <w:vAlign w:val="bottom"/>
            <w:shd w:val="clear" w:color="auto" w:fill="9BA8C3"/>
          </w:tcPr>
          <w:p>
            <w:pPr>
              <w:spacing w:after="0"/>
              <w:rPr>
                <w:sz w:val="17"/>
                <w:szCs w:val="17"/>
                <w:color w:val="auto"/>
              </w:rPr>
            </w:pPr>
          </w:p>
        </w:tc>
        <w:tc>
          <w:tcPr>
            <w:tcW w:w="100" w:type="dxa"/>
            <w:vAlign w:val="bottom"/>
            <w:shd w:val="clear" w:color="auto" w:fill="9BA8C3"/>
          </w:tcPr>
          <w:p>
            <w:pPr>
              <w:spacing w:after="0"/>
              <w:rPr>
                <w:sz w:val="17"/>
                <w:szCs w:val="17"/>
                <w:color w:val="auto"/>
              </w:rPr>
            </w:pPr>
          </w:p>
        </w:tc>
        <w:tc>
          <w:tcPr>
            <w:tcW w:w="180" w:type="dxa"/>
            <w:vAlign w:val="bottom"/>
            <w:shd w:val="clear" w:color="auto" w:fill="9BA8C3"/>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100" w:type="dxa"/>
            <w:vAlign w:val="bottom"/>
          </w:tcPr>
          <w:p>
            <w:pPr>
              <w:spacing w:after="0"/>
              <w:rPr>
                <w:sz w:val="24"/>
                <w:szCs w:val="24"/>
                <w:color w:val="auto"/>
              </w:rPr>
            </w:pPr>
          </w:p>
        </w:tc>
        <w:tc>
          <w:tcPr>
            <w:tcW w:w="740" w:type="dxa"/>
            <w:vAlign w:val="bottom"/>
            <w:shd w:val="clear" w:color="auto" w:fill="9BA8C3"/>
          </w:tcPr>
          <w:p>
            <w:pPr>
              <w:spacing w:after="0"/>
              <w:rPr>
                <w:sz w:val="24"/>
                <w:szCs w:val="24"/>
                <w:color w:val="auto"/>
              </w:rPr>
            </w:pPr>
          </w:p>
        </w:tc>
        <w:tc>
          <w:tcPr>
            <w:tcW w:w="2860" w:type="dxa"/>
            <w:vAlign w:val="bottom"/>
            <w:shd w:val="clear" w:color="auto" w:fill="9BA8C3"/>
          </w:tcPr>
          <w:p>
            <w:pPr>
              <w:spacing w:after="0"/>
              <w:rPr>
                <w:sz w:val="24"/>
                <w:szCs w:val="24"/>
                <w:color w:val="auto"/>
              </w:rPr>
            </w:pPr>
          </w:p>
        </w:tc>
        <w:tc>
          <w:tcPr>
            <w:tcW w:w="100" w:type="dxa"/>
            <w:vAlign w:val="bottom"/>
            <w:shd w:val="clear" w:color="auto" w:fill="9BA8C3"/>
          </w:tcPr>
          <w:p>
            <w:pPr>
              <w:spacing w:after="0"/>
              <w:rPr>
                <w:sz w:val="24"/>
                <w:szCs w:val="24"/>
                <w:color w:val="auto"/>
              </w:rPr>
            </w:pPr>
          </w:p>
        </w:tc>
        <w:tc>
          <w:tcPr>
            <w:tcW w:w="180" w:type="dxa"/>
            <w:vAlign w:val="bottom"/>
            <w:shd w:val="clear" w:color="auto" w:fill="9BA8C3"/>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-1319530</wp:posOffset>
            </wp:positionV>
            <wp:extent cx="1508760" cy="916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08760" cy="91694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3">
            <w:col w:w="3900" w:space="440"/>
            <w:col w:w="2200" w:space="720"/>
            <w:col w:w="3980"/>
          </w:cols>
          <w:pgMar w:left="320" w:top="121" w:right="339" w:bottom="1440" w:gutter="0" w:footer="0" w:header="0"/>
          <w:type w:val="continuous"/>
        </w:sectPr>
      </w:pPr>
    </w:p>
    <w:p>
      <w:pPr>
        <w:spacing w:after="0"/>
        <w:rPr>
          <w:sz w:val="20"/>
          <w:szCs w:val="20"/>
          <w:color w:val="auto"/>
        </w:rPr>
      </w:pPr>
      <w:r>
        <w:rPr>
          <w:rFonts w:ascii="Arial" w:cs="Arial" w:eastAsia="Arial" w:hAnsi="Arial"/>
          <w:sz w:val="20"/>
          <w:szCs w:val="20"/>
          <w:b w:val="1"/>
          <w:bCs w:val="1"/>
          <w:color w:val="355889"/>
        </w:rPr>
        <w:t>Director Nominees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260" w:type="dxa"/>
            <w:vAlign w:val="bottom"/>
            <w:tcBorders>
              <w:top w:val="single" w:sz="8" w:color="355889"/>
            </w:tcBorders>
          </w:tcPr>
          <w:p>
            <w:pPr>
              <w:jc w:val="center"/>
              <w:spacing w:after="0"/>
              <w:rPr>
                <w:sz w:val="20"/>
                <w:szCs w:val="20"/>
                <w:color w:val="auto"/>
              </w:rPr>
            </w:pPr>
            <w:r>
              <w:rPr>
                <w:rFonts w:ascii="Arial" w:cs="Arial" w:eastAsia="Arial" w:hAnsi="Arial"/>
                <w:sz w:val="22"/>
                <w:szCs w:val="22"/>
                <w:b w:val="1"/>
                <w:bCs w:val="1"/>
                <w:color w:val="355889"/>
                <w:w w:val="99"/>
              </w:rPr>
              <w:t>John H.</w:t>
            </w:r>
          </w:p>
        </w:tc>
        <w:tc>
          <w:tcPr>
            <w:tcW w:w="120" w:type="dxa"/>
            <w:vAlign w:val="bottom"/>
          </w:tcPr>
          <w:p>
            <w:pPr>
              <w:spacing w:after="0"/>
              <w:rPr>
                <w:sz w:val="24"/>
                <w:szCs w:val="24"/>
                <w:color w:val="auto"/>
              </w:rPr>
            </w:pPr>
          </w:p>
        </w:tc>
        <w:tc>
          <w:tcPr>
            <w:tcW w:w="9860" w:type="dxa"/>
            <w:vAlign w:val="bottom"/>
            <w:tcBorders>
              <w:top w:val="single" w:sz="8" w:color="355889"/>
            </w:tcBorders>
            <w:vMerge w:val="restart"/>
            <w:shd w:val="clear" w:color="auto" w:fill="EBEDF3"/>
          </w:tcPr>
          <w:p>
            <w:pPr>
              <w:ind w:left="6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1997</w:t>
            </w:r>
            <w:r>
              <w:rPr>
                <w:rFonts w:ascii="Arial" w:cs="Arial" w:eastAsia="Arial" w:hAnsi="Arial"/>
                <w:sz w:val="18"/>
                <w:szCs w:val="18"/>
                <w:color w:val="auto"/>
              </w:rPr>
              <w:t xml:space="preserve"> Age: </w:t>
            </w:r>
            <w:r>
              <w:rPr>
                <w:rFonts w:ascii="Arial" w:cs="Arial" w:eastAsia="Arial" w:hAnsi="Arial"/>
                <w:sz w:val="18"/>
                <w:szCs w:val="18"/>
                <w:b w:val="1"/>
                <w:bCs w:val="1"/>
                <w:color w:val="auto"/>
              </w:rPr>
              <w:t>72 Lead Independent Director</w:t>
            </w:r>
          </w:p>
        </w:tc>
        <w:tc>
          <w:tcPr>
            <w:tcW w:w="0" w:type="dxa"/>
            <w:vAlign w:val="bottom"/>
          </w:tcPr>
          <w:p>
            <w:pPr>
              <w:spacing w:after="0"/>
              <w:rPr>
                <w:sz w:val="1"/>
                <w:szCs w:val="1"/>
                <w:color w:val="auto"/>
              </w:rPr>
            </w:pPr>
          </w:p>
        </w:tc>
      </w:tr>
      <w:tr>
        <w:trPr>
          <w:trHeight w:val="152"/>
        </w:trPr>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355889"/>
                <w:w w:val="97"/>
              </w:rPr>
              <w:t>Alschuler</w:t>
            </w:r>
          </w:p>
        </w:tc>
        <w:tc>
          <w:tcPr>
            <w:tcW w:w="120" w:type="dxa"/>
            <w:vAlign w:val="bottom"/>
          </w:tcPr>
          <w:p>
            <w:pPr>
              <w:spacing w:after="0"/>
              <w:rPr>
                <w:sz w:val="13"/>
                <w:szCs w:val="13"/>
                <w:color w:val="auto"/>
              </w:rPr>
            </w:pPr>
          </w:p>
        </w:tc>
        <w:tc>
          <w:tcPr>
            <w:tcW w:w="9860" w:type="dxa"/>
            <w:vAlign w:val="bottom"/>
            <w:vMerge w:val="continue"/>
            <w:shd w:val="clear" w:color="auto" w:fill="EBEDF3"/>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2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60" w:type="dxa"/>
            <w:vAlign w:val="bottom"/>
            <w:shd w:val="clear" w:color="auto" w:fill="EBEDF3"/>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1260" w:type="dxa"/>
            <w:vAlign w:val="bottom"/>
            <w:tcBorders>
              <w:bottom w:val="single" w:sz="8" w:color="355889"/>
            </w:tcBorders>
          </w:tcPr>
          <w:p>
            <w:pPr>
              <w:spacing w:after="0"/>
              <w:rPr>
                <w:sz w:val="5"/>
                <w:szCs w:val="5"/>
                <w:color w:val="auto"/>
              </w:rPr>
            </w:pPr>
          </w:p>
        </w:tc>
        <w:tc>
          <w:tcPr>
            <w:tcW w:w="120" w:type="dxa"/>
            <w:vAlign w:val="bottom"/>
          </w:tcPr>
          <w:p>
            <w:pPr>
              <w:spacing w:after="0"/>
              <w:rPr>
                <w:sz w:val="5"/>
                <w:szCs w:val="5"/>
                <w:color w:val="auto"/>
              </w:rPr>
            </w:pPr>
          </w:p>
        </w:tc>
        <w:tc>
          <w:tcPr>
            <w:tcW w:w="9860" w:type="dxa"/>
            <w:vAlign w:val="bottom"/>
            <w:tcBorders>
              <w:bottom w:val="single" w:sz="8" w:color="EBEDF3"/>
            </w:tcBorders>
            <w:shd w:val="clear" w:color="auto" w:fill="EBEDF3"/>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1260" w:type="dxa"/>
            <w:vAlign w:val="bottom"/>
          </w:tcPr>
          <w:p>
            <w:pPr>
              <w:spacing w:after="0"/>
              <w:rPr>
                <w:sz w:val="24"/>
                <w:szCs w:val="24"/>
                <w:color w:val="auto"/>
              </w:rPr>
            </w:pPr>
          </w:p>
        </w:tc>
        <w:tc>
          <w:tcPr>
            <w:tcW w:w="9980" w:type="dxa"/>
            <w:vAlign w:val="bottom"/>
            <w:gridSpan w:val="2"/>
          </w:tcPr>
          <w:p>
            <w:pPr>
              <w:ind w:left="120"/>
              <w:spacing w:after="0"/>
              <w:rPr>
                <w:sz w:val="20"/>
                <w:szCs w:val="20"/>
                <w:color w:val="auto"/>
              </w:rPr>
            </w:pPr>
            <w:r>
              <w:rPr>
                <w:rFonts w:ascii="Arial" w:cs="Arial" w:eastAsia="Arial" w:hAnsi="Arial"/>
                <w:sz w:val="18"/>
                <w:szCs w:val="18"/>
                <w:color w:val="auto"/>
                <w:w w:val="99"/>
              </w:rPr>
              <w:t>Mr. Alschuler’s achievements in academia and business, as well as his extensive knowledge of commercial real estate, New</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998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York City’s economy, commercial and other markets in New York City and national and international markets for real estate,</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998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7"/>
              </w:rPr>
              <w:t>and his expertise in inter-governmental relations, allow him to assess the real estate market and the Company’s business from</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9980" w:type="dxa"/>
            <w:vAlign w:val="bottom"/>
            <w:gridSpan w:val="2"/>
          </w:tcPr>
          <w:p>
            <w:pPr>
              <w:ind w:left="120"/>
              <w:spacing w:after="0"/>
              <w:rPr>
                <w:sz w:val="20"/>
                <w:szCs w:val="20"/>
                <w:color w:val="auto"/>
              </w:rPr>
            </w:pPr>
            <w:r>
              <w:rPr>
                <w:rFonts w:ascii="Arial" w:cs="Arial" w:eastAsia="Arial" w:hAnsi="Arial"/>
                <w:sz w:val="18"/>
                <w:szCs w:val="18"/>
                <w:color w:val="auto"/>
              </w:rPr>
              <w:t>a knowledgeable and informed perspective, from which he provides valuable insights into the Company’s business.</w:t>
            </w:r>
          </w:p>
        </w:tc>
        <w:tc>
          <w:tcPr>
            <w:tcW w:w="0" w:type="dxa"/>
            <w:vAlign w:val="bottom"/>
          </w:tcPr>
          <w:p>
            <w:pPr>
              <w:spacing w:after="0"/>
              <w:rPr>
                <w:sz w:val="1"/>
                <w:szCs w:val="1"/>
                <w:color w:val="auto"/>
              </w:rPr>
            </w:pPr>
          </w:p>
        </w:tc>
      </w:tr>
      <w:tr>
        <w:trPr>
          <w:trHeight w:val="419"/>
        </w:trPr>
        <w:tc>
          <w:tcPr>
            <w:tcW w:w="1260" w:type="dxa"/>
            <w:vAlign w:val="bottom"/>
          </w:tcPr>
          <w:p>
            <w:pPr>
              <w:spacing w:after="0"/>
              <w:rPr>
                <w:sz w:val="24"/>
                <w:szCs w:val="24"/>
                <w:color w:val="auto"/>
              </w:rPr>
            </w:pPr>
          </w:p>
        </w:tc>
        <w:tc>
          <w:tcPr>
            <w:tcW w:w="9980" w:type="dxa"/>
            <w:vAlign w:val="bottom"/>
            <w:gridSpan w:val="2"/>
          </w:tcPr>
          <w:p>
            <w:pPr>
              <w:ind w:left="120"/>
              <w:spacing w:after="0"/>
              <w:rPr>
                <w:sz w:val="20"/>
                <w:szCs w:val="20"/>
                <w:color w:val="auto"/>
              </w:rPr>
            </w:pPr>
            <w:r>
              <w:rPr>
                <w:rFonts w:ascii="Arial" w:cs="Arial" w:eastAsia="Arial" w:hAnsi="Arial"/>
                <w:sz w:val="18"/>
                <w:szCs w:val="18"/>
                <w:b w:val="1"/>
                <w:bCs w:val="1"/>
                <w:color w:val="auto"/>
              </w:rPr>
              <w:t>Professional Experience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-786765</wp:posOffset>
            </wp:positionV>
            <wp:extent cx="796925" cy="10890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96925" cy="10890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40"/>
        <w:spacing w:after="0" w:line="327" w:lineRule="auto"/>
        <w:rPr>
          <w:sz w:val="20"/>
          <w:szCs w:val="20"/>
          <w:color w:val="auto"/>
        </w:rPr>
      </w:pPr>
      <w:r>
        <w:rPr>
          <w:rFonts w:ascii="Arial" w:cs="Arial" w:eastAsia="Arial" w:hAnsi="Arial"/>
          <w:sz w:val="16"/>
          <w:szCs w:val="16"/>
          <w:b w:val="1"/>
          <w:bCs w:val="1"/>
          <w:color w:val="auto"/>
        </w:rPr>
        <w:t>SL Green Board Service:</w:t>
      </w:r>
    </w:p>
    <w:p>
      <w:pPr>
        <w:spacing w:after="0" w:line="142" w:lineRule="exact"/>
        <w:rPr>
          <w:sz w:val="20"/>
          <w:szCs w:val="20"/>
          <w:color w:val="auto"/>
        </w:rPr>
      </w:pPr>
    </w:p>
    <w:p>
      <w:pPr>
        <w:ind w:left="280" w:hanging="263"/>
        <w:spacing w:after="0" w:line="312" w:lineRule="auto"/>
        <w:tabs>
          <w:tab w:leader="none" w:pos="257" w:val="left"/>
        </w:tabs>
        <w:numPr>
          <w:ilvl w:val="0"/>
          <w:numId w:val="21"/>
        </w:numPr>
        <w:rPr>
          <w:rFonts w:ascii="Arial" w:cs="Arial" w:eastAsia="Arial" w:hAnsi="Arial"/>
          <w:sz w:val="16"/>
          <w:szCs w:val="16"/>
          <w:color w:val="355889"/>
        </w:rPr>
      </w:pPr>
      <w:r>
        <w:rPr>
          <w:rFonts w:ascii="Arial" w:cs="Arial" w:eastAsia="Arial" w:hAnsi="Arial"/>
          <w:sz w:val="16"/>
          <w:szCs w:val="16"/>
          <w:color w:val="auto"/>
        </w:rPr>
        <w:t>Compensation Committee</w:t>
      </w:r>
    </w:p>
    <w:p>
      <w:pPr>
        <w:spacing w:after="0" w:line="7" w:lineRule="exact"/>
        <w:rPr>
          <w:rFonts w:ascii="Arial" w:cs="Arial" w:eastAsia="Arial" w:hAnsi="Arial"/>
          <w:sz w:val="16"/>
          <w:szCs w:val="16"/>
          <w:color w:val="355889"/>
        </w:rPr>
      </w:pPr>
    </w:p>
    <w:p>
      <w:pPr>
        <w:ind w:left="260" w:hanging="243"/>
        <w:spacing w:after="0"/>
        <w:tabs>
          <w:tab w:leader="none" w:pos="260" w:val="left"/>
        </w:tabs>
        <w:numPr>
          <w:ilvl w:val="0"/>
          <w:numId w:val="21"/>
        </w:numPr>
        <w:rPr>
          <w:rFonts w:ascii="Arial" w:cs="Arial" w:eastAsia="Arial" w:hAnsi="Arial"/>
          <w:sz w:val="17"/>
          <w:szCs w:val="17"/>
          <w:color w:val="355889"/>
        </w:rPr>
      </w:pPr>
      <w:r>
        <w:rPr>
          <w:rFonts w:ascii="Arial" w:cs="Arial" w:eastAsia="Arial" w:hAnsi="Arial"/>
          <w:sz w:val="18"/>
          <w:szCs w:val="18"/>
          <w:color w:val="auto"/>
        </w:rPr>
        <w:t>Nominating</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269" w:right="40" w:hanging="269"/>
        <w:spacing w:after="0" w:line="239" w:lineRule="auto"/>
        <w:tabs>
          <w:tab w:leader="none" w:pos="247" w:val="left"/>
        </w:tabs>
        <w:numPr>
          <w:ilvl w:val="0"/>
          <w:numId w:val="22"/>
        </w:numPr>
        <w:rPr>
          <w:rFonts w:ascii="Arial" w:cs="Arial" w:eastAsia="Arial" w:hAnsi="Arial"/>
          <w:sz w:val="17"/>
          <w:szCs w:val="17"/>
          <w:color w:val="355889"/>
        </w:rPr>
      </w:pPr>
      <w:r>
        <w:rPr>
          <w:rFonts w:ascii="Arial" w:cs="Arial" w:eastAsia="Arial" w:hAnsi="Arial"/>
          <w:sz w:val="18"/>
          <w:szCs w:val="18"/>
          <w:color w:val="auto"/>
        </w:rPr>
        <w:t>Chairman of HR&amp;A Advisors Inc., an economic development, real-estate and public policy consulting organization, since 2008</w:t>
      </w:r>
    </w:p>
    <w:p>
      <w:pPr>
        <w:spacing w:after="0" w:line="60" w:lineRule="exact"/>
        <w:rPr>
          <w:rFonts w:ascii="Arial" w:cs="Arial" w:eastAsia="Arial" w:hAnsi="Arial"/>
          <w:sz w:val="17"/>
          <w:szCs w:val="17"/>
          <w:color w:val="355889"/>
        </w:rPr>
      </w:pPr>
    </w:p>
    <w:p>
      <w:pPr>
        <w:ind w:left="269" w:right="40" w:hanging="269"/>
        <w:spacing w:after="0" w:line="239" w:lineRule="auto"/>
        <w:tabs>
          <w:tab w:leader="none" w:pos="247" w:val="left"/>
        </w:tabs>
        <w:numPr>
          <w:ilvl w:val="0"/>
          <w:numId w:val="22"/>
        </w:numPr>
        <w:rPr>
          <w:rFonts w:ascii="Arial" w:cs="Arial" w:eastAsia="Arial" w:hAnsi="Arial"/>
          <w:sz w:val="17"/>
          <w:szCs w:val="17"/>
          <w:color w:val="355889"/>
        </w:rPr>
      </w:pPr>
      <w:r>
        <w:rPr>
          <w:rFonts w:ascii="Arial" w:cs="Arial" w:eastAsia="Arial" w:hAnsi="Arial"/>
          <w:sz w:val="18"/>
          <w:szCs w:val="18"/>
          <w:color w:val="auto"/>
        </w:rPr>
        <w:t>Adjunct Associate Professor, Graduate School of Architecture, Planning &amp; Preservation at Columbia University, teaching real estate development</w:t>
      </w:r>
    </w:p>
    <w:p>
      <w:pPr>
        <w:spacing w:after="0" w:line="73" w:lineRule="exact"/>
        <w:rPr>
          <w:rFonts w:ascii="Arial" w:cs="Arial" w:eastAsia="Arial" w:hAnsi="Arial"/>
          <w:sz w:val="17"/>
          <w:szCs w:val="17"/>
          <w:color w:val="355889"/>
        </w:rPr>
      </w:pPr>
    </w:p>
    <w:p>
      <w:pPr>
        <w:ind w:left="269" w:right="360" w:hanging="269"/>
        <w:spacing w:after="0" w:line="239" w:lineRule="auto"/>
        <w:tabs>
          <w:tab w:leader="none" w:pos="247" w:val="left"/>
        </w:tabs>
        <w:numPr>
          <w:ilvl w:val="0"/>
          <w:numId w:val="22"/>
        </w:numPr>
        <w:rPr>
          <w:rFonts w:ascii="Arial" w:cs="Arial" w:eastAsia="Arial" w:hAnsi="Arial"/>
          <w:sz w:val="17"/>
          <w:szCs w:val="17"/>
          <w:color w:val="355889"/>
        </w:rPr>
      </w:pPr>
      <w:r>
        <w:rPr>
          <w:rFonts w:ascii="Arial" w:cs="Arial" w:eastAsia="Arial" w:hAnsi="Arial"/>
          <w:sz w:val="18"/>
          <w:szCs w:val="18"/>
          <w:color w:val="auto"/>
        </w:rPr>
        <w:t>Board of Directors of the Center for an Urban Future, Friends of the High Line Inc., and the Sag Harbor Cinema Arts Center, each a 501(c)(3) tax-exempt organization.</w:t>
      </w:r>
    </w:p>
    <w:p>
      <w:pPr>
        <w:spacing w:after="0" w:line="60" w:lineRule="exact"/>
        <w:rPr>
          <w:rFonts w:ascii="Arial" w:cs="Arial" w:eastAsia="Arial" w:hAnsi="Arial"/>
          <w:sz w:val="17"/>
          <w:szCs w:val="17"/>
          <w:color w:val="355889"/>
        </w:rPr>
      </w:pPr>
    </w:p>
    <w:p>
      <w:pPr>
        <w:ind w:left="229" w:hanging="229"/>
        <w:spacing w:after="0"/>
        <w:tabs>
          <w:tab w:leader="none" w:pos="229" w:val="left"/>
        </w:tabs>
        <w:numPr>
          <w:ilvl w:val="0"/>
          <w:numId w:val="22"/>
        </w:numPr>
        <w:rPr>
          <w:rFonts w:ascii="Arial" w:cs="Arial" w:eastAsia="Arial" w:hAnsi="Arial"/>
          <w:sz w:val="17"/>
          <w:szCs w:val="17"/>
          <w:color w:val="355889"/>
        </w:rPr>
      </w:pPr>
      <w:r>
        <w:rPr>
          <w:rFonts w:ascii="Arial" w:cs="Arial" w:eastAsia="Arial" w:hAnsi="Arial"/>
          <w:sz w:val="18"/>
          <w:szCs w:val="18"/>
          <w:color w:val="auto"/>
        </w:rPr>
        <w:t>B.A. degree from Wesleyan University and Ed.D. degree from the University of Massachusetts at Amherst</w:t>
      </w:r>
    </w:p>
    <w:p>
      <w:pPr>
        <w:spacing w:after="0" w:line="163" w:lineRule="exact"/>
        <w:rPr>
          <w:sz w:val="20"/>
          <w:szCs w:val="20"/>
          <w:color w:val="auto"/>
        </w:rPr>
      </w:pPr>
    </w:p>
    <w:p>
      <w:pPr>
        <w:sectPr>
          <w:pgSz w:w="11900" w:h="16838" w:orient="portrait"/>
          <w:cols w:equalWidth="0" w:num="2">
            <w:col w:w="1380" w:space="271"/>
            <w:col w:w="9589"/>
          </w:cols>
          <w:pgMar w:left="320" w:top="121" w:right="339" w:bottom="1440" w:gutter="0" w:footer="0" w:header="0"/>
          <w:type w:val="continuous"/>
        </w:sectPr>
      </w:pPr>
    </w:p>
    <w:p>
      <w:pPr>
        <w:ind w:left="280"/>
        <w:spacing w:after="0" w:line="183" w:lineRule="auto"/>
        <w:rPr>
          <w:sz w:val="20"/>
          <w:szCs w:val="20"/>
          <w:color w:val="auto"/>
        </w:rPr>
      </w:pPr>
      <w:r>
        <w:rPr>
          <w:rFonts w:ascii="Arial" w:cs="Arial" w:eastAsia="Arial" w:hAnsi="Arial"/>
          <w:sz w:val="24"/>
          <w:szCs w:val="24"/>
          <w:color w:val="auto"/>
          <w:vertAlign w:val="superscript"/>
        </w:rPr>
        <w:t>and Corporate</w:t>
      </w:r>
      <w:r>
        <w:rPr>
          <w:rFonts w:ascii="Arial" w:cs="Arial" w:eastAsia="Arial" w:hAnsi="Arial"/>
          <w:sz w:val="14"/>
          <w:szCs w:val="14"/>
          <w:b w:val="1"/>
          <w:bCs w:val="1"/>
          <w:color w:val="auto"/>
        </w:rPr>
        <w:t>Other Public Board Directorships</w:t>
      </w:r>
    </w:p>
    <w:p>
      <w:pPr>
        <w:ind w:left="280"/>
        <w:spacing w:after="0" w:line="236" w:lineRule="auto"/>
        <w:rPr>
          <w:sz w:val="20"/>
          <w:szCs w:val="20"/>
          <w:color w:val="auto"/>
        </w:rPr>
      </w:pPr>
      <w:r>
        <w:rPr>
          <w:rFonts w:ascii="Arial" w:cs="Arial" w:eastAsia="Arial" w:hAnsi="Arial"/>
          <w:sz w:val="18"/>
          <w:szCs w:val="18"/>
          <w:color w:val="auto"/>
        </w:rPr>
        <w:t>Governance</w:t>
      </w:r>
    </w:p>
    <w:tbl>
      <w:tblPr>
        <w:tblLayout w:type="fixed"/>
        <w:tblInd w:w="20" w:type="dxa"/>
        <w:tblCellMar>
          <w:top w:w="0" w:type="dxa"/>
          <w:left w:w="0" w:type="dxa"/>
          <w:bottom w:w="0" w:type="dxa"/>
          <w:right w:w="0" w:type="dxa"/>
        </w:tblCellMar>
      </w:tblPr>
      <w:tr>
        <w:trPr>
          <w:trHeight w:val="211"/>
        </w:trPr>
        <w:tc>
          <w:tcPr>
            <w:tcW w:w="1360" w:type="dxa"/>
            <w:vAlign w:val="bottom"/>
          </w:tcPr>
          <w:p>
            <w:pPr>
              <w:ind w:left="260"/>
              <w:spacing w:after="0"/>
              <w:rPr>
                <w:sz w:val="20"/>
                <w:szCs w:val="20"/>
                <w:color w:val="auto"/>
              </w:rPr>
            </w:pPr>
            <w:r>
              <w:rPr>
                <w:rFonts w:ascii="Arial" w:cs="Arial" w:eastAsia="Arial" w:hAnsi="Arial"/>
                <w:sz w:val="18"/>
                <w:szCs w:val="18"/>
                <w:color w:val="auto"/>
              </w:rPr>
              <w:t>Committee</w:t>
            </w:r>
          </w:p>
        </w:tc>
        <w:tc>
          <w:tcPr>
            <w:tcW w:w="440" w:type="dxa"/>
            <w:vAlign w:val="bottom"/>
            <w:vMerge w:val="restart"/>
          </w:tcPr>
          <w:p>
            <w:pPr>
              <w:ind w:left="280"/>
              <w:spacing w:after="0"/>
              <w:rPr>
                <w:sz w:val="20"/>
                <w:szCs w:val="20"/>
                <w:color w:val="auto"/>
              </w:rPr>
            </w:pPr>
            <w:r>
              <w:rPr>
                <w:rFonts w:ascii="Arial" w:cs="Arial" w:eastAsia="Arial" w:hAnsi="Arial"/>
                <w:sz w:val="17"/>
                <w:szCs w:val="17"/>
                <w:color w:val="355889"/>
              </w:rPr>
              <w:t>●</w:t>
            </w:r>
          </w:p>
        </w:tc>
        <w:tc>
          <w:tcPr>
            <w:tcW w:w="3340" w:type="dxa"/>
            <w:vAlign w:val="bottom"/>
            <w:vMerge w:val="restart"/>
          </w:tcPr>
          <w:p>
            <w:pPr>
              <w:ind w:left="60"/>
              <w:spacing w:after="0"/>
              <w:rPr>
                <w:sz w:val="20"/>
                <w:szCs w:val="20"/>
                <w:color w:val="auto"/>
              </w:rPr>
            </w:pPr>
            <w:r>
              <w:rPr>
                <w:rFonts w:ascii="Arial" w:cs="Arial" w:eastAsia="Arial" w:hAnsi="Arial"/>
                <w:sz w:val="18"/>
                <w:szCs w:val="18"/>
                <w:color w:val="auto"/>
                <w:w w:val="97"/>
              </w:rPr>
              <w:t>Xenia Hotels and Resorts, Inc. since 2015</w:t>
            </w:r>
          </w:p>
        </w:tc>
        <w:tc>
          <w:tcPr>
            <w:tcW w:w="0" w:type="dxa"/>
            <w:vAlign w:val="bottom"/>
          </w:tcPr>
          <w:p>
            <w:pPr>
              <w:spacing w:after="0"/>
              <w:rPr>
                <w:sz w:val="1"/>
                <w:szCs w:val="1"/>
                <w:color w:val="auto"/>
              </w:rPr>
            </w:pPr>
          </w:p>
        </w:tc>
      </w:tr>
      <w:tr>
        <w:trPr>
          <w:trHeight w:val="54"/>
        </w:trPr>
        <w:tc>
          <w:tcPr>
            <w:tcW w:w="13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3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1360" w:type="dxa"/>
            <w:vAlign w:val="bottom"/>
          </w:tcPr>
          <w:p>
            <w:pPr>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Executive</w:t>
            </w:r>
          </w:p>
        </w:tc>
        <w:tc>
          <w:tcPr>
            <w:tcW w:w="440" w:type="dxa"/>
            <w:vAlign w:val="bottom"/>
          </w:tcPr>
          <w:p>
            <w:pPr>
              <w:ind w:left="280"/>
              <w:spacing w:after="0"/>
              <w:rPr>
                <w:sz w:val="20"/>
                <w:szCs w:val="20"/>
                <w:color w:val="auto"/>
              </w:rPr>
            </w:pPr>
            <w:r>
              <w:rPr>
                <w:rFonts w:ascii="Arial" w:cs="Arial" w:eastAsia="Arial" w:hAnsi="Arial"/>
                <w:sz w:val="17"/>
                <w:szCs w:val="17"/>
                <w:color w:val="355889"/>
              </w:rPr>
              <w:t>●</w:t>
            </w:r>
          </w:p>
        </w:tc>
        <w:tc>
          <w:tcPr>
            <w:tcW w:w="3340" w:type="dxa"/>
            <w:vAlign w:val="bottom"/>
          </w:tcPr>
          <w:p>
            <w:pPr>
              <w:ind w:left="60"/>
              <w:spacing w:after="0"/>
              <w:rPr>
                <w:sz w:val="20"/>
                <w:szCs w:val="20"/>
                <w:color w:val="auto"/>
              </w:rPr>
            </w:pPr>
            <w:r>
              <w:rPr>
                <w:rFonts w:ascii="Arial" w:cs="Arial" w:eastAsia="Arial" w:hAnsi="Arial"/>
                <w:sz w:val="18"/>
                <w:szCs w:val="18"/>
                <w:color w:val="auto"/>
              </w:rPr>
              <w:t>The Macerich Company since 2015</w:t>
            </w:r>
          </w:p>
        </w:tc>
        <w:tc>
          <w:tcPr>
            <w:tcW w:w="0" w:type="dxa"/>
            <w:vAlign w:val="bottom"/>
          </w:tcPr>
          <w:p>
            <w:pPr>
              <w:spacing w:after="0"/>
              <w:rPr>
                <w:sz w:val="1"/>
                <w:szCs w:val="1"/>
                <w:color w:val="auto"/>
              </w:rPr>
            </w:pPr>
          </w:p>
        </w:tc>
      </w:tr>
      <w:tr>
        <w:trPr>
          <w:trHeight w:val="211"/>
        </w:trPr>
        <w:tc>
          <w:tcPr>
            <w:tcW w:w="1360" w:type="dxa"/>
            <w:vAlign w:val="bottom"/>
          </w:tcPr>
          <w:p>
            <w:pPr>
              <w:ind w:left="260"/>
              <w:spacing w:after="0"/>
              <w:rPr>
                <w:sz w:val="20"/>
                <w:szCs w:val="20"/>
                <w:color w:val="auto"/>
              </w:rPr>
            </w:pPr>
            <w:r>
              <w:rPr>
                <w:rFonts w:ascii="Arial" w:cs="Arial" w:eastAsia="Arial" w:hAnsi="Arial"/>
                <w:sz w:val="18"/>
                <w:szCs w:val="18"/>
                <w:color w:val="auto"/>
              </w:rPr>
              <w:t>Committee</w:t>
            </w:r>
          </w:p>
        </w:tc>
        <w:tc>
          <w:tcPr>
            <w:tcW w:w="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OUR BOARD OF DIRECTORS AND CORPORATE GOVERNANCE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400" w:type="dxa"/>
            <w:vAlign w:val="bottom"/>
            <w:tcBorders>
              <w:top w:val="single" w:sz="8" w:color="345988"/>
            </w:tcBorders>
          </w:tcPr>
          <w:p>
            <w:pPr>
              <w:jc w:val="center"/>
              <w:spacing w:after="0"/>
              <w:rPr>
                <w:sz w:val="20"/>
                <w:szCs w:val="20"/>
                <w:color w:val="auto"/>
              </w:rPr>
            </w:pPr>
            <w:r>
              <w:rPr>
                <w:rFonts w:ascii="Arial" w:cs="Arial" w:eastAsia="Arial" w:hAnsi="Arial"/>
                <w:sz w:val="22"/>
                <w:szCs w:val="22"/>
                <w:b w:val="1"/>
                <w:bCs w:val="1"/>
                <w:color w:val="355889"/>
              </w:rPr>
              <w:t>Betsy</w:t>
            </w:r>
          </w:p>
        </w:tc>
        <w:tc>
          <w:tcPr>
            <w:tcW w:w="100" w:type="dxa"/>
            <w:vAlign w:val="bottom"/>
          </w:tcPr>
          <w:p>
            <w:pPr>
              <w:spacing w:after="0"/>
              <w:rPr>
                <w:sz w:val="24"/>
                <w:szCs w:val="24"/>
                <w:color w:val="auto"/>
              </w:rPr>
            </w:pPr>
          </w:p>
        </w:tc>
        <w:tc>
          <w:tcPr>
            <w:tcW w:w="9740" w:type="dxa"/>
            <w:vAlign w:val="bottom"/>
            <w:tcBorders>
              <w:top w:val="single" w:sz="8" w:color="345988"/>
            </w:tcBorders>
            <w:vMerge w:val="restart"/>
            <w:shd w:val="clear" w:color="auto" w:fill="EBEDF3"/>
          </w:tcPr>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April 2015</w:t>
            </w:r>
            <w:r>
              <w:rPr>
                <w:rFonts w:ascii="Arial" w:cs="Arial" w:eastAsia="Arial" w:hAnsi="Arial"/>
                <w:sz w:val="18"/>
                <w:szCs w:val="18"/>
                <w:color w:val="auto"/>
              </w:rPr>
              <w:t xml:space="preserve"> Age: </w:t>
            </w:r>
            <w:r>
              <w:rPr>
                <w:rFonts w:ascii="Arial" w:cs="Arial" w:eastAsia="Arial" w:hAnsi="Arial"/>
                <w:sz w:val="18"/>
                <w:szCs w:val="18"/>
                <w:b w:val="1"/>
                <w:bCs w:val="1"/>
                <w:color w:val="auto"/>
              </w:rPr>
              <w:t>66 Independent Director</w:t>
            </w:r>
          </w:p>
        </w:tc>
        <w:tc>
          <w:tcPr>
            <w:tcW w:w="0" w:type="dxa"/>
            <w:vAlign w:val="bottom"/>
          </w:tcPr>
          <w:p>
            <w:pPr>
              <w:spacing w:after="0"/>
              <w:rPr>
                <w:sz w:val="1"/>
                <w:szCs w:val="1"/>
                <w:color w:val="auto"/>
              </w:rPr>
            </w:pPr>
          </w:p>
        </w:tc>
      </w:tr>
      <w:tr>
        <w:trPr>
          <w:trHeight w:val="152"/>
        </w:trPr>
        <w:tc>
          <w:tcPr>
            <w:tcW w:w="1400" w:type="dxa"/>
            <w:vAlign w:val="bottom"/>
            <w:vMerge w:val="restart"/>
          </w:tcPr>
          <w:p>
            <w:pPr>
              <w:jc w:val="center"/>
              <w:spacing w:after="0"/>
              <w:rPr>
                <w:sz w:val="20"/>
                <w:szCs w:val="20"/>
                <w:color w:val="auto"/>
              </w:rPr>
            </w:pPr>
            <w:r>
              <w:rPr>
                <w:rFonts w:ascii="Arial" w:cs="Arial" w:eastAsia="Arial" w:hAnsi="Arial"/>
                <w:sz w:val="22"/>
                <w:szCs w:val="22"/>
                <w:b w:val="1"/>
                <w:bCs w:val="1"/>
                <w:color w:val="355889"/>
                <w:w w:val="98"/>
              </w:rPr>
              <w:t>Atkins</w:t>
            </w:r>
          </w:p>
        </w:tc>
        <w:tc>
          <w:tcPr>
            <w:tcW w:w="100" w:type="dxa"/>
            <w:vAlign w:val="bottom"/>
          </w:tcPr>
          <w:p>
            <w:pPr>
              <w:spacing w:after="0"/>
              <w:rPr>
                <w:sz w:val="13"/>
                <w:szCs w:val="13"/>
                <w:color w:val="auto"/>
              </w:rPr>
            </w:pPr>
          </w:p>
        </w:tc>
        <w:tc>
          <w:tcPr>
            <w:tcW w:w="9740" w:type="dxa"/>
            <w:vAlign w:val="bottom"/>
            <w:vMerge w:val="continue"/>
            <w:shd w:val="clear" w:color="auto" w:fill="EBEDF3"/>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740" w:type="dxa"/>
            <w:vAlign w:val="bottom"/>
            <w:shd w:val="clear" w:color="auto" w:fill="EBEDF3"/>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400" w:type="dxa"/>
            <w:vAlign w:val="bottom"/>
            <w:tcBorders>
              <w:bottom w:val="single" w:sz="8" w:color="345988"/>
            </w:tcBorders>
          </w:tcPr>
          <w:p>
            <w:pPr>
              <w:spacing w:after="0"/>
              <w:rPr>
                <w:sz w:val="5"/>
                <w:szCs w:val="5"/>
                <w:color w:val="auto"/>
              </w:rPr>
            </w:pPr>
          </w:p>
        </w:tc>
        <w:tc>
          <w:tcPr>
            <w:tcW w:w="100" w:type="dxa"/>
            <w:vAlign w:val="bottom"/>
          </w:tcPr>
          <w:p>
            <w:pPr>
              <w:spacing w:after="0"/>
              <w:rPr>
                <w:sz w:val="5"/>
                <w:szCs w:val="5"/>
                <w:color w:val="auto"/>
              </w:rPr>
            </w:pPr>
          </w:p>
        </w:tc>
        <w:tc>
          <w:tcPr>
            <w:tcW w:w="9740" w:type="dxa"/>
            <w:vAlign w:val="bottom"/>
            <w:tcBorders>
              <w:bottom w:val="single" w:sz="8" w:color="EBEDF3"/>
            </w:tcBorders>
            <w:shd w:val="clear" w:color="auto" w:fill="EBEDF3"/>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68580</wp:posOffset>
            </wp:positionV>
            <wp:extent cx="796925" cy="10883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96925" cy="10883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60"/>
        <w:spacing w:after="0" w:line="327" w:lineRule="auto"/>
        <w:rPr>
          <w:sz w:val="20"/>
          <w:szCs w:val="20"/>
          <w:color w:val="auto"/>
        </w:rPr>
      </w:pPr>
      <w:r>
        <w:rPr>
          <w:rFonts w:ascii="Arial" w:cs="Arial" w:eastAsia="Arial" w:hAnsi="Arial"/>
          <w:sz w:val="16"/>
          <w:szCs w:val="16"/>
          <w:b w:val="1"/>
          <w:bCs w:val="1"/>
          <w:color w:val="auto"/>
        </w:rPr>
        <w:t>SL Green Board Service:</w:t>
      </w:r>
    </w:p>
    <w:p>
      <w:pPr>
        <w:spacing w:after="0" w:line="142" w:lineRule="exact"/>
        <w:rPr>
          <w:sz w:val="20"/>
          <w:szCs w:val="20"/>
          <w:color w:val="auto"/>
        </w:rPr>
      </w:pPr>
    </w:p>
    <w:p>
      <w:pPr>
        <w:ind w:left="280" w:right="280" w:hanging="263"/>
        <w:spacing w:after="0" w:line="312" w:lineRule="auto"/>
        <w:tabs>
          <w:tab w:leader="none" w:pos="257" w:val="left"/>
        </w:tabs>
        <w:numPr>
          <w:ilvl w:val="0"/>
          <w:numId w:val="24"/>
        </w:numPr>
        <w:rPr>
          <w:rFonts w:ascii="Arial" w:cs="Arial" w:eastAsia="Arial" w:hAnsi="Arial"/>
          <w:sz w:val="16"/>
          <w:szCs w:val="16"/>
          <w:color w:val="355889"/>
        </w:rPr>
      </w:pPr>
      <w:r>
        <w:rPr>
          <w:rFonts w:ascii="Arial" w:cs="Arial" w:eastAsia="Arial" w:hAnsi="Arial"/>
          <w:sz w:val="16"/>
          <w:szCs w:val="16"/>
          <w:color w:val="auto"/>
        </w:rPr>
        <w:t>Audit Committee</w:t>
      </w:r>
    </w:p>
    <w:p>
      <w:pPr>
        <w:spacing w:after="0" w:line="7" w:lineRule="exact"/>
        <w:rPr>
          <w:rFonts w:ascii="Arial" w:cs="Arial" w:eastAsia="Arial" w:hAnsi="Arial"/>
          <w:sz w:val="16"/>
          <w:szCs w:val="16"/>
          <w:color w:val="355889"/>
        </w:rPr>
      </w:pPr>
    </w:p>
    <w:p>
      <w:pPr>
        <w:ind w:left="280" w:hanging="263"/>
        <w:spacing w:after="0" w:line="281" w:lineRule="auto"/>
        <w:tabs>
          <w:tab w:leader="none" w:pos="257" w:val="left"/>
        </w:tabs>
        <w:numPr>
          <w:ilvl w:val="0"/>
          <w:numId w:val="24"/>
        </w:numPr>
        <w:rPr>
          <w:rFonts w:ascii="Arial" w:cs="Arial" w:eastAsia="Arial" w:hAnsi="Arial"/>
          <w:sz w:val="16"/>
          <w:szCs w:val="16"/>
          <w:color w:val="355889"/>
        </w:rPr>
      </w:pPr>
      <w:r>
        <w:rPr>
          <w:rFonts w:ascii="Arial" w:cs="Arial" w:eastAsia="Arial" w:hAnsi="Arial"/>
          <w:sz w:val="16"/>
          <w:szCs w:val="16"/>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Ms. Atkins has deep expertise in many areas, including executive leadership and operational experience in various technology, durable goods, energy efficiency infrastructure and retail industries, as well as significant public board experience, which gives her broad experience and thought leadership in corporate governance matters generally, including executive compensation and evolving best practices in sustainability and enterprise risk management.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34" w:lineRule="exact"/>
        <w:rPr>
          <w:sz w:val="20"/>
          <w:szCs w:val="20"/>
          <w:color w:val="auto"/>
        </w:rPr>
      </w:pPr>
    </w:p>
    <w:p>
      <w:pPr>
        <w:ind w:left="540" w:right="280" w:hanging="254"/>
        <w:spacing w:after="0" w:line="239" w:lineRule="auto"/>
        <w:tabs>
          <w:tab w:leader="none" w:pos="517" w:val="left"/>
        </w:tabs>
        <w:numPr>
          <w:ilvl w:val="0"/>
          <w:numId w:val="25"/>
        </w:numPr>
        <w:rPr>
          <w:rFonts w:ascii="Arial" w:cs="Arial" w:eastAsia="Arial" w:hAnsi="Arial"/>
          <w:sz w:val="17"/>
          <w:szCs w:val="17"/>
          <w:color w:val="355889"/>
        </w:rPr>
      </w:pPr>
      <w:r>
        <w:rPr>
          <w:rFonts w:ascii="Arial" w:cs="Arial" w:eastAsia="Arial" w:hAnsi="Arial"/>
          <w:sz w:val="18"/>
          <w:szCs w:val="18"/>
          <w:color w:val="auto"/>
        </w:rPr>
        <w:t>Chief Executive Officer of Baja Corp, an independent venture capital firm focused on technology, renewable energy and life sciences industries, since 1994</w:t>
      </w:r>
    </w:p>
    <w:p>
      <w:pPr>
        <w:spacing w:after="0" w:line="60" w:lineRule="exact"/>
        <w:rPr>
          <w:rFonts w:ascii="Arial" w:cs="Arial" w:eastAsia="Arial" w:hAnsi="Arial"/>
          <w:sz w:val="17"/>
          <w:szCs w:val="17"/>
          <w:color w:val="355889"/>
        </w:rPr>
      </w:pPr>
    </w:p>
    <w:p>
      <w:pPr>
        <w:ind w:left="540" w:right="520" w:hanging="254"/>
        <w:spacing w:after="0" w:line="238" w:lineRule="auto"/>
        <w:tabs>
          <w:tab w:leader="none" w:pos="517" w:val="left"/>
        </w:tabs>
        <w:numPr>
          <w:ilvl w:val="0"/>
          <w:numId w:val="25"/>
        </w:numPr>
        <w:rPr>
          <w:rFonts w:ascii="Arial" w:cs="Arial" w:eastAsia="Arial" w:hAnsi="Arial"/>
          <w:sz w:val="17"/>
          <w:szCs w:val="17"/>
          <w:color w:val="355889"/>
        </w:rPr>
      </w:pPr>
      <w:r>
        <w:rPr>
          <w:rFonts w:ascii="Arial" w:cs="Arial" w:eastAsia="Arial" w:hAnsi="Arial"/>
          <w:sz w:val="18"/>
          <w:szCs w:val="18"/>
          <w:color w:val="auto"/>
        </w:rPr>
        <w:t>Chief Executive Officer and Chairman of the Board of Directors of Clear Standards, Inc., a provider of energy management solutions, from February 2009 to August 2009, when Clear Standards was acquired by SAP AG, a business software company</w:t>
      </w:r>
    </w:p>
    <w:p>
      <w:pPr>
        <w:spacing w:after="0" w:line="72" w:lineRule="exact"/>
        <w:rPr>
          <w:rFonts w:ascii="Arial" w:cs="Arial" w:eastAsia="Arial" w:hAnsi="Arial"/>
          <w:sz w:val="17"/>
          <w:szCs w:val="17"/>
          <w:color w:val="355889"/>
        </w:rPr>
      </w:pPr>
    </w:p>
    <w:p>
      <w:pPr>
        <w:ind w:left="520" w:hanging="234"/>
        <w:spacing w:after="0"/>
        <w:tabs>
          <w:tab w:leader="none" w:pos="520" w:val="left"/>
        </w:tabs>
        <w:numPr>
          <w:ilvl w:val="0"/>
          <w:numId w:val="25"/>
        </w:numPr>
        <w:rPr>
          <w:rFonts w:ascii="Arial" w:cs="Arial" w:eastAsia="Arial" w:hAnsi="Arial"/>
          <w:sz w:val="17"/>
          <w:szCs w:val="17"/>
          <w:color w:val="355889"/>
        </w:rPr>
      </w:pPr>
      <w:r>
        <w:rPr>
          <w:rFonts w:ascii="Arial" w:cs="Arial" w:eastAsia="Arial" w:hAnsi="Arial"/>
          <w:sz w:val="18"/>
          <w:szCs w:val="18"/>
          <w:color w:val="auto"/>
        </w:rPr>
        <w:t>Chairman and Chief Executive Officer of NCI, Inc., a functional food/nutraceutical company, from 1991 to 1993</w:t>
      </w:r>
    </w:p>
    <w:p>
      <w:pPr>
        <w:spacing w:after="0" w:line="63" w:lineRule="exact"/>
        <w:rPr>
          <w:rFonts w:ascii="Arial" w:cs="Arial" w:eastAsia="Arial" w:hAnsi="Arial"/>
          <w:sz w:val="17"/>
          <w:szCs w:val="17"/>
          <w:color w:val="355889"/>
        </w:rPr>
      </w:pPr>
    </w:p>
    <w:p>
      <w:pPr>
        <w:ind w:left="540" w:right="160" w:hanging="254"/>
        <w:spacing w:after="0" w:line="299" w:lineRule="auto"/>
        <w:tabs>
          <w:tab w:leader="none" w:pos="517" w:val="left"/>
        </w:tabs>
        <w:numPr>
          <w:ilvl w:val="0"/>
          <w:numId w:val="25"/>
        </w:numPr>
        <w:rPr>
          <w:rFonts w:ascii="Arial" w:cs="Arial" w:eastAsia="Arial" w:hAnsi="Arial"/>
          <w:sz w:val="16"/>
          <w:szCs w:val="16"/>
          <w:color w:val="355889"/>
        </w:rPr>
      </w:pPr>
      <w:r>
        <w:rPr>
          <w:rFonts w:ascii="Arial" w:cs="Arial" w:eastAsia="Arial" w:hAnsi="Arial"/>
          <w:sz w:val="16"/>
          <w:szCs w:val="16"/>
          <w:color w:val="auto"/>
        </w:rPr>
        <w:t>Co-founded Ascend Communications, Inc. in 1989, member of its Board of Directors and Executive Vice President of sales, marketing, professional services and international operations prior to its acquisition by Lucent Technologies</w:t>
      </w:r>
    </w:p>
    <w:p>
      <w:pPr>
        <w:spacing w:after="0" w:line="14" w:lineRule="exact"/>
        <w:rPr>
          <w:rFonts w:ascii="Arial" w:cs="Arial" w:eastAsia="Arial" w:hAnsi="Arial"/>
          <w:sz w:val="16"/>
          <w:szCs w:val="16"/>
          <w:color w:val="355889"/>
        </w:rPr>
      </w:pPr>
    </w:p>
    <w:p>
      <w:pPr>
        <w:ind w:left="540" w:right="420" w:hanging="254"/>
        <w:spacing w:after="0" w:line="239" w:lineRule="auto"/>
        <w:tabs>
          <w:tab w:leader="none" w:pos="517" w:val="left"/>
        </w:tabs>
        <w:numPr>
          <w:ilvl w:val="0"/>
          <w:numId w:val="25"/>
        </w:numPr>
        <w:rPr>
          <w:rFonts w:ascii="Arial" w:cs="Arial" w:eastAsia="Arial" w:hAnsi="Arial"/>
          <w:sz w:val="17"/>
          <w:szCs w:val="17"/>
          <w:color w:val="355889"/>
        </w:rPr>
      </w:pPr>
      <w:r>
        <w:rPr>
          <w:rFonts w:ascii="Arial" w:cs="Arial" w:eastAsia="Arial" w:hAnsi="Arial"/>
          <w:sz w:val="18"/>
          <w:szCs w:val="18"/>
          <w:color w:val="auto"/>
        </w:rPr>
        <w:t>Formerly an advisor to SAP SE, an advisor to British Telecom and a presidential-appointee to the Pension Benefit Guaranty Corporation advisory committee</w:t>
      </w:r>
    </w:p>
    <w:p>
      <w:pPr>
        <w:spacing w:after="0" w:line="73" w:lineRule="exact"/>
        <w:rPr>
          <w:rFonts w:ascii="Arial" w:cs="Arial" w:eastAsia="Arial" w:hAnsi="Arial"/>
          <w:sz w:val="17"/>
          <w:szCs w:val="17"/>
          <w:color w:val="355889"/>
        </w:rPr>
      </w:pPr>
    </w:p>
    <w:p>
      <w:pPr>
        <w:ind w:left="520" w:hanging="234"/>
        <w:spacing w:after="0"/>
        <w:tabs>
          <w:tab w:leader="none" w:pos="520" w:val="left"/>
        </w:tabs>
        <w:numPr>
          <w:ilvl w:val="0"/>
          <w:numId w:val="25"/>
        </w:numPr>
        <w:rPr>
          <w:rFonts w:ascii="Arial" w:cs="Arial" w:eastAsia="Arial" w:hAnsi="Arial"/>
          <w:sz w:val="17"/>
          <w:szCs w:val="17"/>
          <w:color w:val="355889"/>
        </w:rPr>
      </w:pPr>
      <w:r>
        <w:rPr>
          <w:rFonts w:ascii="Arial" w:cs="Arial" w:eastAsia="Arial" w:hAnsi="Arial"/>
          <w:sz w:val="18"/>
          <w:szCs w:val="18"/>
          <w:color w:val="auto"/>
        </w:rPr>
        <w:t>B.A. from the University of Massachusetts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Directorships</w:t>
      </w:r>
    </w:p>
    <w:p>
      <w:pPr>
        <w:spacing w:after="0" w:line="234" w:lineRule="exact"/>
        <w:rPr>
          <w:sz w:val="20"/>
          <w:szCs w:val="20"/>
          <w:color w:val="auto"/>
        </w:rPr>
      </w:pPr>
    </w:p>
    <w:p>
      <w:pPr>
        <w:ind w:left="520" w:hanging="234"/>
        <w:spacing w:after="0"/>
        <w:tabs>
          <w:tab w:leader="none" w:pos="520" w:val="left"/>
        </w:tabs>
        <w:numPr>
          <w:ilvl w:val="0"/>
          <w:numId w:val="26"/>
        </w:numPr>
        <w:rPr>
          <w:rFonts w:ascii="Arial" w:cs="Arial" w:eastAsia="Arial" w:hAnsi="Arial"/>
          <w:sz w:val="17"/>
          <w:szCs w:val="17"/>
          <w:color w:val="355889"/>
        </w:rPr>
      </w:pPr>
      <w:r>
        <w:rPr>
          <w:rFonts w:ascii="Arial" w:cs="Arial" w:eastAsia="Arial" w:hAnsi="Arial"/>
          <w:sz w:val="18"/>
          <w:szCs w:val="18"/>
          <w:color w:val="auto"/>
        </w:rPr>
        <w:t>Wynn Resorts Ltd. since April 2018</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(during the past 5 years):</w:t>
      </w:r>
    </w:p>
    <w:p>
      <w:pPr>
        <w:spacing w:after="0" w:line="230" w:lineRule="exact"/>
        <w:rPr>
          <w:sz w:val="20"/>
          <w:szCs w:val="20"/>
          <w:color w:val="auto"/>
        </w:rPr>
      </w:pPr>
    </w:p>
    <w:p>
      <w:pPr>
        <w:ind w:left="520" w:hanging="234"/>
        <w:spacing w:after="0"/>
        <w:tabs>
          <w:tab w:leader="none" w:pos="520" w:val="left"/>
        </w:tabs>
        <w:numPr>
          <w:ilvl w:val="0"/>
          <w:numId w:val="27"/>
        </w:numPr>
        <w:rPr>
          <w:rFonts w:ascii="Arial" w:cs="Arial" w:eastAsia="Arial" w:hAnsi="Arial"/>
          <w:sz w:val="17"/>
          <w:szCs w:val="17"/>
          <w:color w:val="355889"/>
        </w:rPr>
      </w:pPr>
      <w:r>
        <w:rPr>
          <w:rFonts w:ascii="Arial" w:cs="Arial" w:eastAsia="Arial" w:hAnsi="Arial"/>
          <w:sz w:val="18"/>
          <w:szCs w:val="18"/>
          <w:color w:val="auto"/>
        </w:rPr>
        <w:t>Covetrus, Inc. from February 2019 to September 2019</w:t>
      </w:r>
    </w:p>
    <w:p>
      <w:pPr>
        <w:spacing w:after="0" w:line="63" w:lineRule="exact"/>
        <w:rPr>
          <w:rFonts w:ascii="Arial" w:cs="Arial" w:eastAsia="Arial" w:hAnsi="Arial"/>
          <w:sz w:val="17"/>
          <w:szCs w:val="17"/>
          <w:color w:val="355889"/>
        </w:rPr>
      </w:pPr>
    </w:p>
    <w:p>
      <w:pPr>
        <w:ind w:left="520" w:hanging="234"/>
        <w:spacing w:after="0"/>
        <w:tabs>
          <w:tab w:leader="none" w:pos="520" w:val="left"/>
        </w:tabs>
        <w:numPr>
          <w:ilvl w:val="0"/>
          <w:numId w:val="27"/>
        </w:numPr>
        <w:rPr>
          <w:rFonts w:ascii="Arial" w:cs="Arial" w:eastAsia="Arial" w:hAnsi="Arial"/>
          <w:sz w:val="17"/>
          <w:szCs w:val="17"/>
          <w:color w:val="355889"/>
        </w:rPr>
      </w:pPr>
      <w:r>
        <w:rPr>
          <w:rFonts w:ascii="Arial" w:cs="Arial" w:eastAsia="Arial" w:hAnsi="Arial"/>
          <w:sz w:val="18"/>
          <w:szCs w:val="18"/>
          <w:color w:val="auto"/>
        </w:rPr>
        <w:t>Schneider Electric, SA from April 2011 to April 2019</w:t>
      </w:r>
    </w:p>
    <w:p>
      <w:pPr>
        <w:spacing w:after="0" w:line="76" w:lineRule="exact"/>
        <w:rPr>
          <w:rFonts w:ascii="Arial" w:cs="Arial" w:eastAsia="Arial" w:hAnsi="Arial"/>
          <w:sz w:val="17"/>
          <w:szCs w:val="17"/>
          <w:color w:val="355889"/>
        </w:rPr>
      </w:pPr>
    </w:p>
    <w:p>
      <w:pPr>
        <w:ind w:left="520" w:hanging="234"/>
        <w:spacing w:after="0"/>
        <w:tabs>
          <w:tab w:leader="none" w:pos="520" w:val="left"/>
        </w:tabs>
        <w:numPr>
          <w:ilvl w:val="0"/>
          <w:numId w:val="27"/>
        </w:numPr>
        <w:rPr>
          <w:rFonts w:ascii="Arial" w:cs="Arial" w:eastAsia="Arial" w:hAnsi="Arial"/>
          <w:sz w:val="17"/>
          <w:szCs w:val="17"/>
          <w:color w:val="355889"/>
        </w:rPr>
      </w:pPr>
      <w:r>
        <w:rPr>
          <w:rFonts w:ascii="Arial" w:cs="Arial" w:eastAsia="Arial" w:hAnsi="Arial"/>
          <w:sz w:val="18"/>
          <w:szCs w:val="18"/>
          <w:color w:val="auto"/>
        </w:rPr>
        <w:t>Cognizant Technology Solutions Corporation from April 2017 to October 2018</w:t>
      </w:r>
    </w:p>
    <w:p>
      <w:pPr>
        <w:spacing w:after="0" w:line="63" w:lineRule="exact"/>
        <w:rPr>
          <w:rFonts w:ascii="Arial" w:cs="Arial" w:eastAsia="Arial" w:hAnsi="Arial"/>
          <w:sz w:val="17"/>
          <w:szCs w:val="17"/>
          <w:color w:val="355889"/>
        </w:rPr>
      </w:pPr>
    </w:p>
    <w:p>
      <w:pPr>
        <w:ind w:left="520" w:hanging="234"/>
        <w:spacing w:after="0"/>
        <w:tabs>
          <w:tab w:leader="none" w:pos="520" w:val="left"/>
        </w:tabs>
        <w:numPr>
          <w:ilvl w:val="0"/>
          <w:numId w:val="27"/>
        </w:numPr>
        <w:rPr>
          <w:rFonts w:ascii="Arial" w:cs="Arial" w:eastAsia="Arial" w:hAnsi="Arial"/>
          <w:sz w:val="17"/>
          <w:szCs w:val="17"/>
          <w:color w:val="355889"/>
        </w:rPr>
      </w:pPr>
      <w:r>
        <w:rPr>
          <w:rFonts w:ascii="Arial" w:cs="Arial" w:eastAsia="Arial" w:hAnsi="Arial"/>
          <w:sz w:val="18"/>
          <w:szCs w:val="18"/>
          <w:color w:val="auto"/>
        </w:rPr>
        <w:t>HD Supply, Inc. from September 2013 to April 2018</w:t>
      </w:r>
    </w:p>
    <w:p>
      <w:pPr>
        <w:spacing w:after="0" w:line="63" w:lineRule="exact"/>
        <w:rPr>
          <w:rFonts w:ascii="Arial" w:cs="Arial" w:eastAsia="Arial" w:hAnsi="Arial"/>
          <w:sz w:val="17"/>
          <w:szCs w:val="17"/>
          <w:color w:val="355889"/>
        </w:rPr>
      </w:pPr>
    </w:p>
    <w:p>
      <w:pPr>
        <w:ind w:left="520" w:hanging="234"/>
        <w:spacing w:after="0"/>
        <w:tabs>
          <w:tab w:leader="none" w:pos="520" w:val="left"/>
        </w:tabs>
        <w:numPr>
          <w:ilvl w:val="0"/>
          <w:numId w:val="27"/>
        </w:numPr>
        <w:rPr>
          <w:rFonts w:ascii="Arial" w:cs="Arial" w:eastAsia="Arial" w:hAnsi="Arial"/>
          <w:sz w:val="17"/>
          <w:szCs w:val="17"/>
          <w:color w:val="355889"/>
        </w:rPr>
      </w:pPr>
      <w:r>
        <w:rPr>
          <w:rFonts w:ascii="Arial" w:cs="Arial" w:eastAsia="Arial" w:hAnsi="Arial"/>
          <w:sz w:val="18"/>
          <w:szCs w:val="18"/>
          <w:color w:val="auto"/>
        </w:rPr>
        <w:t>Polycom, Inc. from 1999 to April 2016</w:t>
      </w:r>
    </w:p>
    <w:p>
      <w:pPr>
        <w:spacing w:after="0" w:line="76" w:lineRule="exact"/>
        <w:rPr>
          <w:rFonts w:ascii="Arial" w:cs="Arial" w:eastAsia="Arial" w:hAnsi="Arial"/>
          <w:sz w:val="17"/>
          <w:szCs w:val="17"/>
          <w:color w:val="355889"/>
        </w:rPr>
      </w:pPr>
    </w:p>
    <w:p>
      <w:pPr>
        <w:ind w:left="520" w:hanging="234"/>
        <w:spacing w:after="0"/>
        <w:tabs>
          <w:tab w:leader="none" w:pos="520" w:val="left"/>
        </w:tabs>
        <w:numPr>
          <w:ilvl w:val="0"/>
          <w:numId w:val="27"/>
        </w:numPr>
        <w:rPr>
          <w:rFonts w:ascii="Arial" w:cs="Arial" w:eastAsia="Arial" w:hAnsi="Arial"/>
          <w:sz w:val="17"/>
          <w:szCs w:val="17"/>
          <w:color w:val="355889"/>
        </w:rPr>
      </w:pPr>
      <w:r>
        <w:rPr>
          <w:rFonts w:ascii="Arial" w:cs="Arial" w:eastAsia="Arial" w:hAnsi="Arial"/>
          <w:sz w:val="18"/>
          <w:szCs w:val="18"/>
          <w:color w:val="auto"/>
        </w:rPr>
        <w:t>Darden Restaurants, Inc. from October 2014 to September 2015</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130175</wp:posOffset>
            </wp:positionV>
            <wp:extent cx="71532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2">
            <w:col w:w="1400" w:space="100"/>
            <w:col w:w="9740"/>
          </w:cols>
          <w:pgMar w:left="320" w:top="121"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355889"/>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420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93"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355889"/>
        </w:rPr>
        <w:t>Edwin T.</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355889"/>
        </w:rPr>
        <w:t>Burton,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891540" cy="10972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91540" cy="10972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891540" cy="10972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9154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color w:val="auto"/>
        </w:rPr>
        <w:t>SL Green Board Service:</w:t>
      </w:r>
    </w:p>
    <w:p>
      <w:pPr>
        <w:spacing w:after="0" w:line="188" w:lineRule="exact"/>
        <w:rPr>
          <w:sz w:val="20"/>
          <w:szCs w:val="20"/>
          <w:color w:val="auto"/>
        </w:rPr>
      </w:pPr>
    </w:p>
    <w:p>
      <w:pPr>
        <w:ind w:left="280" w:right="200" w:hanging="263"/>
        <w:spacing w:after="0" w:line="290" w:lineRule="auto"/>
        <w:tabs>
          <w:tab w:leader="none" w:pos="257" w:val="left"/>
        </w:tabs>
        <w:numPr>
          <w:ilvl w:val="0"/>
          <w:numId w:val="28"/>
        </w:numPr>
        <w:rPr>
          <w:rFonts w:ascii="Arial" w:cs="Arial" w:eastAsia="Arial" w:hAnsi="Arial"/>
          <w:sz w:val="16"/>
          <w:szCs w:val="16"/>
          <w:color w:val="355889"/>
        </w:rPr>
      </w:pPr>
      <w:r>
        <w:rPr>
          <w:rFonts w:ascii="Arial" w:cs="Arial" w:eastAsia="Arial" w:hAnsi="Arial"/>
          <w:sz w:val="16"/>
          <w:szCs w:val="16"/>
          <w:color w:val="auto"/>
        </w:rPr>
        <w:t>Audit Committee, Chair</w:t>
      </w:r>
    </w:p>
    <w:p>
      <w:pPr>
        <w:spacing w:after="0" w:line="21" w:lineRule="exact"/>
        <w:rPr>
          <w:rFonts w:ascii="Arial" w:cs="Arial" w:eastAsia="Arial" w:hAnsi="Arial"/>
          <w:sz w:val="16"/>
          <w:szCs w:val="16"/>
          <w:color w:val="355889"/>
        </w:rPr>
      </w:pPr>
    </w:p>
    <w:p>
      <w:pPr>
        <w:ind w:left="280" w:hanging="263"/>
        <w:spacing w:after="0" w:line="316" w:lineRule="auto"/>
        <w:tabs>
          <w:tab w:leader="none" w:pos="257" w:val="left"/>
        </w:tabs>
        <w:numPr>
          <w:ilvl w:val="0"/>
          <w:numId w:val="28"/>
        </w:numPr>
        <w:rPr>
          <w:rFonts w:ascii="Arial" w:cs="Arial" w:eastAsia="Arial" w:hAnsi="Arial"/>
          <w:sz w:val="16"/>
          <w:szCs w:val="16"/>
          <w:color w:val="355889"/>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1344930</wp:posOffset>
            </wp:positionV>
            <wp:extent cx="8915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915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40"/>
        <w:spacing w:after="0"/>
        <w:rPr>
          <w:sz w:val="20"/>
          <w:szCs w:val="20"/>
          <w:color w:val="auto"/>
        </w:rPr>
      </w:pPr>
      <w:r>
        <w:rPr>
          <w:rFonts w:ascii="Arial" w:cs="Arial" w:eastAsia="Arial" w:hAnsi="Arial"/>
          <w:sz w:val="22"/>
          <w:szCs w:val="22"/>
          <w:b w:val="1"/>
          <w:bCs w:val="1"/>
          <w:color w:val="355889"/>
        </w:rPr>
        <w:t>Lauren B.</w:t>
      </w:r>
    </w:p>
    <w:p>
      <w:pPr>
        <w:spacing w:after="0" w:line="16" w:lineRule="exact"/>
        <w:rPr>
          <w:sz w:val="20"/>
          <w:szCs w:val="20"/>
          <w:color w:val="auto"/>
        </w:rPr>
      </w:pPr>
    </w:p>
    <w:p>
      <w:pPr>
        <w:jc w:val="center"/>
        <w:ind w:left="40"/>
        <w:spacing w:after="0"/>
        <w:rPr>
          <w:sz w:val="20"/>
          <w:szCs w:val="20"/>
          <w:color w:val="auto"/>
        </w:rPr>
      </w:pPr>
      <w:r>
        <w:rPr>
          <w:rFonts w:ascii="Arial" w:cs="Arial" w:eastAsia="Arial" w:hAnsi="Arial"/>
          <w:sz w:val="22"/>
          <w:szCs w:val="22"/>
          <w:b w:val="1"/>
          <w:bCs w:val="1"/>
          <w:color w:val="355889"/>
        </w:rPr>
        <w:t>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891540" cy="10972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91540" cy="1097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1997</w:t>
      </w:r>
      <w:r>
        <w:rPr>
          <w:rFonts w:ascii="Arial" w:cs="Arial" w:eastAsia="Arial" w:hAnsi="Arial"/>
          <w:sz w:val="18"/>
          <w:szCs w:val="18"/>
          <w:color w:val="auto"/>
        </w:rPr>
        <w:t xml:space="preserve"> Age: </w:t>
      </w:r>
      <w:r>
        <w:rPr>
          <w:rFonts w:ascii="Arial" w:cs="Arial" w:eastAsia="Arial" w:hAnsi="Arial"/>
          <w:sz w:val="18"/>
          <w:szCs w:val="18"/>
          <w:b w:val="1"/>
          <w:bCs w:val="1"/>
          <w:color w:val="auto"/>
        </w:rPr>
        <w:t>77 Independent Director</w:t>
      </w:r>
    </w:p>
    <w:p>
      <w:pPr>
        <w:spacing w:after="0" w:line="301"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In addition to his experience in academia as a seasoned professor of economics, Mr. Burton’s extensive skills and experience in corporate governance, financial, compensation and legal matters allow him to provide valuable financial expertise and insights into the Company’s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34" w:lineRule="exact"/>
        <w:rPr>
          <w:sz w:val="20"/>
          <w:szCs w:val="20"/>
          <w:color w:val="auto"/>
        </w:rPr>
      </w:pPr>
    </w:p>
    <w:p>
      <w:pPr>
        <w:ind w:left="540" w:right="360" w:hanging="267"/>
        <w:spacing w:after="0" w:line="254" w:lineRule="auto"/>
        <w:tabs>
          <w:tab w:leader="none" w:pos="517" w:val="left"/>
        </w:tabs>
        <w:numPr>
          <w:ilvl w:val="0"/>
          <w:numId w:val="29"/>
        </w:numPr>
        <w:rPr>
          <w:rFonts w:ascii="Arial" w:cs="Arial" w:eastAsia="Arial" w:hAnsi="Arial"/>
          <w:sz w:val="17"/>
          <w:szCs w:val="17"/>
          <w:color w:val="355889"/>
        </w:rPr>
      </w:pPr>
      <w:r>
        <w:rPr>
          <w:rFonts w:ascii="Arial" w:cs="Arial" w:eastAsia="Arial" w:hAnsi="Arial"/>
          <w:sz w:val="18"/>
          <w:szCs w:val="18"/>
          <w:color w:val="auto"/>
        </w:rPr>
        <w:t>Professor of Economics at the University of Virginia since 1988; has held teaching positions at York College, Rice University and Cornell University, and has written and lectured extensively in the field of Economics</w:t>
      </w:r>
    </w:p>
    <w:p>
      <w:pPr>
        <w:spacing w:after="0" w:line="47" w:lineRule="exact"/>
        <w:rPr>
          <w:rFonts w:ascii="Arial" w:cs="Arial" w:eastAsia="Arial" w:hAnsi="Arial"/>
          <w:sz w:val="17"/>
          <w:szCs w:val="17"/>
          <w:color w:val="355889"/>
        </w:rPr>
      </w:pPr>
    </w:p>
    <w:p>
      <w:pPr>
        <w:ind w:left="520" w:hanging="247"/>
        <w:spacing w:after="0"/>
        <w:tabs>
          <w:tab w:leader="none" w:pos="520" w:val="left"/>
        </w:tabs>
        <w:numPr>
          <w:ilvl w:val="0"/>
          <w:numId w:val="29"/>
        </w:numPr>
        <w:rPr>
          <w:rFonts w:ascii="Arial" w:cs="Arial" w:eastAsia="Arial" w:hAnsi="Arial"/>
          <w:sz w:val="17"/>
          <w:szCs w:val="17"/>
          <w:color w:val="355889"/>
        </w:rPr>
      </w:pPr>
      <w:r>
        <w:rPr>
          <w:rFonts w:ascii="Arial" w:cs="Arial" w:eastAsia="Arial" w:hAnsi="Arial"/>
          <w:sz w:val="18"/>
          <w:szCs w:val="18"/>
          <w:color w:val="auto"/>
        </w:rPr>
        <w:t>Consultant to numerous companies on investment strategy and investment banking</w:t>
      </w:r>
    </w:p>
    <w:p>
      <w:pPr>
        <w:spacing w:after="0" w:line="90" w:lineRule="exact"/>
        <w:rPr>
          <w:rFonts w:ascii="Arial" w:cs="Arial" w:eastAsia="Arial" w:hAnsi="Arial"/>
          <w:sz w:val="17"/>
          <w:szCs w:val="17"/>
          <w:color w:val="355889"/>
        </w:rPr>
      </w:pPr>
    </w:p>
    <w:p>
      <w:pPr>
        <w:ind w:left="540" w:right="300" w:hanging="267"/>
        <w:spacing w:after="0" w:line="244" w:lineRule="auto"/>
        <w:tabs>
          <w:tab w:leader="none" w:pos="517" w:val="left"/>
        </w:tabs>
        <w:numPr>
          <w:ilvl w:val="0"/>
          <w:numId w:val="29"/>
        </w:numPr>
        <w:rPr>
          <w:rFonts w:ascii="Arial" w:cs="Arial" w:eastAsia="Arial" w:hAnsi="Arial"/>
          <w:sz w:val="17"/>
          <w:szCs w:val="17"/>
          <w:color w:val="355889"/>
        </w:rPr>
      </w:pPr>
      <w:r>
        <w:rPr>
          <w:rFonts w:ascii="Arial" w:cs="Arial" w:eastAsia="Arial" w:hAnsi="Arial"/>
          <w:sz w:val="18"/>
          <w:szCs w:val="18"/>
          <w:color w:val="auto"/>
        </w:rPr>
        <w:t>Member of the Board of Trustees of the Virginia Retirement System for state and local employees of the Commonwealth of Virginia from 1994 to 2001 and then again from 2004 to 2014, and served as its Chairman from 1997 until March 2001</w:t>
      </w:r>
    </w:p>
    <w:p>
      <w:pPr>
        <w:spacing w:after="0" w:line="57" w:lineRule="exact"/>
        <w:rPr>
          <w:rFonts w:ascii="Arial" w:cs="Arial" w:eastAsia="Arial" w:hAnsi="Arial"/>
          <w:sz w:val="17"/>
          <w:szCs w:val="17"/>
          <w:color w:val="355889"/>
        </w:rPr>
      </w:pPr>
    </w:p>
    <w:p>
      <w:pPr>
        <w:ind w:left="540" w:right="460" w:hanging="267"/>
        <w:spacing w:after="0" w:line="312" w:lineRule="auto"/>
        <w:tabs>
          <w:tab w:leader="none" w:pos="517" w:val="left"/>
        </w:tabs>
        <w:numPr>
          <w:ilvl w:val="0"/>
          <w:numId w:val="29"/>
        </w:numPr>
        <w:rPr>
          <w:rFonts w:ascii="Arial" w:cs="Arial" w:eastAsia="Arial" w:hAnsi="Arial"/>
          <w:sz w:val="16"/>
          <w:szCs w:val="16"/>
          <w:color w:val="355889"/>
        </w:rPr>
      </w:pPr>
      <w:r>
        <w:rPr>
          <w:rFonts w:ascii="Arial" w:cs="Arial" w:eastAsia="Arial" w:hAnsi="Arial"/>
          <w:sz w:val="16"/>
          <w:szCs w:val="16"/>
          <w:color w:val="auto"/>
        </w:rPr>
        <w:t>Senior Vice President, Managing Director and director of Interstate Johnson Lane, Incorporated, an investment banking firm, where he was in charge of the Corporate Finance and Public Finance Divisions from 1994 to 1995</w:t>
      </w:r>
    </w:p>
    <w:p>
      <w:pPr>
        <w:spacing w:after="0" w:line="7" w:lineRule="exact"/>
        <w:rPr>
          <w:rFonts w:ascii="Arial" w:cs="Arial" w:eastAsia="Arial" w:hAnsi="Arial"/>
          <w:sz w:val="16"/>
          <w:szCs w:val="16"/>
          <w:color w:val="355889"/>
        </w:rPr>
      </w:pPr>
    </w:p>
    <w:p>
      <w:pPr>
        <w:ind w:left="540" w:right="20" w:hanging="267"/>
        <w:spacing w:after="0" w:line="244" w:lineRule="auto"/>
        <w:tabs>
          <w:tab w:leader="none" w:pos="517" w:val="left"/>
        </w:tabs>
        <w:numPr>
          <w:ilvl w:val="0"/>
          <w:numId w:val="29"/>
        </w:numPr>
        <w:rPr>
          <w:rFonts w:ascii="Arial" w:cs="Arial" w:eastAsia="Arial" w:hAnsi="Arial"/>
          <w:sz w:val="17"/>
          <w:szCs w:val="17"/>
          <w:color w:val="355889"/>
        </w:rPr>
      </w:pPr>
      <w:r>
        <w:rPr>
          <w:rFonts w:ascii="Arial" w:cs="Arial" w:eastAsia="Arial" w:hAnsi="Arial"/>
          <w:sz w:val="18"/>
          <w:szCs w:val="18"/>
          <w:color w:val="auto"/>
        </w:rPr>
        <w:t>President of Rothschild Financial Services, Incorporated (a subsidiary of Rothschild, Inc. of North America), an investment banking company headquartered in New York City that is involved in proprietary trading, securities lending and other investment activities from 1987 to 1994</w:t>
      </w:r>
    </w:p>
    <w:p>
      <w:pPr>
        <w:spacing w:after="0" w:line="70" w:lineRule="exact"/>
        <w:rPr>
          <w:rFonts w:ascii="Arial" w:cs="Arial" w:eastAsia="Arial" w:hAnsi="Arial"/>
          <w:sz w:val="17"/>
          <w:szCs w:val="17"/>
          <w:color w:val="355889"/>
        </w:rPr>
      </w:pPr>
    </w:p>
    <w:p>
      <w:pPr>
        <w:ind w:left="520" w:hanging="247"/>
        <w:spacing w:after="0"/>
        <w:tabs>
          <w:tab w:leader="none" w:pos="520" w:val="left"/>
        </w:tabs>
        <w:numPr>
          <w:ilvl w:val="0"/>
          <w:numId w:val="29"/>
        </w:numPr>
        <w:rPr>
          <w:rFonts w:ascii="Arial" w:cs="Arial" w:eastAsia="Arial" w:hAnsi="Arial"/>
          <w:sz w:val="17"/>
          <w:szCs w:val="17"/>
          <w:color w:val="355889"/>
        </w:rPr>
      </w:pPr>
      <w:r>
        <w:rPr>
          <w:rFonts w:ascii="Arial" w:cs="Arial" w:eastAsia="Arial" w:hAnsi="Arial"/>
          <w:sz w:val="18"/>
          <w:szCs w:val="18"/>
          <w:color w:val="auto"/>
        </w:rPr>
        <w:t>Consultant to the American Stock Exchange from 1985 to 1986</w:t>
      </w:r>
    </w:p>
    <w:p>
      <w:pPr>
        <w:spacing w:after="0" w:line="76" w:lineRule="exact"/>
        <w:rPr>
          <w:rFonts w:ascii="Arial" w:cs="Arial" w:eastAsia="Arial" w:hAnsi="Arial"/>
          <w:sz w:val="17"/>
          <w:szCs w:val="17"/>
          <w:color w:val="355889"/>
        </w:rPr>
      </w:pPr>
    </w:p>
    <w:p>
      <w:pPr>
        <w:ind w:left="520" w:hanging="247"/>
        <w:spacing w:after="0"/>
        <w:tabs>
          <w:tab w:leader="none" w:pos="520" w:val="left"/>
        </w:tabs>
        <w:numPr>
          <w:ilvl w:val="0"/>
          <w:numId w:val="29"/>
        </w:numPr>
        <w:rPr>
          <w:rFonts w:ascii="Arial" w:cs="Arial" w:eastAsia="Arial" w:hAnsi="Arial"/>
          <w:sz w:val="17"/>
          <w:szCs w:val="17"/>
          <w:color w:val="355889"/>
        </w:rPr>
      </w:pPr>
      <w:r>
        <w:rPr>
          <w:rFonts w:ascii="Arial" w:cs="Arial" w:eastAsia="Arial" w:hAnsi="Arial"/>
          <w:sz w:val="18"/>
          <w:szCs w:val="18"/>
          <w:color w:val="auto"/>
        </w:rPr>
        <w:t>Senior vice president with Smith Barney (or its corporate predecessor) from 1976 to 1984</w:t>
      </w:r>
    </w:p>
    <w:p>
      <w:pPr>
        <w:spacing w:after="0" w:line="76" w:lineRule="exact"/>
        <w:rPr>
          <w:rFonts w:ascii="Arial" w:cs="Arial" w:eastAsia="Arial" w:hAnsi="Arial"/>
          <w:sz w:val="17"/>
          <w:szCs w:val="17"/>
          <w:color w:val="355889"/>
        </w:rPr>
      </w:pPr>
    </w:p>
    <w:p>
      <w:pPr>
        <w:ind w:left="520" w:hanging="247"/>
        <w:spacing w:after="0"/>
        <w:tabs>
          <w:tab w:leader="none" w:pos="520" w:val="left"/>
        </w:tabs>
        <w:numPr>
          <w:ilvl w:val="0"/>
          <w:numId w:val="29"/>
        </w:numPr>
        <w:rPr>
          <w:rFonts w:ascii="Arial" w:cs="Arial" w:eastAsia="Arial" w:hAnsi="Arial"/>
          <w:sz w:val="17"/>
          <w:szCs w:val="17"/>
          <w:color w:val="355889"/>
        </w:rPr>
      </w:pPr>
      <w:r>
        <w:rPr>
          <w:rFonts w:ascii="Arial" w:cs="Arial" w:eastAsia="Arial" w:hAnsi="Arial"/>
          <w:sz w:val="18"/>
          <w:szCs w:val="18"/>
          <w:color w:val="auto"/>
        </w:rPr>
        <w:t>Member of the Board of Directors of Chase Investors, a privately-held registered investment advisor, since 2004</w:t>
      </w:r>
    </w:p>
    <w:p>
      <w:pPr>
        <w:spacing w:after="0" w:line="90" w:lineRule="exact"/>
        <w:rPr>
          <w:rFonts w:ascii="Arial" w:cs="Arial" w:eastAsia="Arial" w:hAnsi="Arial"/>
          <w:sz w:val="17"/>
          <w:szCs w:val="17"/>
          <w:color w:val="355889"/>
        </w:rPr>
      </w:pPr>
    </w:p>
    <w:p>
      <w:pPr>
        <w:ind w:left="540" w:right="600" w:hanging="267"/>
        <w:spacing w:after="0" w:line="312" w:lineRule="auto"/>
        <w:tabs>
          <w:tab w:leader="none" w:pos="517" w:val="left"/>
        </w:tabs>
        <w:numPr>
          <w:ilvl w:val="0"/>
          <w:numId w:val="29"/>
        </w:numPr>
        <w:rPr>
          <w:rFonts w:ascii="Arial" w:cs="Arial" w:eastAsia="Arial" w:hAnsi="Arial"/>
          <w:sz w:val="16"/>
          <w:szCs w:val="16"/>
          <w:color w:val="355889"/>
        </w:rPr>
      </w:pPr>
      <w:r>
        <w:rPr>
          <w:rFonts w:ascii="Arial" w:cs="Arial" w:eastAsia="Arial" w:hAnsi="Arial"/>
          <w:sz w:val="16"/>
          <w:szCs w:val="16"/>
          <w:color w:val="auto"/>
        </w:rPr>
        <w:t>Former member of the Board of Directors of Capstar Hotel Company, a publicly-traded hotel company, Virginia National Bank, a publicly-traded commercial bank, and SNL Securities, a private securities data company</w:t>
      </w:r>
    </w:p>
    <w:p>
      <w:pPr>
        <w:spacing w:after="0" w:line="7" w:lineRule="exact"/>
        <w:rPr>
          <w:rFonts w:ascii="Arial" w:cs="Arial" w:eastAsia="Arial" w:hAnsi="Arial"/>
          <w:sz w:val="16"/>
          <w:szCs w:val="16"/>
          <w:color w:val="355889"/>
        </w:rPr>
      </w:pPr>
    </w:p>
    <w:p>
      <w:pPr>
        <w:ind w:left="520" w:hanging="247"/>
        <w:spacing w:after="0"/>
        <w:tabs>
          <w:tab w:leader="none" w:pos="520" w:val="left"/>
        </w:tabs>
        <w:numPr>
          <w:ilvl w:val="0"/>
          <w:numId w:val="29"/>
        </w:numPr>
        <w:rPr>
          <w:rFonts w:ascii="Arial" w:cs="Arial" w:eastAsia="Arial" w:hAnsi="Arial"/>
          <w:sz w:val="17"/>
          <w:szCs w:val="17"/>
          <w:color w:val="355889"/>
        </w:rPr>
      </w:pPr>
      <w:r>
        <w:rPr>
          <w:rFonts w:ascii="Arial" w:cs="Arial" w:eastAsia="Arial" w:hAnsi="Arial"/>
          <w:sz w:val="18"/>
          <w:szCs w:val="18"/>
          <w:color w:val="auto"/>
        </w:rPr>
        <w:t>B.A. degree in Economics from Rice University and Ph.D. degree in Economics from Northwestern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6137910" cy="420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37910" cy="4203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2016</w:t>
      </w:r>
      <w:r>
        <w:rPr>
          <w:rFonts w:ascii="Arial" w:cs="Arial" w:eastAsia="Arial" w:hAnsi="Arial"/>
          <w:sz w:val="18"/>
          <w:szCs w:val="18"/>
          <w:color w:val="auto"/>
        </w:rPr>
        <w:t xml:space="preserve"> Age: </w:t>
      </w:r>
      <w:r>
        <w:rPr>
          <w:rFonts w:ascii="Arial" w:cs="Arial" w:eastAsia="Arial" w:hAnsi="Arial"/>
          <w:sz w:val="18"/>
          <w:szCs w:val="18"/>
          <w:b w:val="1"/>
          <w:bCs w:val="1"/>
          <w:color w:val="auto"/>
        </w:rPr>
        <w:t>44 Independent Director</w:t>
      </w:r>
    </w:p>
    <w:p>
      <w:pPr>
        <w:spacing w:after="0" w:line="300" w:lineRule="exact"/>
        <w:rPr>
          <w:sz w:val="20"/>
          <w:szCs w:val="20"/>
          <w:color w:val="auto"/>
        </w:rPr>
      </w:pPr>
    </w:p>
    <w:p>
      <w:pPr>
        <w:sectPr>
          <w:pgSz w:w="11900" w:h="16838" w:orient="portrait"/>
          <w:cols w:equalWidth="0" w:num="2">
            <w:col w:w="1380" w:space="200"/>
            <w:col w:w="96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color w:val="auto"/>
        </w:rPr>
        <w:t>SL Green Board Service:</w:t>
      </w:r>
    </w:p>
    <w:p>
      <w:pPr>
        <w:spacing w:after="0" w:line="188" w:lineRule="exact"/>
        <w:rPr>
          <w:sz w:val="20"/>
          <w:szCs w:val="20"/>
          <w:color w:val="auto"/>
        </w:rPr>
      </w:pPr>
    </w:p>
    <w:p>
      <w:pPr>
        <w:ind w:left="280" w:right="260" w:hanging="263"/>
        <w:spacing w:after="0" w:line="312" w:lineRule="auto"/>
        <w:tabs>
          <w:tab w:leader="none" w:pos="257" w:val="left"/>
        </w:tabs>
        <w:numPr>
          <w:ilvl w:val="0"/>
          <w:numId w:val="30"/>
        </w:numPr>
        <w:rPr>
          <w:rFonts w:ascii="Arial" w:cs="Arial" w:eastAsia="Arial" w:hAnsi="Arial"/>
          <w:sz w:val="16"/>
          <w:szCs w:val="16"/>
          <w:color w:val="355889"/>
        </w:rPr>
      </w:pPr>
      <w:r>
        <w:rPr>
          <w:rFonts w:ascii="Arial" w:cs="Arial" w:eastAsia="Arial" w:hAnsi="Arial"/>
          <w:sz w:val="16"/>
          <w:szCs w:val="16"/>
          <w:color w:val="auto"/>
        </w:rPr>
        <w:t>Audit Committee</w:t>
      </w:r>
    </w:p>
    <w:p>
      <w:pPr>
        <w:spacing w:after="0" w:line="7" w:lineRule="exact"/>
        <w:rPr>
          <w:rFonts w:ascii="Arial" w:cs="Arial" w:eastAsia="Arial" w:hAnsi="Arial"/>
          <w:sz w:val="16"/>
          <w:szCs w:val="16"/>
          <w:color w:val="355889"/>
        </w:rPr>
      </w:pPr>
    </w:p>
    <w:p>
      <w:pPr>
        <w:ind w:left="280" w:hanging="263"/>
        <w:spacing w:after="0" w:line="290" w:lineRule="auto"/>
        <w:tabs>
          <w:tab w:leader="none" w:pos="257" w:val="left"/>
        </w:tabs>
        <w:numPr>
          <w:ilvl w:val="0"/>
          <w:numId w:val="30"/>
        </w:numPr>
        <w:rPr>
          <w:rFonts w:ascii="Arial" w:cs="Arial" w:eastAsia="Arial" w:hAnsi="Arial"/>
          <w:sz w:val="16"/>
          <w:szCs w:val="16"/>
          <w:color w:val="355889"/>
        </w:rPr>
      </w:pPr>
      <w:r>
        <w:rPr>
          <w:rFonts w:ascii="Arial" w:cs="Arial" w:eastAsia="Arial" w:hAnsi="Arial"/>
          <w:sz w:val="16"/>
          <w:szCs w:val="16"/>
          <w:color w:val="auto"/>
        </w:rPr>
        <w:t>Compensation Committee, Chair</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8"/>
          <w:szCs w:val="18"/>
          <w:color w:val="auto"/>
        </w:rPr>
        <w:t>Ms. Dillard’s sophisticated understanding of tax, real estate, investment programs, finance, compensation and corporate governance, all viewed through the lens of over fifteen years of global private equity experience and together with her considerable operational expertise, provides the Board and the Company with deep and practical insight on a broad range of matters.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34" w:lineRule="exact"/>
        <w:rPr>
          <w:sz w:val="20"/>
          <w:szCs w:val="20"/>
          <w:color w:val="auto"/>
        </w:rPr>
      </w:pPr>
    </w:p>
    <w:p>
      <w:pPr>
        <w:ind w:left="540" w:right="160" w:hanging="267"/>
        <w:spacing w:after="0" w:line="254" w:lineRule="auto"/>
        <w:tabs>
          <w:tab w:leader="none" w:pos="517" w:val="left"/>
        </w:tabs>
        <w:numPr>
          <w:ilvl w:val="0"/>
          <w:numId w:val="31"/>
        </w:numPr>
        <w:rPr>
          <w:rFonts w:ascii="Arial" w:cs="Arial" w:eastAsia="Arial" w:hAnsi="Arial"/>
          <w:sz w:val="17"/>
          <w:szCs w:val="17"/>
          <w:color w:val="355889"/>
        </w:rPr>
      </w:pPr>
      <w:r>
        <w:rPr>
          <w:rFonts w:ascii="Arial" w:cs="Arial" w:eastAsia="Arial" w:hAnsi="Arial"/>
          <w:sz w:val="18"/>
          <w:szCs w:val="18"/>
          <w:color w:val="auto"/>
        </w:rPr>
        <w:t>Executive Vice President of Global Information Services of Nasdaq, Inc., a global technology firm serving the capital markets and other industries, since June 2019</w:t>
      </w:r>
    </w:p>
    <w:p>
      <w:pPr>
        <w:spacing w:after="0" w:line="47" w:lineRule="exact"/>
        <w:rPr>
          <w:rFonts w:ascii="Arial" w:cs="Arial" w:eastAsia="Arial" w:hAnsi="Arial"/>
          <w:sz w:val="17"/>
          <w:szCs w:val="17"/>
          <w:color w:val="355889"/>
        </w:rPr>
      </w:pPr>
    </w:p>
    <w:p>
      <w:pPr>
        <w:ind w:left="540" w:hanging="267"/>
        <w:spacing w:after="0" w:line="244" w:lineRule="auto"/>
        <w:tabs>
          <w:tab w:leader="none" w:pos="517" w:val="left"/>
        </w:tabs>
        <w:numPr>
          <w:ilvl w:val="0"/>
          <w:numId w:val="31"/>
        </w:numPr>
        <w:rPr>
          <w:rFonts w:ascii="Arial" w:cs="Arial" w:eastAsia="Arial" w:hAnsi="Arial"/>
          <w:sz w:val="17"/>
          <w:szCs w:val="17"/>
          <w:color w:val="355889"/>
        </w:rPr>
      </w:pPr>
      <w:r>
        <w:rPr>
          <w:rFonts w:ascii="Arial" w:cs="Arial" w:eastAsia="Arial" w:hAnsi="Arial"/>
          <w:sz w:val="18"/>
          <w:szCs w:val="18"/>
          <w:color w:val="auto"/>
        </w:rPr>
        <w:t>Managing Director for the Carlyle Group, a global alternative asset manager, from 2011 to May 2019, head of Carlyle’s Investment Solutions Group since December 2015 and member of Carlyle’s Management Committee; joined Carlyle in 2002</w:t>
      </w:r>
    </w:p>
    <w:p>
      <w:pPr>
        <w:spacing w:after="0" w:line="70" w:lineRule="exact"/>
        <w:rPr>
          <w:rFonts w:ascii="Arial" w:cs="Arial" w:eastAsia="Arial" w:hAnsi="Arial"/>
          <w:sz w:val="17"/>
          <w:szCs w:val="17"/>
          <w:color w:val="355889"/>
        </w:rPr>
      </w:pPr>
    </w:p>
    <w:p>
      <w:pPr>
        <w:ind w:left="540" w:right="220" w:hanging="267"/>
        <w:spacing w:after="0" w:line="290" w:lineRule="auto"/>
        <w:tabs>
          <w:tab w:leader="none" w:pos="517" w:val="left"/>
        </w:tabs>
        <w:numPr>
          <w:ilvl w:val="0"/>
          <w:numId w:val="31"/>
        </w:numPr>
        <w:rPr>
          <w:rFonts w:ascii="Arial" w:cs="Arial" w:eastAsia="Arial" w:hAnsi="Arial"/>
          <w:sz w:val="16"/>
          <w:szCs w:val="16"/>
          <w:color w:val="355889"/>
        </w:rPr>
      </w:pPr>
      <w:r>
        <w:rPr>
          <w:rFonts w:ascii="Arial" w:cs="Arial" w:eastAsia="Arial" w:hAnsi="Arial"/>
          <w:sz w:val="16"/>
          <w:szCs w:val="16"/>
          <w:color w:val="auto"/>
        </w:rPr>
        <w:t>Chief Operating Officer and Chief Financial Officer of Carlyle’s Investment Solutions Group from 2013 to December 2015; former head of Global Tax Department and head of Global Equity Programs; and member of Carlyle’s Transaction Team where she played a significant role in transactions, including Carlyle’s initial public offering</w:t>
      </w:r>
    </w:p>
    <w:p>
      <w:pPr>
        <w:spacing w:after="0" w:line="21" w:lineRule="exact"/>
        <w:rPr>
          <w:rFonts w:ascii="Arial" w:cs="Arial" w:eastAsia="Arial" w:hAnsi="Arial"/>
          <w:sz w:val="16"/>
          <w:szCs w:val="16"/>
          <w:color w:val="355889"/>
        </w:rPr>
      </w:pPr>
    </w:p>
    <w:p>
      <w:pPr>
        <w:ind w:left="520" w:hanging="247"/>
        <w:spacing w:after="0"/>
        <w:tabs>
          <w:tab w:leader="none" w:pos="520" w:val="left"/>
        </w:tabs>
        <w:numPr>
          <w:ilvl w:val="0"/>
          <w:numId w:val="31"/>
        </w:numPr>
        <w:rPr>
          <w:rFonts w:ascii="Arial" w:cs="Arial" w:eastAsia="Arial" w:hAnsi="Arial"/>
          <w:sz w:val="17"/>
          <w:szCs w:val="17"/>
          <w:color w:val="355889"/>
        </w:rPr>
      </w:pPr>
      <w:r>
        <w:rPr>
          <w:rFonts w:ascii="Arial" w:cs="Arial" w:eastAsia="Arial" w:hAnsi="Arial"/>
          <w:sz w:val="18"/>
          <w:szCs w:val="18"/>
          <w:color w:val="auto"/>
        </w:rPr>
        <w:t>Served in the Real Estate and Financial Services Group of the Tax Practice of Arthur Andersen, LLP prior to 2002</w:t>
      </w:r>
    </w:p>
    <w:p>
      <w:pPr>
        <w:spacing w:after="0" w:line="76" w:lineRule="exact"/>
        <w:rPr>
          <w:rFonts w:ascii="Arial" w:cs="Arial" w:eastAsia="Arial" w:hAnsi="Arial"/>
          <w:sz w:val="17"/>
          <w:szCs w:val="17"/>
          <w:color w:val="355889"/>
        </w:rPr>
      </w:pPr>
    </w:p>
    <w:p>
      <w:pPr>
        <w:ind w:left="540" w:right="500" w:hanging="267"/>
        <w:spacing w:after="0" w:line="254" w:lineRule="auto"/>
        <w:tabs>
          <w:tab w:leader="none" w:pos="517" w:val="left"/>
        </w:tabs>
        <w:numPr>
          <w:ilvl w:val="0"/>
          <w:numId w:val="31"/>
        </w:numPr>
        <w:rPr>
          <w:rFonts w:ascii="Arial" w:cs="Arial" w:eastAsia="Arial" w:hAnsi="Arial"/>
          <w:sz w:val="17"/>
          <w:szCs w:val="17"/>
          <w:color w:val="355889"/>
        </w:rPr>
      </w:pPr>
      <w:r>
        <w:rPr>
          <w:rFonts w:ascii="Arial" w:cs="Arial" w:eastAsia="Arial" w:hAnsi="Arial"/>
          <w:sz w:val="18"/>
          <w:szCs w:val="18"/>
          <w:color w:val="auto"/>
        </w:rPr>
        <w:t>Current Executive Sponsor for the Women’s Initiative at Nasdaq, member of the Private Equity Women Investor Network (PEWIN) and other women in finance industry initiatives</w:t>
      </w:r>
    </w:p>
    <w:p>
      <w:pPr>
        <w:spacing w:after="0" w:line="61" w:lineRule="exact"/>
        <w:rPr>
          <w:rFonts w:ascii="Arial" w:cs="Arial" w:eastAsia="Arial" w:hAnsi="Arial"/>
          <w:sz w:val="17"/>
          <w:szCs w:val="17"/>
          <w:color w:val="355889"/>
        </w:rPr>
      </w:pPr>
    </w:p>
    <w:p>
      <w:pPr>
        <w:ind w:left="520" w:hanging="247"/>
        <w:spacing w:after="0"/>
        <w:tabs>
          <w:tab w:leader="none" w:pos="520" w:val="left"/>
        </w:tabs>
        <w:numPr>
          <w:ilvl w:val="0"/>
          <w:numId w:val="31"/>
        </w:numPr>
        <w:rPr>
          <w:rFonts w:ascii="Arial" w:cs="Arial" w:eastAsia="Arial" w:hAnsi="Arial"/>
          <w:sz w:val="17"/>
          <w:szCs w:val="17"/>
          <w:color w:val="355889"/>
        </w:rPr>
      </w:pPr>
      <w:r>
        <w:rPr>
          <w:rFonts w:ascii="Arial" w:cs="Arial" w:eastAsia="Arial" w:hAnsi="Arial"/>
          <w:sz w:val="18"/>
          <w:szCs w:val="18"/>
          <w:color w:val="auto"/>
        </w:rPr>
        <w:t>B.S. in business administration from the University of Richmond</w:t>
      </w:r>
    </w:p>
    <w:p>
      <w:pPr>
        <w:spacing w:after="0" w:line="200" w:lineRule="exact"/>
        <w:rPr>
          <w:sz w:val="20"/>
          <w:szCs w:val="20"/>
          <w:color w:val="auto"/>
        </w:rPr>
      </w:pPr>
    </w:p>
    <w:p>
      <w:pPr>
        <w:sectPr>
          <w:pgSz w:w="11900" w:h="16838" w:orient="portrait"/>
          <w:cols w:equalWidth="0" w:num="2">
            <w:col w:w="1380" w:space="200"/>
            <w:col w:w="9660"/>
          </w:cols>
          <w:pgMar w:left="320" w:top="121" w:right="339" w:bottom="1440" w:gutter="0" w:footer="0" w:header="0"/>
          <w:type w:val="continuous"/>
        </w:sectPr>
      </w:pPr>
    </w:p>
    <w:p>
      <w:pPr>
        <w:spacing w:after="0" w:line="93" w:lineRule="exact"/>
        <w:rPr>
          <w:sz w:val="20"/>
          <w:szCs w:val="20"/>
          <w:color w:val="auto"/>
        </w:rPr>
      </w:pPr>
    </w:p>
    <w:p>
      <w:pPr>
        <w:ind w:left="300" w:hanging="292"/>
        <w:spacing w:after="0"/>
        <w:tabs>
          <w:tab w:leader="none" w:pos="300" w:val="left"/>
        </w:tabs>
        <w:numPr>
          <w:ilvl w:val="0"/>
          <w:numId w:val="32"/>
        </w:numPr>
        <w:rPr>
          <w:rFonts w:ascii="Arial" w:cs="Arial" w:eastAsia="Arial" w:hAnsi="Arial"/>
          <w:sz w:val="16"/>
          <w:szCs w:val="16"/>
          <w:color w:val="3558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OUR BOARD OF DIRECTORS AND CORPORATE GOVERNANCE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280" w:type="dxa"/>
            <w:vAlign w:val="bottom"/>
            <w:tcBorders>
              <w:top w:val="single" w:sz="8" w:color="355889"/>
            </w:tcBorders>
          </w:tcPr>
          <w:p>
            <w:pPr>
              <w:jc w:val="center"/>
              <w:spacing w:after="0"/>
              <w:rPr>
                <w:sz w:val="20"/>
                <w:szCs w:val="20"/>
                <w:color w:val="auto"/>
              </w:rPr>
            </w:pPr>
            <w:r>
              <w:rPr>
                <w:rFonts w:ascii="Arial" w:cs="Arial" w:eastAsia="Arial" w:hAnsi="Arial"/>
                <w:sz w:val="22"/>
                <w:szCs w:val="22"/>
                <w:b w:val="1"/>
                <w:bCs w:val="1"/>
                <w:color w:val="355889"/>
                <w:w w:val="97"/>
              </w:rPr>
              <w:t>Stephen L.</w:t>
            </w:r>
          </w:p>
        </w:tc>
        <w:tc>
          <w:tcPr>
            <w:tcW w:w="160" w:type="dxa"/>
            <w:vAlign w:val="bottom"/>
          </w:tcPr>
          <w:p>
            <w:pPr>
              <w:spacing w:after="0"/>
              <w:rPr>
                <w:sz w:val="24"/>
                <w:szCs w:val="24"/>
                <w:color w:val="auto"/>
              </w:rPr>
            </w:pPr>
          </w:p>
        </w:tc>
        <w:tc>
          <w:tcPr>
            <w:tcW w:w="9800" w:type="dxa"/>
            <w:vAlign w:val="bottom"/>
            <w:tcBorders>
              <w:top w:val="single" w:sz="8" w:color="355889"/>
            </w:tcBorders>
            <w:vMerge w:val="restart"/>
            <w:shd w:val="clear" w:color="auto" w:fill="EBEDF3"/>
          </w:tcPr>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1997</w:t>
            </w:r>
            <w:r>
              <w:rPr>
                <w:rFonts w:ascii="Arial" w:cs="Arial" w:eastAsia="Arial" w:hAnsi="Arial"/>
                <w:sz w:val="18"/>
                <w:szCs w:val="18"/>
                <w:color w:val="auto"/>
              </w:rPr>
              <w:t xml:space="preserve"> Age: </w:t>
            </w:r>
            <w:r>
              <w:rPr>
                <w:rFonts w:ascii="Arial" w:cs="Arial" w:eastAsia="Arial" w:hAnsi="Arial"/>
                <w:sz w:val="18"/>
                <w:szCs w:val="18"/>
                <w:b w:val="1"/>
                <w:bCs w:val="1"/>
                <w:color w:val="auto"/>
              </w:rPr>
              <w:t>82 Director</w:t>
            </w:r>
          </w:p>
        </w:tc>
        <w:tc>
          <w:tcPr>
            <w:tcW w:w="0" w:type="dxa"/>
            <w:vAlign w:val="bottom"/>
          </w:tcPr>
          <w:p>
            <w:pPr>
              <w:spacing w:after="0"/>
              <w:rPr>
                <w:sz w:val="1"/>
                <w:szCs w:val="1"/>
                <w:color w:val="auto"/>
              </w:rPr>
            </w:pPr>
          </w:p>
        </w:tc>
      </w:tr>
      <w:tr>
        <w:trPr>
          <w:trHeight w:val="152"/>
        </w:trPr>
        <w:tc>
          <w:tcPr>
            <w:tcW w:w="1440" w:type="dxa"/>
            <w:vAlign w:val="bottom"/>
            <w:gridSpan w:val="2"/>
            <w:vMerge w:val="restart"/>
          </w:tcPr>
          <w:p>
            <w:pPr>
              <w:jc w:val="center"/>
              <w:ind w:right="140"/>
              <w:spacing w:after="0"/>
              <w:rPr>
                <w:sz w:val="20"/>
                <w:szCs w:val="20"/>
                <w:color w:val="auto"/>
              </w:rPr>
            </w:pPr>
            <w:r>
              <w:rPr>
                <w:rFonts w:ascii="Arial" w:cs="Arial" w:eastAsia="Arial" w:hAnsi="Arial"/>
                <w:sz w:val="22"/>
                <w:szCs w:val="22"/>
                <w:b w:val="1"/>
                <w:bCs w:val="1"/>
                <w:color w:val="355889"/>
                <w:w w:val="97"/>
              </w:rPr>
              <w:t>Green</w:t>
            </w:r>
          </w:p>
        </w:tc>
        <w:tc>
          <w:tcPr>
            <w:tcW w:w="9800" w:type="dxa"/>
            <w:vAlign w:val="bottom"/>
            <w:vMerge w:val="continue"/>
            <w:shd w:val="clear" w:color="auto" w:fill="EBEDF3"/>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440" w:type="dxa"/>
            <w:vAlign w:val="bottom"/>
            <w:gridSpan w:val="2"/>
            <w:vMerge w:val="continue"/>
          </w:tcPr>
          <w:p>
            <w:pPr>
              <w:spacing w:after="0"/>
              <w:rPr>
                <w:sz w:val="11"/>
                <w:szCs w:val="11"/>
                <w:color w:val="auto"/>
              </w:rPr>
            </w:pPr>
          </w:p>
        </w:tc>
        <w:tc>
          <w:tcPr>
            <w:tcW w:w="9800" w:type="dxa"/>
            <w:vAlign w:val="bottom"/>
            <w:shd w:val="clear" w:color="auto" w:fill="EBEDF3"/>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1280" w:type="dxa"/>
            <w:vAlign w:val="bottom"/>
            <w:tcBorders>
              <w:bottom w:val="single" w:sz="8" w:color="355889"/>
            </w:tcBorders>
          </w:tcPr>
          <w:p>
            <w:pPr>
              <w:spacing w:after="0"/>
              <w:rPr>
                <w:sz w:val="5"/>
                <w:szCs w:val="5"/>
                <w:color w:val="auto"/>
              </w:rPr>
            </w:pPr>
          </w:p>
        </w:tc>
        <w:tc>
          <w:tcPr>
            <w:tcW w:w="160" w:type="dxa"/>
            <w:vAlign w:val="bottom"/>
          </w:tcPr>
          <w:p>
            <w:pPr>
              <w:spacing w:after="0"/>
              <w:rPr>
                <w:sz w:val="5"/>
                <w:szCs w:val="5"/>
                <w:color w:val="auto"/>
              </w:rPr>
            </w:pPr>
          </w:p>
        </w:tc>
        <w:tc>
          <w:tcPr>
            <w:tcW w:w="9800" w:type="dxa"/>
            <w:vAlign w:val="bottom"/>
            <w:tcBorders>
              <w:bottom w:val="single" w:sz="8" w:color="EBEDF3"/>
            </w:tcBorders>
            <w:shd w:val="clear" w:color="auto" w:fill="EBEDF3"/>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805815" cy="1036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05815" cy="1036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327" w:lineRule="auto"/>
        <w:rPr>
          <w:sz w:val="20"/>
          <w:szCs w:val="20"/>
          <w:color w:val="auto"/>
        </w:rPr>
      </w:pPr>
      <w:r>
        <w:rPr>
          <w:rFonts w:ascii="Arial" w:cs="Arial" w:eastAsia="Arial" w:hAnsi="Arial"/>
          <w:sz w:val="16"/>
          <w:szCs w:val="16"/>
          <w:b w:val="1"/>
          <w:bCs w:val="1"/>
          <w:color w:val="auto"/>
        </w:rPr>
        <w:t>SL Green Board Service:</w:t>
      </w:r>
    </w:p>
    <w:p>
      <w:pPr>
        <w:spacing w:after="0" w:line="142" w:lineRule="exact"/>
        <w:rPr>
          <w:sz w:val="20"/>
          <w:szCs w:val="20"/>
          <w:color w:val="auto"/>
        </w:rPr>
      </w:pPr>
    </w:p>
    <w:p>
      <w:pPr>
        <w:ind w:left="280" w:right="120" w:hanging="263"/>
        <w:spacing w:after="0" w:line="316" w:lineRule="auto"/>
        <w:tabs>
          <w:tab w:leader="none" w:pos="257" w:val="left"/>
        </w:tabs>
        <w:numPr>
          <w:ilvl w:val="0"/>
          <w:numId w:val="33"/>
        </w:numPr>
        <w:rPr>
          <w:rFonts w:ascii="Arial" w:cs="Arial" w:eastAsia="Arial" w:hAnsi="Arial"/>
          <w:sz w:val="16"/>
          <w:szCs w:val="16"/>
          <w:color w:val="355889"/>
        </w:rPr>
      </w:pPr>
      <w:r>
        <w:rPr>
          <w:rFonts w:ascii="Arial" w:cs="Arial" w:eastAsia="Arial" w:hAnsi="Arial"/>
          <w:sz w:val="16"/>
          <w:szCs w:val="16"/>
          <w:color w:val="auto"/>
        </w:rPr>
        <w:t>Executive Committee</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In addition to his industry-wide reputation, Mr. Green’s extensive skills and experience in real estate, including founding our predecessor, provide him with invaluable knowledge of and expertise in our business and industry. This experience, particularly his experience having led our predecessor and the Company, contributes depth and context to the Board’s discussions of the Company’s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34" w:lineRule="exact"/>
        <w:rPr>
          <w:sz w:val="20"/>
          <w:szCs w:val="20"/>
          <w:color w:val="auto"/>
        </w:rPr>
      </w:pPr>
    </w:p>
    <w:p>
      <w:pPr>
        <w:ind w:left="520" w:hanging="242"/>
        <w:spacing w:after="0"/>
        <w:tabs>
          <w:tab w:leader="none" w:pos="520" w:val="left"/>
        </w:tabs>
        <w:numPr>
          <w:ilvl w:val="0"/>
          <w:numId w:val="34"/>
        </w:numPr>
        <w:rPr>
          <w:rFonts w:ascii="Arial" w:cs="Arial" w:eastAsia="Arial" w:hAnsi="Arial"/>
          <w:sz w:val="17"/>
          <w:szCs w:val="17"/>
          <w:color w:val="355889"/>
        </w:rPr>
      </w:pPr>
      <w:r>
        <w:rPr>
          <w:rFonts w:ascii="Arial" w:cs="Arial" w:eastAsia="Arial" w:hAnsi="Arial"/>
          <w:sz w:val="18"/>
          <w:szCs w:val="18"/>
          <w:color w:val="auto"/>
        </w:rPr>
        <w:t>Chairman Emeritus at the Company since January 2019</w:t>
      </w:r>
    </w:p>
    <w:p>
      <w:pPr>
        <w:spacing w:after="0" w:line="76" w:lineRule="exact"/>
        <w:rPr>
          <w:rFonts w:ascii="Arial" w:cs="Arial" w:eastAsia="Arial" w:hAnsi="Arial"/>
          <w:sz w:val="17"/>
          <w:szCs w:val="17"/>
          <w:color w:val="355889"/>
        </w:rPr>
      </w:pPr>
    </w:p>
    <w:p>
      <w:pPr>
        <w:ind w:left="520" w:hanging="242"/>
        <w:spacing w:after="0"/>
        <w:tabs>
          <w:tab w:leader="none" w:pos="520" w:val="left"/>
        </w:tabs>
        <w:numPr>
          <w:ilvl w:val="0"/>
          <w:numId w:val="34"/>
        </w:numPr>
        <w:rPr>
          <w:rFonts w:ascii="Arial" w:cs="Arial" w:eastAsia="Arial" w:hAnsi="Arial"/>
          <w:sz w:val="17"/>
          <w:szCs w:val="17"/>
          <w:color w:val="355889"/>
        </w:rPr>
      </w:pPr>
      <w:r>
        <w:rPr>
          <w:rFonts w:ascii="Arial" w:cs="Arial" w:eastAsia="Arial" w:hAnsi="Arial"/>
          <w:sz w:val="18"/>
          <w:szCs w:val="18"/>
          <w:color w:val="auto"/>
        </w:rPr>
        <w:t>Chairman of the Board of the Company from 1997 through January 2019</w:t>
      </w:r>
    </w:p>
    <w:p>
      <w:pPr>
        <w:spacing w:after="0" w:line="90" w:lineRule="exact"/>
        <w:rPr>
          <w:rFonts w:ascii="Arial" w:cs="Arial" w:eastAsia="Arial" w:hAnsi="Arial"/>
          <w:sz w:val="17"/>
          <w:szCs w:val="17"/>
          <w:color w:val="355889"/>
        </w:rPr>
      </w:pPr>
    </w:p>
    <w:p>
      <w:pPr>
        <w:ind w:left="540" w:right="240" w:hanging="262"/>
        <w:spacing w:after="0" w:line="254" w:lineRule="auto"/>
        <w:tabs>
          <w:tab w:leader="none" w:pos="517" w:val="left"/>
        </w:tabs>
        <w:numPr>
          <w:ilvl w:val="0"/>
          <w:numId w:val="34"/>
        </w:numPr>
        <w:rPr>
          <w:rFonts w:ascii="Arial" w:cs="Arial" w:eastAsia="Arial" w:hAnsi="Arial"/>
          <w:sz w:val="17"/>
          <w:szCs w:val="17"/>
          <w:color w:val="355889"/>
        </w:rPr>
      </w:pPr>
      <w:r>
        <w:rPr>
          <w:rFonts w:ascii="Arial" w:cs="Arial" w:eastAsia="Arial" w:hAnsi="Arial"/>
          <w:sz w:val="18"/>
          <w:szCs w:val="18"/>
          <w:color w:val="auto"/>
        </w:rPr>
        <w:t>Former executive officer working in conjunction with our Chief Executive Officer and overseeing the Company’s long-term strategic direction; formerly served as our Chief Executive Officer</w:t>
      </w:r>
    </w:p>
    <w:p>
      <w:pPr>
        <w:spacing w:after="0" w:line="47" w:lineRule="exact"/>
        <w:rPr>
          <w:rFonts w:ascii="Arial" w:cs="Arial" w:eastAsia="Arial" w:hAnsi="Arial"/>
          <w:sz w:val="17"/>
          <w:szCs w:val="17"/>
          <w:color w:val="355889"/>
        </w:rPr>
      </w:pPr>
    </w:p>
    <w:p>
      <w:pPr>
        <w:ind w:left="540" w:right="40" w:hanging="262"/>
        <w:spacing w:after="0" w:line="254" w:lineRule="auto"/>
        <w:tabs>
          <w:tab w:leader="none" w:pos="517" w:val="left"/>
        </w:tabs>
        <w:numPr>
          <w:ilvl w:val="0"/>
          <w:numId w:val="34"/>
        </w:numPr>
        <w:rPr>
          <w:rFonts w:ascii="Arial" w:cs="Arial" w:eastAsia="Arial" w:hAnsi="Arial"/>
          <w:sz w:val="17"/>
          <w:szCs w:val="17"/>
          <w:color w:val="355889"/>
        </w:rPr>
      </w:pPr>
      <w:r>
        <w:rPr>
          <w:rFonts w:ascii="Arial" w:cs="Arial" w:eastAsia="Arial" w:hAnsi="Arial"/>
          <w:sz w:val="18"/>
          <w:szCs w:val="18"/>
          <w:color w:val="auto"/>
        </w:rPr>
        <w:t>Founded our predecessor, S.L. Green Properties, Inc., in 1980; prior to our initial public offering in 1997, Mr. Green was involved in the acquisition of over 50 Manhattan office buildings containing in excess of 10.0 million square feet</w:t>
      </w:r>
    </w:p>
    <w:p>
      <w:pPr>
        <w:spacing w:after="0" w:line="47" w:lineRule="exact"/>
        <w:rPr>
          <w:rFonts w:ascii="Arial" w:cs="Arial" w:eastAsia="Arial" w:hAnsi="Arial"/>
          <w:sz w:val="17"/>
          <w:szCs w:val="17"/>
          <w:color w:val="355889"/>
        </w:rPr>
      </w:pPr>
    </w:p>
    <w:p>
      <w:pPr>
        <w:ind w:left="520" w:hanging="242"/>
        <w:spacing w:after="0"/>
        <w:tabs>
          <w:tab w:leader="none" w:pos="520" w:val="left"/>
        </w:tabs>
        <w:numPr>
          <w:ilvl w:val="0"/>
          <w:numId w:val="34"/>
        </w:numPr>
        <w:rPr>
          <w:rFonts w:ascii="Arial" w:cs="Arial" w:eastAsia="Arial" w:hAnsi="Arial"/>
          <w:sz w:val="17"/>
          <w:szCs w:val="17"/>
          <w:color w:val="355889"/>
        </w:rPr>
      </w:pPr>
      <w:r>
        <w:rPr>
          <w:rFonts w:ascii="Arial" w:cs="Arial" w:eastAsia="Arial" w:hAnsi="Arial"/>
          <w:sz w:val="18"/>
          <w:szCs w:val="18"/>
          <w:color w:val="auto"/>
        </w:rPr>
        <w:t>Chairman of the Board of Gramercy Capital Corp. from August 2004 to June 2009</w:t>
      </w:r>
    </w:p>
    <w:p>
      <w:pPr>
        <w:spacing w:after="0" w:line="90" w:lineRule="exact"/>
        <w:rPr>
          <w:rFonts w:ascii="Arial" w:cs="Arial" w:eastAsia="Arial" w:hAnsi="Arial"/>
          <w:sz w:val="17"/>
          <w:szCs w:val="17"/>
          <w:color w:val="355889"/>
        </w:rPr>
      </w:pPr>
    </w:p>
    <w:p>
      <w:pPr>
        <w:ind w:left="520" w:hanging="242"/>
        <w:spacing w:after="0"/>
        <w:tabs>
          <w:tab w:leader="none" w:pos="520" w:val="left"/>
        </w:tabs>
        <w:numPr>
          <w:ilvl w:val="0"/>
          <w:numId w:val="34"/>
        </w:numPr>
        <w:rPr>
          <w:rFonts w:ascii="Arial" w:cs="Arial" w:eastAsia="Arial" w:hAnsi="Arial"/>
          <w:sz w:val="17"/>
          <w:szCs w:val="17"/>
          <w:color w:val="355889"/>
        </w:rPr>
      </w:pPr>
      <w:r>
        <w:rPr>
          <w:rFonts w:ascii="Arial" w:cs="Arial" w:eastAsia="Arial" w:hAnsi="Arial"/>
          <w:sz w:val="18"/>
          <w:szCs w:val="18"/>
          <w:color w:val="auto"/>
        </w:rPr>
        <w:t>At-large member of the Executive Committee of the Board of Governors of the Real Estate Board of New York</w:t>
      </w:r>
    </w:p>
    <w:p>
      <w:pPr>
        <w:spacing w:after="0" w:line="76" w:lineRule="exact"/>
        <w:rPr>
          <w:rFonts w:ascii="Arial" w:cs="Arial" w:eastAsia="Arial" w:hAnsi="Arial"/>
          <w:sz w:val="17"/>
          <w:szCs w:val="17"/>
          <w:color w:val="355889"/>
        </w:rPr>
      </w:pPr>
    </w:p>
    <w:p>
      <w:pPr>
        <w:ind w:left="520" w:hanging="242"/>
        <w:spacing w:after="0"/>
        <w:tabs>
          <w:tab w:leader="none" w:pos="520" w:val="left"/>
        </w:tabs>
        <w:numPr>
          <w:ilvl w:val="0"/>
          <w:numId w:val="34"/>
        </w:numPr>
        <w:rPr>
          <w:rFonts w:ascii="Arial" w:cs="Arial" w:eastAsia="Arial" w:hAnsi="Arial"/>
          <w:sz w:val="17"/>
          <w:szCs w:val="17"/>
          <w:color w:val="355889"/>
        </w:rPr>
      </w:pPr>
      <w:r>
        <w:rPr>
          <w:rFonts w:ascii="Arial" w:cs="Arial" w:eastAsia="Arial" w:hAnsi="Arial"/>
          <w:sz w:val="18"/>
          <w:szCs w:val="18"/>
          <w:color w:val="auto"/>
        </w:rPr>
        <w:t>Member of the Board of Directors of Streetsquash, Inc., a Section 501(c)(3) tax-exempt organization</w:t>
      </w:r>
    </w:p>
    <w:p>
      <w:pPr>
        <w:spacing w:after="0" w:line="76" w:lineRule="exact"/>
        <w:rPr>
          <w:rFonts w:ascii="Arial" w:cs="Arial" w:eastAsia="Arial" w:hAnsi="Arial"/>
          <w:sz w:val="17"/>
          <w:szCs w:val="17"/>
          <w:color w:val="355889"/>
        </w:rPr>
      </w:pPr>
    </w:p>
    <w:p>
      <w:pPr>
        <w:ind w:left="540" w:right="780" w:hanging="262"/>
        <w:spacing w:after="0" w:line="254" w:lineRule="auto"/>
        <w:tabs>
          <w:tab w:leader="none" w:pos="517" w:val="left"/>
        </w:tabs>
        <w:numPr>
          <w:ilvl w:val="0"/>
          <w:numId w:val="34"/>
        </w:numPr>
        <w:rPr>
          <w:rFonts w:ascii="Arial" w:cs="Arial" w:eastAsia="Arial" w:hAnsi="Arial"/>
          <w:sz w:val="17"/>
          <w:szCs w:val="17"/>
          <w:color w:val="355889"/>
        </w:rPr>
      </w:pPr>
      <w:r>
        <w:rPr>
          <w:rFonts w:ascii="Arial" w:cs="Arial" w:eastAsia="Arial" w:hAnsi="Arial"/>
          <w:sz w:val="18"/>
          <w:szCs w:val="18"/>
          <w:color w:val="auto"/>
        </w:rPr>
        <w:t>Previously member of the Board of Directors of Stemedica Cell Technologies, Inc., August 2007 to April 2009; Chairman of the Real Estate Board of New York’s Tax Committee</w:t>
      </w:r>
    </w:p>
    <w:p>
      <w:pPr>
        <w:spacing w:after="0" w:line="61" w:lineRule="exact"/>
        <w:rPr>
          <w:rFonts w:ascii="Arial" w:cs="Arial" w:eastAsia="Arial" w:hAnsi="Arial"/>
          <w:sz w:val="17"/>
          <w:szCs w:val="17"/>
          <w:color w:val="355889"/>
        </w:rPr>
      </w:pPr>
    </w:p>
    <w:p>
      <w:pPr>
        <w:ind w:left="520" w:hanging="242"/>
        <w:spacing w:after="0"/>
        <w:tabs>
          <w:tab w:leader="none" w:pos="520" w:val="left"/>
        </w:tabs>
        <w:numPr>
          <w:ilvl w:val="0"/>
          <w:numId w:val="34"/>
        </w:numPr>
        <w:rPr>
          <w:rFonts w:ascii="Arial" w:cs="Arial" w:eastAsia="Arial" w:hAnsi="Arial"/>
          <w:sz w:val="17"/>
          <w:szCs w:val="17"/>
          <w:color w:val="355889"/>
        </w:rPr>
      </w:pPr>
      <w:r>
        <w:rPr>
          <w:rFonts w:ascii="Arial" w:cs="Arial" w:eastAsia="Arial" w:hAnsi="Arial"/>
          <w:sz w:val="18"/>
          <w:szCs w:val="18"/>
          <w:color w:val="auto"/>
        </w:rPr>
        <w:t>B.A. degree from Hartwick College and J.D. degree from Boston College Law School</w:t>
      </w:r>
    </w:p>
    <w:p>
      <w:pPr>
        <w:spacing w:after="0" w:line="200" w:lineRule="exact"/>
        <w:rPr>
          <w:sz w:val="20"/>
          <w:szCs w:val="20"/>
          <w:color w:val="auto"/>
        </w:rPr>
      </w:pPr>
    </w:p>
    <w:p>
      <w:pPr>
        <w:sectPr>
          <w:pgSz w:w="11900" w:h="16838" w:orient="portrait"/>
          <w:cols w:equalWidth="0" w:num="2">
            <w:col w:w="1240" w:space="200"/>
            <w:col w:w="9800"/>
          </w:cols>
          <w:pgMar w:left="320" w:top="121" w:right="339" w:bottom="1440" w:gutter="0" w:footer="0" w:header="0"/>
          <w:type w:val="continuous"/>
        </w:sectPr>
      </w:pPr>
    </w:p>
    <w:p>
      <w:pPr>
        <w:spacing w:after="0" w:line="93"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2020 Proxy Statement </w:t>
      </w:r>
      <w:r>
        <w:rPr>
          <w:rFonts w:ascii="Arial" w:cs="Arial" w:eastAsia="Arial" w:hAnsi="Arial"/>
          <w:sz w:val="16"/>
          <w:szCs w:val="16"/>
          <w:color w:val="355889"/>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OUR BOARD OF DIRECTORS AND CORPORATE GOVERNANCE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280" w:type="dxa"/>
            <w:vAlign w:val="bottom"/>
            <w:tcBorders>
              <w:top w:val="single" w:sz="8" w:color="355889"/>
            </w:tcBorders>
          </w:tcPr>
          <w:p>
            <w:pPr>
              <w:jc w:val="center"/>
              <w:spacing w:after="0"/>
              <w:rPr>
                <w:sz w:val="20"/>
                <w:szCs w:val="20"/>
                <w:color w:val="auto"/>
              </w:rPr>
            </w:pPr>
            <w:r>
              <w:rPr>
                <w:rFonts w:ascii="Arial" w:cs="Arial" w:eastAsia="Arial" w:hAnsi="Arial"/>
                <w:sz w:val="22"/>
                <w:szCs w:val="22"/>
                <w:b w:val="1"/>
                <w:bCs w:val="1"/>
                <w:color w:val="355889"/>
                <w:w w:val="96"/>
              </w:rPr>
              <w:t>Craig M.</w:t>
            </w:r>
          </w:p>
        </w:tc>
        <w:tc>
          <w:tcPr>
            <w:tcW w:w="160" w:type="dxa"/>
            <w:vAlign w:val="bottom"/>
          </w:tcPr>
          <w:p>
            <w:pPr>
              <w:spacing w:after="0"/>
              <w:rPr>
                <w:sz w:val="24"/>
                <w:szCs w:val="24"/>
                <w:color w:val="auto"/>
              </w:rPr>
            </w:pPr>
          </w:p>
        </w:tc>
        <w:tc>
          <w:tcPr>
            <w:tcW w:w="9800" w:type="dxa"/>
            <w:vAlign w:val="bottom"/>
            <w:tcBorders>
              <w:top w:val="single" w:sz="8" w:color="355889"/>
            </w:tcBorders>
            <w:vMerge w:val="restart"/>
            <w:shd w:val="clear" w:color="auto" w:fill="EBEDF3"/>
          </w:tcPr>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2011</w:t>
            </w:r>
            <w:r>
              <w:rPr>
                <w:rFonts w:ascii="Arial" w:cs="Arial" w:eastAsia="Arial" w:hAnsi="Arial"/>
                <w:sz w:val="18"/>
                <w:szCs w:val="18"/>
                <w:color w:val="auto"/>
              </w:rPr>
              <w:t xml:space="preserve"> Age: </w:t>
            </w:r>
            <w:r>
              <w:rPr>
                <w:rFonts w:ascii="Arial" w:cs="Arial" w:eastAsia="Arial" w:hAnsi="Arial"/>
                <w:sz w:val="18"/>
                <w:szCs w:val="18"/>
                <w:b w:val="1"/>
                <w:bCs w:val="1"/>
                <w:color w:val="auto"/>
              </w:rPr>
              <w:t>66 Independent Director</w:t>
            </w:r>
          </w:p>
        </w:tc>
        <w:tc>
          <w:tcPr>
            <w:tcW w:w="0" w:type="dxa"/>
            <w:vAlign w:val="bottom"/>
          </w:tcPr>
          <w:p>
            <w:pPr>
              <w:spacing w:after="0"/>
              <w:rPr>
                <w:sz w:val="1"/>
                <w:szCs w:val="1"/>
                <w:color w:val="auto"/>
              </w:rPr>
            </w:pPr>
          </w:p>
        </w:tc>
      </w:tr>
      <w:tr>
        <w:trPr>
          <w:trHeight w:val="152"/>
        </w:trPr>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355889"/>
                <w:w w:val="97"/>
              </w:rPr>
              <w:t>Hatkoff</w:t>
            </w:r>
          </w:p>
        </w:tc>
        <w:tc>
          <w:tcPr>
            <w:tcW w:w="160" w:type="dxa"/>
            <w:vAlign w:val="bottom"/>
          </w:tcPr>
          <w:p>
            <w:pPr>
              <w:spacing w:after="0"/>
              <w:rPr>
                <w:sz w:val="13"/>
                <w:szCs w:val="13"/>
                <w:color w:val="auto"/>
              </w:rPr>
            </w:pPr>
          </w:p>
        </w:tc>
        <w:tc>
          <w:tcPr>
            <w:tcW w:w="9800" w:type="dxa"/>
            <w:vAlign w:val="bottom"/>
            <w:vMerge w:val="continue"/>
            <w:shd w:val="clear" w:color="auto" w:fill="EBEDF3"/>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2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800" w:type="dxa"/>
            <w:vAlign w:val="bottom"/>
            <w:shd w:val="clear" w:color="auto" w:fill="EBEDF3"/>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1280" w:type="dxa"/>
            <w:vAlign w:val="bottom"/>
            <w:tcBorders>
              <w:bottom w:val="single" w:sz="8" w:color="355889"/>
            </w:tcBorders>
          </w:tcPr>
          <w:p>
            <w:pPr>
              <w:spacing w:after="0"/>
              <w:rPr>
                <w:sz w:val="5"/>
                <w:szCs w:val="5"/>
                <w:color w:val="auto"/>
              </w:rPr>
            </w:pPr>
          </w:p>
        </w:tc>
        <w:tc>
          <w:tcPr>
            <w:tcW w:w="160" w:type="dxa"/>
            <w:vAlign w:val="bottom"/>
          </w:tcPr>
          <w:p>
            <w:pPr>
              <w:spacing w:after="0"/>
              <w:rPr>
                <w:sz w:val="5"/>
                <w:szCs w:val="5"/>
                <w:color w:val="auto"/>
              </w:rPr>
            </w:pPr>
          </w:p>
        </w:tc>
        <w:tc>
          <w:tcPr>
            <w:tcW w:w="9800" w:type="dxa"/>
            <w:vAlign w:val="bottom"/>
            <w:tcBorders>
              <w:bottom w:val="single" w:sz="8" w:color="EBEDF3"/>
            </w:tcBorders>
            <w:shd w:val="clear" w:color="auto" w:fill="EBEDF3"/>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8"/>
              </w:rPr>
              <w:t>Mr. Hatkoff has in-depth expertise and knowledge of real estate, capital markets, finance, private investing, entrepreneurship</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0" w:type="dxa"/>
            <w:vAlign w:val="bottom"/>
          </w:tcPr>
          <w:p>
            <w:pPr>
              <w:spacing w:after="0" w:line="202" w:lineRule="exact"/>
              <w:rPr>
                <w:sz w:val="20"/>
                <w:szCs w:val="20"/>
                <w:color w:val="auto"/>
              </w:rPr>
            </w:pPr>
            <w:r>
              <w:rPr>
                <w:rFonts w:ascii="Arial" w:cs="Arial" w:eastAsia="Arial" w:hAnsi="Arial"/>
                <w:sz w:val="18"/>
                <w:szCs w:val="18"/>
                <w:color w:val="auto"/>
                <w:w w:val="99"/>
              </w:rPr>
              <w:t>and executive management through his work with Chemical Bank, Victor Capital Group and Capital Trust. As a result of the</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0" w:type="dxa"/>
            <w:vAlign w:val="bottom"/>
          </w:tcPr>
          <w:p>
            <w:pPr>
              <w:spacing w:after="0" w:line="202" w:lineRule="exact"/>
              <w:rPr>
                <w:sz w:val="20"/>
                <w:szCs w:val="20"/>
                <w:color w:val="auto"/>
              </w:rPr>
            </w:pPr>
            <w:r>
              <w:rPr>
                <w:rFonts w:ascii="Arial" w:cs="Arial" w:eastAsia="Arial" w:hAnsi="Arial"/>
                <w:sz w:val="18"/>
                <w:szCs w:val="18"/>
                <w:color w:val="auto"/>
                <w:w w:val="97"/>
              </w:rPr>
              <w:t>foregoing, Mr. Hatkoff provides a unique insight into the financial markets generally, valuation analysis, strategic planning, and</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0" w:type="dxa"/>
            <w:vAlign w:val="bottom"/>
          </w:tcPr>
          <w:p>
            <w:pPr>
              <w:spacing w:after="0" w:line="202" w:lineRule="exact"/>
              <w:rPr>
                <w:sz w:val="20"/>
                <w:szCs w:val="20"/>
                <w:color w:val="auto"/>
              </w:rPr>
            </w:pPr>
            <w:r>
              <w:rPr>
                <w:rFonts w:ascii="Arial" w:cs="Arial" w:eastAsia="Arial" w:hAnsi="Arial"/>
                <w:sz w:val="18"/>
                <w:szCs w:val="18"/>
                <w:color w:val="auto"/>
                <w:w w:val="99"/>
              </w:rPr>
              <w:t>unique financing structures and alternatives. He also possesses entrepreneurial, brand marketing, social media, technology</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0" w:type="dxa"/>
            <w:vAlign w:val="bottom"/>
          </w:tcPr>
          <w:p>
            <w:pPr>
              <w:spacing w:after="0" w:line="202" w:lineRule="exact"/>
              <w:rPr>
                <w:sz w:val="20"/>
                <w:szCs w:val="20"/>
                <w:color w:val="auto"/>
              </w:rPr>
            </w:pPr>
            <w:r>
              <w:rPr>
                <w:rFonts w:ascii="Arial" w:cs="Arial" w:eastAsia="Arial" w:hAnsi="Arial"/>
                <w:sz w:val="18"/>
                <w:szCs w:val="18"/>
                <w:color w:val="auto"/>
              </w:rPr>
              <w:t>and innovation, and senior leadership experience through his private investments and service on the Boards of numerous</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0" w:type="dxa"/>
            <w:vAlign w:val="bottom"/>
          </w:tcPr>
          <w:p>
            <w:pPr>
              <w:spacing w:after="0" w:line="202" w:lineRule="exact"/>
              <w:rPr>
                <w:sz w:val="20"/>
                <w:szCs w:val="20"/>
                <w:color w:val="auto"/>
              </w:rPr>
            </w:pPr>
            <w:r>
              <w:rPr>
                <w:rFonts w:ascii="Arial" w:cs="Arial" w:eastAsia="Arial" w:hAnsi="Arial"/>
                <w:sz w:val="18"/>
                <w:szCs w:val="18"/>
                <w:color w:val="auto"/>
              </w:rPr>
              <w:t>educational and charitable organizations. Mr. Hatkoff also has extensive Board and Board committee experience at other</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0" w:type="dxa"/>
            <w:vAlign w:val="bottom"/>
          </w:tcPr>
          <w:p>
            <w:pPr>
              <w:spacing w:after="0" w:line="202" w:lineRule="exact"/>
              <w:rPr>
                <w:sz w:val="20"/>
                <w:szCs w:val="20"/>
                <w:color w:val="auto"/>
              </w:rPr>
            </w:pPr>
            <w:r>
              <w:rPr>
                <w:rFonts w:ascii="Arial" w:cs="Arial" w:eastAsia="Arial" w:hAnsi="Arial"/>
                <w:sz w:val="18"/>
                <w:szCs w:val="18"/>
                <w:color w:val="auto"/>
              </w:rPr>
              <w:t>public companies, including his prior service at Taubman Centers, Inc. and his long-standing service to Capital Trust, Inc.,</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0" w:type="dxa"/>
            <w:vAlign w:val="bottom"/>
          </w:tcPr>
          <w:p>
            <w:pPr>
              <w:spacing w:after="0" w:line="202" w:lineRule="exact"/>
              <w:rPr>
                <w:sz w:val="20"/>
                <w:szCs w:val="20"/>
                <w:color w:val="auto"/>
              </w:rPr>
            </w:pPr>
            <w:r>
              <w:rPr>
                <w:rFonts w:ascii="Arial" w:cs="Arial" w:eastAsia="Arial" w:hAnsi="Arial"/>
                <w:sz w:val="18"/>
                <w:szCs w:val="18"/>
                <w:color w:val="auto"/>
              </w:rPr>
              <w:t>which enables him to provide significant insight as to governance and compliance-related matters particular to real estate</w:t>
            </w: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companies.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-1163955</wp:posOffset>
            </wp:positionV>
            <wp:extent cx="805815" cy="1045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05815" cy="10458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SL Green</w:t>
      </w:r>
    </w:p>
    <w:p>
      <w:pPr>
        <w:spacing w:after="0"/>
        <w:tabs>
          <w:tab w:leader="none" w:pos="1420" w:val="left"/>
        </w:tabs>
        <w:rPr>
          <w:sz w:val="20"/>
          <w:szCs w:val="20"/>
          <w:color w:val="auto"/>
        </w:rPr>
      </w:pPr>
      <w:r>
        <w:rPr>
          <w:rFonts w:ascii="Arial" w:cs="Arial" w:eastAsia="Arial" w:hAnsi="Arial"/>
          <w:sz w:val="18"/>
          <w:szCs w:val="18"/>
          <w:b w:val="1"/>
          <w:bCs w:val="1"/>
          <w:color w:val="auto"/>
        </w:rPr>
        <w:t>Board Service:</w:t>
      </w:r>
      <w:r>
        <w:rPr>
          <w:sz w:val="20"/>
          <w:szCs w:val="20"/>
          <w:color w:val="auto"/>
        </w:rPr>
        <w:tab/>
      </w:r>
      <w:r>
        <w:rPr>
          <w:rFonts w:ascii="Arial" w:cs="Arial" w:eastAsia="Arial" w:hAnsi="Arial"/>
          <w:sz w:val="16"/>
          <w:szCs w:val="16"/>
          <w:b w:val="1"/>
          <w:bCs w:val="1"/>
          <w:color w:val="auto"/>
        </w:rPr>
        <w:t>Professional Experience</w:t>
      </w:r>
    </w:p>
    <w:p>
      <w:pPr>
        <w:sectPr>
          <w:pgSz w:w="11900" w:h="16838" w:orient="portrait"/>
          <w:cols w:equalWidth="0" w:num="1">
            <w:col w:w="11240"/>
          </w:cols>
          <w:pgMar w:left="320" w:top="121" w:right="339" w:bottom="1440" w:gutter="0" w:footer="0" w:header="0"/>
        </w:sectPr>
      </w:pPr>
    </w:p>
    <w:p>
      <w:pPr>
        <w:spacing w:after="0" w:line="239" w:lineRule="exact"/>
        <w:rPr>
          <w:sz w:val="20"/>
          <w:szCs w:val="20"/>
          <w:color w:val="auto"/>
        </w:rPr>
      </w:pPr>
    </w:p>
    <w:p>
      <w:pPr>
        <w:ind w:left="280" w:right="120" w:hanging="263"/>
        <w:spacing w:after="0" w:line="312" w:lineRule="auto"/>
        <w:tabs>
          <w:tab w:leader="none" w:pos="257" w:val="left"/>
        </w:tabs>
        <w:numPr>
          <w:ilvl w:val="0"/>
          <w:numId w:val="35"/>
        </w:numPr>
        <w:rPr>
          <w:rFonts w:ascii="Arial" w:cs="Arial" w:eastAsia="Arial" w:hAnsi="Arial"/>
          <w:sz w:val="16"/>
          <w:szCs w:val="16"/>
          <w:color w:val="355889"/>
        </w:rPr>
      </w:pPr>
      <w:r>
        <w:rPr>
          <w:rFonts w:ascii="Arial" w:cs="Arial" w:eastAsia="Arial" w:hAnsi="Arial"/>
          <w:sz w:val="16"/>
          <w:szCs w:val="16"/>
          <w:color w:val="auto"/>
        </w:rPr>
        <w:t>Audit Committee</w:t>
      </w:r>
    </w:p>
    <w:p>
      <w:pPr>
        <w:spacing w:after="0" w:line="7" w:lineRule="exact"/>
        <w:rPr>
          <w:rFonts w:ascii="Arial" w:cs="Arial" w:eastAsia="Arial" w:hAnsi="Arial"/>
          <w:sz w:val="16"/>
          <w:szCs w:val="16"/>
          <w:color w:val="355889"/>
        </w:rPr>
      </w:pPr>
    </w:p>
    <w:p>
      <w:pPr>
        <w:ind w:left="280" w:hanging="263"/>
        <w:spacing w:after="0" w:line="274" w:lineRule="auto"/>
        <w:tabs>
          <w:tab w:leader="none" w:pos="257" w:val="left"/>
        </w:tabs>
        <w:numPr>
          <w:ilvl w:val="0"/>
          <w:numId w:val="35"/>
        </w:numPr>
        <w:rPr>
          <w:rFonts w:ascii="Arial" w:cs="Arial" w:eastAsia="Arial" w:hAnsi="Arial"/>
          <w:sz w:val="16"/>
          <w:szCs w:val="16"/>
          <w:color w:val="355889"/>
        </w:rPr>
      </w:pPr>
      <w:r>
        <w:rPr>
          <w:rFonts w:ascii="Arial" w:cs="Arial" w:eastAsia="Arial" w:hAnsi="Arial"/>
          <w:sz w:val="16"/>
          <w:szCs w:val="16"/>
          <w:color w:val="auto"/>
        </w:rPr>
        <w:t>Nominating and Corporate Governance Committee, Chair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540" w:right="40" w:hanging="262"/>
        <w:spacing w:after="0" w:line="244" w:lineRule="auto"/>
        <w:tabs>
          <w:tab w:leader="none" w:pos="517" w:val="left"/>
        </w:tabs>
        <w:numPr>
          <w:ilvl w:val="0"/>
          <w:numId w:val="36"/>
        </w:numPr>
        <w:rPr>
          <w:rFonts w:ascii="Arial" w:cs="Arial" w:eastAsia="Arial" w:hAnsi="Arial"/>
          <w:sz w:val="17"/>
          <w:szCs w:val="17"/>
          <w:color w:val="355889"/>
        </w:rPr>
      </w:pPr>
      <w:r>
        <w:rPr>
          <w:rFonts w:ascii="Arial" w:cs="Arial" w:eastAsia="Arial" w:hAnsi="Arial"/>
          <w:sz w:val="18"/>
          <w:szCs w:val="18"/>
          <w:color w:val="auto"/>
        </w:rPr>
        <w:t>Vice Chairman of Capital Trust, Inc., a real estate investment management company that was listed on the New York Stock Exchange, and one of the largest dedicated real estate mezzanine lenders, from 1997 to 2000, and served on its Board of Directors from 1997 to 2010</w:t>
      </w:r>
    </w:p>
    <w:p>
      <w:pPr>
        <w:spacing w:after="0" w:line="57" w:lineRule="exact"/>
        <w:rPr>
          <w:rFonts w:ascii="Arial" w:cs="Arial" w:eastAsia="Arial" w:hAnsi="Arial"/>
          <w:sz w:val="17"/>
          <w:szCs w:val="17"/>
          <w:color w:val="355889"/>
        </w:rPr>
      </w:pPr>
    </w:p>
    <w:p>
      <w:pPr>
        <w:ind w:left="540" w:right="340" w:hanging="262"/>
        <w:spacing w:after="0" w:line="254" w:lineRule="auto"/>
        <w:tabs>
          <w:tab w:leader="none" w:pos="517" w:val="left"/>
        </w:tabs>
        <w:numPr>
          <w:ilvl w:val="0"/>
          <w:numId w:val="36"/>
        </w:numPr>
        <w:rPr>
          <w:rFonts w:ascii="Arial" w:cs="Arial" w:eastAsia="Arial" w:hAnsi="Arial"/>
          <w:sz w:val="17"/>
          <w:szCs w:val="17"/>
          <w:color w:val="355889"/>
        </w:rPr>
      </w:pPr>
      <w:r>
        <w:rPr>
          <w:rFonts w:ascii="Arial" w:cs="Arial" w:eastAsia="Arial" w:hAnsi="Arial"/>
          <w:sz w:val="18"/>
          <w:szCs w:val="18"/>
          <w:color w:val="auto"/>
        </w:rPr>
        <w:t>Trustee of the New York City School Construction Authority, the agency responsible for the construction of all public schools in New York City, from 2002 to 2005</w:t>
      </w:r>
    </w:p>
    <w:p>
      <w:pPr>
        <w:spacing w:after="0" w:line="61" w:lineRule="exact"/>
        <w:rPr>
          <w:rFonts w:ascii="Arial" w:cs="Arial" w:eastAsia="Arial" w:hAnsi="Arial"/>
          <w:sz w:val="17"/>
          <w:szCs w:val="17"/>
          <w:color w:val="355889"/>
        </w:rPr>
      </w:pPr>
    </w:p>
    <w:p>
      <w:pPr>
        <w:ind w:left="540" w:right="360" w:hanging="262"/>
        <w:spacing w:after="0" w:line="254" w:lineRule="auto"/>
        <w:tabs>
          <w:tab w:leader="none" w:pos="517" w:val="left"/>
        </w:tabs>
        <w:numPr>
          <w:ilvl w:val="0"/>
          <w:numId w:val="36"/>
        </w:numPr>
        <w:rPr>
          <w:rFonts w:ascii="Arial" w:cs="Arial" w:eastAsia="Arial" w:hAnsi="Arial"/>
          <w:sz w:val="17"/>
          <w:szCs w:val="17"/>
          <w:color w:val="355889"/>
        </w:rPr>
      </w:pPr>
      <w:r>
        <w:rPr>
          <w:rFonts w:ascii="Arial" w:cs="Arial" w:eastAsia="Arial" w:hAnsi="Arial"/>
          <w:sz w:val="18"/>
          <w:szCs w:val="18"/>
          <w:color w:val="auto"/>
        </w:rPr>
        <w:t>Founder and a managing partner of Victor Capital Group, L.P. from 1989 until its acquisition by Capital Trust, Inc. in 1997</w:t>
      </w:r>
    </w:p>
    <w:p>
      <w:pPr>
        <w:spacing w:after="0" w:line="47" w:lineRule="exact"/>
        <w:rPr>
          <w:rFonts w:ascii="Arial" w:cs="Arial" w:eastAsia="Arial" w:hAnsi="Arial"/>
          <w:sz w:val="17"/>
          <w:szCs w:val="17"/>
          <w:color w:val="355889"/>
        </w:rPr>
      </w:pPr>
    </w:p>
    <w:p>
      <w:pPr>
        <w:ind w:left="540" w:right="280" w:hanging="262"/>
        <w:spacing w:after="0" w:line="254" w:lineRule="auto"/>
        <w:tabs>
          <w:tab w:leader="none" w:pos="517" w:val="left"/>
        </w:tabs>
        <w:numPr>
          <w:ilvl w:val="0"/>
          <w:numId w:val="36"/>
        </w:numPr>
        <w:rPr>
          <w:rFonts w:ascii="Arial" w:cs="Arial" w:eastAsia="Arial" w:hAnsi="Arial"/>
          <w:sz w:val="17"/>
          <w:szCs w:val="17"/>
          <w:color w:val="355889"/>
        </w:rPr>
      </w:pPr>
      <w:r>
        <w:rPr>
          <w:rFonts w:ascii="Arial" w:cs="Arial" w:eastAsia="Arial" w:hAnsi="Arial"/>
          <w:sz w:val="18"/>
          <w:szCs w:val="18"/>
          <w:color w:val="auto"/>
        </w:rPr>
        <w:t>Former co-head of the real estate investment banking unit at Chemical Bank, where he was a pioneer in commercial mortgage securitization</w:t>
      </w:r>
    </w:p>
    <w:p>
      <w:pPr>
        <w:spacing w:after="0" w:line="47" w:lineRule="exact"/>
        <w:rPr>
          <w:rFonts w:ascii="Arial" w:cs="Arial" w:eastAsia="Arial" w:hAnsi="Arial"/>
          <w:sz w:val="17"/>
          <w:szCs w:val="17"/>
          <w:color w:val="355889"/>
        </w:rPr>
      </w:pPr>
    </w:p>
    <w:p>
      <w:pPr>
        <w:ind w:left="540" w:right="680" w:hanging="262"/>
        <w:spacing w:after="0" w:line="254" w:lineRule="auto"/>
        <w:tabs>
          <w:tab w:leader="none" w:pos="517" w:val="left"/>
        </w:tabs>
        <w:numPr>
          <w:ilvl w:val="0"/>
          <w:numId w:val="36"/>
        </w:numPr>
        <w:rPr>
          <w:rFonts w:ascii="Arial" w:cs="Arial" w:eastAsia="Arial" w:hAnsi="Arial"/>
          <w:sz w:val="17"/>
          <w:szCs w:val="17"/>
          <w:color w:val="355889"/>
        </w:rPr>
      </w:pPr>
      <w:r>
        <w:rPr>
          <w:rFonts w:ascii="Arial" w:cs="Arial" w:eastAsia="Arial" w:hAnsi="Arial"/>
          <w:sz w:val="18"/>
          <w:szCs w:val="18"/>
          <w:color w:val="auto"/>
        </w:rPr>
        <w:t>Co-founder of the Tribeca Film Festival; Chairman of Turtle Pond Publications LLC, which is active in children’s publishing and entertainment, and private investor in other entrepreneurial ventures</w:t>
      </w:r>
    </w:p>
    <w:p>
      <w:pPr>
        <w:spacing w:after="0" w:line="61" w:lineRule="exact"/>
        <w:rPr>
          <w:rFonts w:ascii="Arial" w:cs="Arial" w:eastAsia="Arial" w:hAnsi="Arial"/>
          <w:sz w:val="17"/>
          <w:szCs w:val="17"/>
          <w:color w:val="355889"/>
        </w:rPr>
      </w:pPr>
    </w:p>
    <w:p>
      <w:pPr>
        <w:ind w:left="520" w:hanging="242"/>
        <w:spacing w:after="0"/>
        <w:tabs>
          <w:tab w:leader="none" w:pos="520" w:val="left"/>
        </w:tabs>
        <w:numPr>
          <w:ilvl w:val="0"/>
          <w:numId w:val="36"/>
        </w:numPr>
        <w:rPr>
          <w:rFonts w:ascii="Arial" w:cs="Arial" w:eastAsia="Arial" w:hAnsi="Arial"/>
          <w:sz w:val="17"/>
          <w:szCs w:val="17"/>
          <w:color w:val="355889"/>
        </w:rPr>
      </w:pPr>
      <w:r>
        <w:rPr>
          <w:rFonts w:ascii="Arial" w:cs="Arial" w:eastAsia="Arial" w:hAnsi="Arial"/>
          <w:sz w:val="18"/>
          <w:szCs w:val="18"/>
          <w:color w:val="auto"/>
        </w:rPr>
        <w:t>Adjunct Professor at Columbia Business School, where he teaches courses on entrepreneurship and innovation</w:t>
      </w:r>
    </w:p>
    <w:p>
      <w:pPr>
        <w:spacing w:after="0" w:line="76" w:lineRule="exact"/>
        <w:rPr>
          <w:rFonts w:ascii="Arial" w:cs="Arial" w:eastAsia="Arial" w:hAnsi="Arial"/>
          <w:sz w:val="17"/>
          <w:szCs w:val="17"/>
          <w:color w:val="355889"/>
        </w:rPr>
      </w:pPr>
    </w:p>
    <w:p>
      <w:pPr>
        <w:ind w:left="540" w:right="320" w:hanging="262"/>
        <w:spacing w:after="0" w:line="254" w:lineRule="auto"/>
        <w:tabs>
          <w:tab w:leader="none" w:pos="517" w:val="left"/>
        </w:tabs>
        <w:numPr>
          <w:ilvl w:val="0"/>
          <w:numId w:val="36"/>
        </w:numPr>
        <w:rPr>
          <w:rFonts w:ascii="Arial" w:cs="Arial" w:eastAsia="Arial" w:hAnsi="Arial"/>
          <w:sz w:val="17"/>
          <w:szCs w:val="17"/>
          <w:color w:val="355889"/>
        </w:rPr>
      </w:pPr>
      <w:r>
        <w:rPr>
          <w:rFonts w:ascii="Arial" w:cs="Arial" w:eastAsia="Arial" w:hAnsi="Arial"/>
          <w:sz w:val="18"/>
          <w:szCs w:val="18"/>
          <w:color w:val="auto"/>
        </w:rPr>
        <w:t>Member of the Board of Directors of Subversive Real Estate Acquisition REIT LP and Chairman of the Board of Lex Markets Corp.</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Directorships</w:t>
      </w:r>
    </w:p>
    <w:p>
      <w:pPr>
        <w:spacing w:after="0" w:line="234" w:lineRule="exact"/>
        <w:rPr>
          <w:sz w:val="20"/>
          <w:szCs w:val="20"/>
          <w:color w:val="auto"/>
        </w:rPr>
      </w:pPr>
    </w:p>
    <w:p>
      <w:pPr>
        <w:ind w:left="520" w:hanging="242"/>
        <w:spacing w:after="0"/>
        <w:tabs>
          <w:tab w:leader="none" w:pos="520" w:val="left"/>
        </w:tabs>
        <w:numPr>
          <w:ilvl w:val="0"/>
          <w:numId w:val="37"/>
        </w:numPr>
        <w:rPr>
          <w:rFonts w:ascii="Arial" w:cs="Arial" w:eastAsia="Arial" w:hAnsi="Arial"/>
          <w:sz w:val="17"/>
          <w:szCs w:val="17"/>
          <w:color w:val="355889"/>
        </w:rPr>
      </w:pPr>
      <w:r>
        <w:rPr>
          <w:rFonts w:ascii="Arial" w:cs="Arial" w:eastAsia="Arial" w:hAnsi="Arial"/>
          <w:sz w:val="18"/>
          <w:szCs w:val="18"/>
          <w:color w:val="auto"/>
        </w:rPr>
        <w:t>Colony Capital, Inc. Since February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(during the past 5 years):</w:t>
      </w:r>
    </w:p>
    <w:p>
      <w:pPr>
        <w:spacing w:after="0" w:line="230" w:lineRule="exact"/>
        <w:rPr>
          <w:sz w:val="20"/>
          <w:szCs w:val="20"/>
          <w:color w:val="auto"/>
        </w:rPr>
      </w:pPr>
    </w:p>
    <w:p>
      <w:pPr>
        <w:ind w:left="520" w:hanging="242"/>
        <w:spacing w:after="0"/>
        <w:tabs>
          <w:tab w:leader="none" w:pos="520" w:val="left"/>
        </w:tabs>
        <w:numPr>
          <w:ilvl w:val="0"/>
          <w:numId w:val="38"/>
        </w:numPr>
        <w:rPr>
          <w:rFonts w:ascii="Arial" w:cs="Arial" w:eastAsia="Arial" w:hAnsi="Arial"/>
          <w:sz w:val="17"/>
          <w:szCs w:val="17"/>
          <w:color w:val="355889"/>
        </w:rPr>
      </w:pPr>
      <w:r>
        <w:rPr>
          <w:rFonts w:ascii="Arial" w:cs="Arial" w:eastAsia="Arial" w:hAnsi="Arial"/>
          <w:sz w:val="18"/>
          <w:szCs w:val="18"/>
          <w:color w:val="auto"/>
        </w:rPr>
        <w:t>Taubman Centers, Inc. from 2004 to January 2019</w:t>
      </w:r>
    </w:p>
    <w:p>
      <w:pPr>
        <w:spacing w:after="0" w:line="200" w:lineRule="exact"/>
        <w:rPr>
          <w:sz w:val="20"/>
          <w:szCs w:val="20"/>
          <w:color w:val="auto"/>
        </w:rPr>
      </w:pPr>
    </w:p>
    <w:p>
      <w:pPr>
        <w:sectPr>
          <w:pgSz w:w="11900" w:h="16838" w:orient="portrait"/>
          <w:cols w:equalWidth="0" w:num="2">
            <w:col w:w="1240" w:space="200"/>
            <w:col w:w="9800"/>
          </w:cols>
          <w:pgMar w:left="320" w:top="121" w:right="339" w:bottom="1440" w:gutter="0" w:footer="0" w:header="0"/>
          <w:type w:val="continuous"/>
        </w:sectPr>
      </w:pPr>
    </w:p>
    <w:p>
      <w:pPr>
        <w:spacing w:after="0" w:line="93" w:lineRule="exact"/>
        <w:rPr>
          <w:sz w:val="20"/>
          <w:szCs w:val="20"/>
          <w:color w:val="auto"/>
        </w:rPr>
      </w:pPr>
    </w:p>
    <w:p>
      <w:pPr>
        <w:ind w:left="300" w:hanging="292"/>
        <w:spacing w:after="0"/>
        <w:tabs>
          <w:tab w:leader="none" w:pos="300" w:val="left"/>
        </w:tabs>
        <w:numPr>
          <w:ilvl w:val="0"/>
          <w:numId w:val="39"/>
        </w:numPr>
        <w:rPr>
          <w:rFonts w:ascii="Arial" w:cs="Arial" w:eastAsia="Arial" w:hAnsi="Arial"/>
          <w:sz w:val="16"/>
          <w:szCs w:val="16"/>
          <w:color w:val="3558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420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70" w:lineRule="exact"/>
        <w:rPr>
          <w:sz w:val="20"/>
          <w:szCs w:val="20"/>
          <w:color w:val="auto"/>
        </w:rPr>
      </w:pPr>
    </w:p>
    <w:p>
      <w:pPr>
        <w:jc w:val="center"/>
        <w:ind w:left="40"/>
        <w:spacing w:after="0"/>
        <w:rPr>
          <w:sz w:val="20"/>
          <w:szCs w:val="20"/>
          <w:color w:val="auto"/>
        </w:rPr>
      </w:pPr>
      <w:r>
        <w:rPr>
          <w:rFonts w:ascii="Arial" w:cs="Arial" w:eastAsia="Arial" w:hAnsi="Arial"/>
          <w:sz w:val="22"/>
          <w:szCs w:val="22"/>
          <w:b w:val="1"/>
          <w:bCs w:val="1"/>
          <w:color w:val="355889"/>
        </w:rPr>
        <w:t>Marc</w:t>
      </w:r>
    </w:p>
    <w:p>
      <w:pPr>
        <w:spacing w:after="0" w:line="16" w:lineRule="exact"/>
        <w:rPr>
          <w:sz w:val="20"/>
          <w:szCs w:val="20"/>
          <w:color w:val="auto"/>
        </w:rPr>
      </w:pPr>
    </w:p>
    <w:p>
      <w:pPr>
        <w:jc w:val="center"/>
        <w:ind w:left="40"/>
        <w:spacing w:after="0"/>
        <w:rPr>
          <w:sz w:val="20"/>
          <w:szCs w:val="20"/>
          <w:color w:val="auto"/>
        </w:rPr>
      </w:pPr>
      <w:r>
        <w:rPr>
          <w:rFonts w:ascii="Arial" w:cs="Arial" w:eastAsia="Arial" w:hAnsi="Arial"/>
          <w:sz w:val="22"/>
          <w:szCs w:val="22"/>
          <w:b w:val="1"/>
          <w:bCs w:val="1"/>
          <w:color w:val="355889"/>
        </w:rPr>
        <w:t>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805815" cy="11144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05815" cy="11144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805815" cy="11144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0581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327" w:lineRule="auto"/>
        <w:rPr>
          <w:sz w:val="20"/>
          <w:szCs w:val="20"/>
          <w:color w:val="auto"/>
        </w:rPr>
      </w:pPr>
      <w:r>
        <w:rPr>
          <w:rFonts w:ascii="Arial" w:cs="Arial" w:eastAsia="Arial" w:hAnsi="Arial"/>
          <w:sz w:val="16"/>
          <w:szCs w:val="16"/>
          <w:b w:val="1"/>
          <w:bCs w:val="1"/>
          <w:color w:val="auto"/>
        </w:rPr>
        <w:t>SL Green Board Service: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December 2001</w:t>
      </w:r>
      <w:r>
        <w:rPr>
          <w:rFonts w:ascii="Arial" w:cs="Arial" w:eastAsia="Arial" w:hAnsi="Arial"/>
          <w:sz w:val="18"/>
          <w:szCs w:val="18"/>
          <w:color w:val="auto"/>
        </w:rPr>
        <w:t xml:space="preserve"> Age: </w:t>
      </w:r>
      <w:r>
        <w:rPr>
          <w:rFonts w:ascii="Arial" w:cs="Arial" w:eastAsia="Arial" w:hAnsi="Arial"/>
          <w:sz w:val="18"/>
          <w:szCs w:val="18"/>
          <w:b w:val="1"/>
          <w:bCs w:val="1"/>
          <w:color w:val="auto"/>
        </w:rPr>
        <w:t>53 Chief Executive Officer and Chairman of the Board</w:t>
      </w:r>
    </w:p>
    <w:p>
      <w:pPr>
        <w:spacing w:after="0" w:line="301"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Mr. Holliday’s extensive experience and skills in real estate and finance, as well as his role as Chief Executive Officer of the Company, provide him with valuable knowledge of and expertise in our business and industry. Furthermore, Mr. Holliday’s presence on the Board facilitates communication between the Board and the Company’s senior management.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34" w:lineRule="exact"/>
        <w:rPr>
          <w:sz w:val="20"/>
          <w:szCs w:val="20"/>
          <w:color w:val="auto"/>
        </w:rPr>
      </w:pPr>
    </w:p>
    <w:p>
      <w:pPr>
        <w:ind w:left="520" w:hanging="242"/>
        <w:spacing w:after="0"/>
        <w:tabs>
          <w:tab w:leader="none" w:pos="520" w:val="left"/>
        </w:tabs>
        <w:numPr>
          <w:ilvl w:val="0"/>
          <w:numId w:val="40"/>
        </w:numPr>
        <w:rPr>
          <w:rFonts w:ascii="Arial" w:cs="Arial" w:eastAsia="Arial" w:hAnsi="Arial"/>
          <w:sz w:val="17"/>
          <w:szCs w:val="17"/>
          <w:color w:val="355889"/>
        </w:rPr>
      </w:pPr>
      <w:r>
        <w:rPr>
          <w:rFonts w:ascii="Arial" w:cs="Arial" w:eastAsia="Arial" w:hAnsi="Arial"/>
          <w:sz w:val="18"/>
          <w:szCs w:val="18"/>
          <w:color w:val="auto"/>
        </w:rPr>
        <w:t>Chief Executive Officer of the Company since January 2004; Chairman of the Board since January 2019</w:t>
      </w:r>
    </w:p>
    <w:p>
      <w:pPr>
        <w:spacing w:after="0" w:line="76" w:lineRule="exact"/>
        <w:rPr>
          <w:rFonts w:ascii="Arial" w:cs="Arial" w:eastAsia="Arial" w:hAnsi="Arial"/>
          <w:sz w:val="17"/>
          <w:szCs w:val="17"/>
          <w:color w:val="355889"/>
        </w:rPr>
      </w:pPr>
    </w:p>
    <w:p>
      <w:pPr>
        <w:ind w:left="540" w:right="740" w:hanging="262"/>
        <w:spacing w:after="0" w:line="254" w:lineRule="auto"/>
        <w:tabs>
          <w:tab w:leader="none" w:pos="517" w:val="left"/>
        </w:tabs>
        <w:numPr>
          <w:ilvl w:val="0"/>
          <w:numId w:val="40"/>
        </w:numPr>
        <w:rPr>
          <w:rFonts w:ascii="Arial" w:cs="Arial" w:eastAsia="Arial" w:hAnsi="Arial"/>
          <w:sz w:val="17"/>
          <w:szCs w:val="17"/>
          <w:color w:val="355889"/>
        </w:rPr>
      </w:pPr>
      <w:r>
        <w:rPr>
          <w:rFonts w:ascii="Arial" w:cs="Arial" w:eastAsia="Arial" w:hAnsi="Arial"/>
          <w:sz w:val="18"/>
          <w:szCs w:val="18"/>
          <w:color w:val="auto"/>
        </w:rPr>
        <w:t>Joined the Company as Chief Investment Officer July 1998; stepped down as President in April 2007 following promotion of Andrew Mathias, current President, to that position</w:t>
      </w:r>
    </w:p>
    <w:p>
      <w:pPr>
        <w:spacing w:after="0" w:line="61" w:lineRule="exact"/>
        <w:rPr>
          <w:rFonts w:ascii="Arial" w:cs="Arial" w:eastAsia="Arial" w:hAnsi="Arial"/>
          <w:sz w:val="17"/>
          <w:szCs w:val="17"/>
          <w:color w:val="355889"/>
        </w:rPr>
      </w:pPr>
    </w:p>
    <w:p>
      <w:pPr>
        <w:ind w:left="540" w:right="20" w:hanging="262"/>
        <w:spacing w:after="0" w:line="254" w:lineRule="auto"/>
        <w:tabs>
          <w:tab w:leader="none" w:pos="517" w:val="left"/>
        </w:tabs>
        <w:numPr>
          <w:ilvl w:val="0"/>
          <w:numId w:val="40"/>
        </w:numPr>
        <w:rPr>
          <w:rFonts w:ascii="Arial" w:cs="Arial" w:eastAsia="Arial" w:hAnsi="Arial"/>
          <w:sz w:val="17"/>
          <w:szCs w:val="17"/>
          <w:color w:val="355889"/>
        </w:rPr>
      </w:pPr>
      <w:r>
        <w:rPr>
          <w:rFonts w:ascii="Arial" w:cs="Arial" w:eastAsia="Arial" w:hAnsi="Arial"/>
          <w:sz w:val="18"/>
          <w:szCs w:val="18"/>
          <w:color w:val="auto"/>
        </w:rPr>
        <w:t>President and Chief Executive Officer of Gramercy Capital Corp., from August 2004 to October 2008, when Mr. Holliday stepped down</w:t>
      </w:r>
    </w:p>
    <w:p>
      <w:pPr>
        <w:spacing w:after="0" w:line="48" w:lineRule="exact"/>
        <w:rPr>
          <w:sz w:val="20"/>
          <w:szCs w:val="20"/>
          <w:color w:val="auto"/>
        </w:rPr>
      </w:pPr>
    </w:p>
    <w:p>
      <w:pPr>
        <w:sectPr>
          <w:pgSz w:w="11900" w:h="16838" w:orient="portrait"/>
          <w:cols w:equalWidth="0" w:num="2">
            <w:col w:w="1240" w:space="200"/>
            <w:col w:w="9800"/>
          </w:cols>
          <w:pgMar w:left="320" w:top="121" w:right="339" w:bottom="1440" w:gutter="0" w:footer="0" w:header="0"/>
          <w:type w:val="continuous"/>
        </w:sectPr>
      </w:pPr>
    </w:p>
    <w:p>
      <w:pPr>
        <w:ind w:left="280" w:right="220" w:hanging="263"/>
        <w:spacing w:after="0" w:line="290" w:lineRule="auto"/>
        <w:tabs>
          <w:tab w:leader="none" w:pos="257" w:val="left"/>
        </w:tabs>
        <w:numPr>
          <w:ilvl w:val="0"/>
          <w:numId w:val="41"/>
        </w:numPr>
        <w:rPr>
          <w:rFonts w:ascii="Arial" w:cs="Arial" w:eastAsia="Arial" w:hAnsi="Arial"/>
          <w:sz w:val="16"/>
          <w:szCs w:val="16"/>
          <w:color w:val="355889"/>
        </w:rPr>
      </w:pPr>
      <w:r>
        <w:rPr>
          <w:rFonts w:ascii="Arial" w:cs="Arial" w:eastAsia="Arial" w:hAnsi="Arial"/>
          <w:sz w:val="16"/>
          <w:szCs w:val="16"/>
          <w:color w:val="auto"/>
        </w:rPr>
        <w:t>Executive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1100455</wp:posOffset>
            </wp:positionV>
            <wp:extent cx="8915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915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20"/>
        <w:spacing w:after="0"/>
        <w:rPr>
          <w:sz w:val="20"/>
          <w:szCs w:val="20"/>
          <w:color w:val="auto"/>
        </w:rPr>
      </w:pPr>
      <w:r>
        <w:rPr>
          <w:rFonts w:ascii="Arial" w:cs="Arial" w:eastAsia="Arial" w:hAnsi="Arial"/>
          <w:sz w:val="22"/>
          <w:szCs w:val="22"/>
          <w:b w:val="1"/>
          <w:bCs w:val="1"/>
          <w:color w:val="355889"/>
        </w:rPr>
        <w:t>John S.</w:t>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22"/>
          <w:szCs w:val="22"/>
          <w:b w:val="1"/>
          <w:bCs w:val="1"/>
          <w:color w:val="355889"/>
        </w:rPr>
        <w:t>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891540" cy="10972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9154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SL Green Board Service:</w:t>
      </w:r>
    </w:p>
    <w:p>
      <w:pPr>
        <w:spacing w:after="0" w:line="188" w:lineRule="exact"/>
        <w:rPr>
          <w:sz w:val="20"/>
          <w:szCs w:val="20"/>
          <w:color w:val="auto"/>
        </w:rPr>
      </w:pPr>
    </w:p>
    <w:p>
      <w:pPr>
        <w:ind w:left="280" w:hanging="263"/>
        <w:spacing w:after="0" w:line="281" w:lineRule="auto"/>
        <w:tabs>
          <w:tab w:leader="none" w:pos="257" w:val="left"/>
        </w:tabs>
        <w:numPr>
          <w:ilvl w:val="0"/>
          <w:numId w:val="42"/>
        </w:numPr>
        <w:rPr>
          <w:rFonts w:ascii="Arial" w:cs="Arial" w:eastAsia="Arial" w:hAnsi="Arial"/>
          <w:sz w:val="16"/>
          <w:szCs w:val="16"/>
          <w:color w:val="355889"/>
        </w:rPr>
      </w:pPr>
      <w:r>
        <w:rPr>
          <w:rFonts w:ascii="Arial" w:cs="Arial" w:eastAsia="Arial" w:hAnsi="Arial"/>
          <w:sz w:val="16"/>
          <w:szCs w:val="16"/>
          <w:color w:val="auto"/>
        </w:rPr>
        <w:t>Nominating and Corporate Governance Committee</w:t>
      </w:r>
    </w:p>
    <w:p>
      <w:pPr>
        <w:spacing w:after="0" w:line="29" w:lineRule="exact"/>
        <w:rPr>
          <w:rFonts w:ascii="Arial" w:cs="Arial" w:eastAsia="Arial" w:hAnsi="Arial"/>
          <w:sz w:val="16"/>
          <w:szCs w:val="16"/>
          <w:color w:val="355889"/>
        </w:rPr>
      </w:pPr>
    </w:p>
    <w:p>
      <w:pPr>
        <w:ind w:left="280" w:right="20" w:hanging="263"/>
        <w:spacing w:after="0" w:line="316" w:lineRule="auto"/>
        <w:tabs>
          <w:tab w:leader="none" w:pos="257" w:val="left"/>
        </w:tabs>
        <w:numPr>
          <w:ilvl w:val="0"/>
          <w:numId w:val="42"/>
        </w:numPr>
        <w:rPr>
          <w:rFonts w:ascii="Arial" w:cs="Arial" w:eastAsia="Arial" w:hAnsi="Arial"/>
          <w:sz w:val="16"/>
          <w:szCs w:val="16"/>
          <w:color w:val="355889"/>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ind w:left="400" w:right="100" w:hanging="262"/>
        <w:spacing w:after="0" w:line="244" w:lineRule="auto"/>
        <w:tabs>
          <w:tab w:leader="none" w:pos="377" w:val="left"/>
        </w:tabs>
        <w:numPr>
          <w:ilvl w:val="0"/>
          <w:numId w:val="43"/>
        </w:numPr>
        <w:rPr>
          <w:rFonts w:ascii="Arial" w:cs="Arial" w:eastAsia="Arial" w:hAnsi="Arial"/>
          <w:sz w:val="17"/>
          <w:szCs w:val="17"/>
          <w:color w:val="355889"/>
        </w:rPr>
      </w:pPr>
      <w:r>
        <w:rPr>
          <w:rFonts w:ascii="Arial" w:cs="Arial" w:eastAsia="Arial" w:hAnsi="Arial"/>
          <w:sz w:val="18"/>
          <w:szCs w:val="18"/>
          <w:color w:val="auto"/>
        </w:rPr>
        <w:t>Managing Director and Head of Direct Originations for New York-based Capital Trust Inc., a mezzanine finance company, where he was in charge of originating direct principal investments for the firm, consisting of mezzanine debt, preferred equity and first mortgages</w:t>
      </w:r>
    </w:p>
    <w:p>
      <w:pPr>
        <w:spacing w:after="0" w:line="57" w:lineRule="exact"/>
        <w:rPr>
          <w:rFonts w:ascii="Arial" w:cs="Arial" w:eastAsia="Arial" w:hAnsi="Arial"/>
          <w:sz w:val="17"/>
          <w:szCs w:val="17"/>
          <w:color w:val="355889"/>
        </w:rPr>
      </w:pPr>
    </w:p>
    <w:p>
      <w:pPr>
        <w:ind w:left="400" w:right="300" w:hanging="262"/>
        <w:spacing w:after="0" w:line="254" w:lineRule="auto"/>
        <w:tabs>
          <w:tab w:leader="none" w:pos="377" w:val="left"/>
        </w:tabs>
        <w:numPr>
          <w:ilvl w:val="0"/>
          <w:numId w:val="43"/>
        </w:numPr>
        <w:rPr>
          <w:rFonts w:ascii="Arial" w:cs="Arial" w:eastAsia="Arial" w:hAnsi="Arial"/>
          <w:sz w:val="17"/>
          <w:szCs w:val="17"/>
          <w:color w:val="355889"/>
        </w:rPr>
      </w:pPr>
      <w:r>
        <w:rPr>
          <w:rFonts w:ascii="Arial" w:cs="Arial" w:eastAsia="Arial" w:hAnsi="Arial"/>
          <w:sz w:val="18"/>
          <w:szCs w:val="18"/>
          <w:color w:val="auto"/>
        </w:rPr>
        <w:t>Served in various management positions, including Senior Vice President at Capital Trust, Inc.’s predecessor, Victor Capital Group, L.P. from 1991 to 1997</w:t>
      </w:r>
    </w:p>
    <w:p>
      <w:pPr>
        <w:spacing w:after="0" w:line="61" w:lineRule="exact"/>
        <w:rPr>
          <w:rFonts w:ascii="Arial" w:cs="Arial" w:eastAsia="Arial" w:hAnsi="Arial"/>
          <w:sz w:val="17"/>
          <w:szCs w:val="17"/>
          <w:color w:val="355889"/>
        </w:rPr>
      </w:pPr>
    </w:p>
    <w:p>
      <w:pPr>
        <w:ind w:left="400" w:right="80" w:hanging="262"/>
        <w:spacing w:after="0" w:line="254" w:lineRule="auto"/>
        <w:tabs>
          <w:tab w:leader="none" w:pos="377" w:val="left"/>
        </w:tabs>
        <w:numPr>
          <w:ilvl w:val="0"/>
          <w:numId w:val="43"/>
        </w:numPr>
        <w:rPr>
          <w:rFonts w:ascii="Arial" w:cs="Arial" w:eastAsia="Arial" w:hAnsi="Arial"/>
          <w:sz w:val="17"/>
          <w:szCs w:val="17"/>
          <w:color w:val="355889"/>
        </w:rPr>
      </w:pPr>
      <w:r>
        <w:rPr>
          <w:rFonts w:ascii="Arial" w:cs="Arial" w:eastAsia="Arial" w:hAnsi="Arial"/>
          <w:sz w:val="18"/>
          <w:szCs w:val="18"/>
          <w:color w:val="auto"/>
        </w:rPr>
        <w:t>Member of the Board of Directors of NYRA and Columbia University, and executive officer and member of the Board of the Real Estate Board of New York</w:t>
      </w:r>
    </w:p>
    <w:p>
      <w:pPr>
        <w:spacing w:after="0" w:line="47" w:lineRule="exact"/>
        <w:rPr>
          <w:rFonts w:ascii="Arial" w:cs="Arial" w:eastAsia="Arial" w:hAnsi="Arial"/>
          <w:sz w:val="17"/>
          <w:szCs w:val="17"/>
          <w:color w:val="355889"/>
        </w:rPr>
      </w:pPr>
    </w:p>
    <w:p>
      <w:pPr>
        <w:ind w:left="400" w:right="400" w:hanging="262"/>
        <w:spacing w:after="0" w:line="254" w:lineRule="auto"/>
        <w:tabs>
          <w:tab w:leader="none" w:pos="377" w:val="left"/>
        </w:tabs>
        <w:numPr>
          <w:ilvl w:val="0"/>
          <w:numId w:val="43"/>
        </w:numPr>
        <w:rPr>
          <w:rFonts w:ascii="Arial" w:cs="Arial" w:eastAsia="Arial" w:hAnsi="Arial"/>
          <w:sz w:val="17"/>
          <w:szCs w:val="17"/>
          <w:color w:val="355889"/>
        </w:rPr>
      </w:pPr>
      <w:r>
        <w:rPr>
          <w:rFonts w:ascii="Arial" w:cs="Arial" w:eastAsia="Arial" w:hAnsi="Arial"/>
          <w:sz w:val="18"/>
          <w:szCs w:val="18"/>
          <w:color w:val="auto"/>
        </w:rPr>
        <w:t>B.S. degree in Business and Finance from Lehigh University in 1988 and M.S. degree in Real Estate Development from Columbia University in 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6137910" cy="419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37910" cy="4197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1997</w:t>
      </w:r>
      <w:r>
        <w:rPr>
          <w:rFonts w:ascii="Arial" w:cs="Arial" w:eastAsia="Arial" w:hAnsi="Arial"/>
          <w:sz w:val="18"/>
          <w:szCs w:val="18"/>
          <w:color w:val="auto"/>
        </w:rPr>
        <w:t xml:space="preserve"> Age: </w:t>
      </w:r>
      <w:r>
        <w:rPr>
          <w:rFonts w:ascii="Arial" w:cs="Arial" w:eastAsia="Arial" w:hAnsi="Arial"/>
          <w:sz w:val="18"/>
          <w:szCs w:val="18"/>
          <w:b w:val="1"/>
          <w:bCs w:val="1"/>
          <w:color w:val="auto"/>
        </w:rPr>
        <w:t>84 Independent Director</w:t>
      </w:r>
    </w:p>
    <w:p>
      <w:pPr>
        <w:spacing w:after="0" w:line="30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Mr. Levy’s extensive skills, experience and sophistication in corporate governance, financial, compensation, legal and commercial matters, including his corporate finance expertise developed at Lehman Brothers, allow him to provide valuable insights into the Company’s business and finances.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34" w:lineRule="exact"/>
        <w:rPr>
          <w:sz w:val="20"/>
          <w:szCs w:val="20"/>
          <w:color w:val="auto"/>
        </w:rPr>
      </w:pPr>
    </w:p>
    <w:p>
      <w:pPr>
        <w:ind w:left="540" w:right="20" w:hanging="267"/>
        <w:spacing w:after="0" w:line="290" w:lineRule="auto"/>
        <w:tabs>
          <w:tab w:leader="none" w:pos="517" w:val="left"/>
        </w:tabs>
        <w:numPr>
          <w:ilvl w:val="0"/>
          <w:numId w:val="44"/>
        </w:numPr>
        <w:rPr>
          <w:rFonts w:ascii="Arial" w:cs="Arial" w:eastAsia="Arial" w:hAnsi="Arial"/>
          <w:sz w:val="16"/>
          <w:szCs w:val="16"/>
          <w:color w:val="355889"/>
        </w:rPr>
      </w:pPr>
      <w:r>
        <w:rPr>
          <w:rFonts w:ascii="Arial" w:cs="Arial" w:eastAsia="Arial" w:hAnsi="Arial"/>
          <w:sz w:val="16"/>
          <w:szCs w:val="16"/>
          <w:color w:val="auto"/>
        </w:rPr>
        <w:t>Retired from Lehman Brothers Inc. in 1995; from 1983 to 1995, served as Managing Director and Chief Administrative Officer of the Financial Services Division, Senior Executive Vice President and Co-Director of the International Division and Managing Partner of the Equity Securities Division at Lehman Brothers (or its predecessors)</w:t>
      </w:r>
    </w:p>
    <w:p>
      <w:pPr>
        <w:spacing w:after="0" w:line="21" w:lineRule="exact"/>
        <w:rPr>
          <w:rFonts w:ascii="Arial" w:cs="Arial" w:eastAsia="Arial" w:hAnsi="Arial"/>
          <w:sz w:val="16"/>
          <w:szCs w:val="16"/>
          <w:color w:val="355889"/>
        </w:rPr>
      </w:pPr>
    </w:p>
    <w:p>
      <w:pPr>
        <w:ind w:left="540" w:right="180" w:hanging="267"/>
        <w:spacing w:after="0" w:line="290" w:lineRule="auto"/>
        <w:tabs>
          <w:tab w:leader="none" w:pos="517" w:val="left"/>
        </w:tabs>
        <w:numPr>
          <w:ilvl w:val="0"/>
          <w:numId w:val="44"/>
        </w:numPr>
        <w:rPr>
          <w:rFonts w:ascii="Arial" w:cs="Arial" w:eastAsia="Arial" w:hAnsi="Arial"/>
          <w:sz w:val="16"/>
          <w:szCs w:val="16"/>
          <w:color w:val="355889"/>
        </w:rPr>
      </w:pPr>
      <w:r>
        <w:rPr>
          <w:rFonts w:ascii="Arial" w:cs="Arial" w:eastAsia="Arial" w:hAnsi="Arial"/>
          <w:sz w:val="16"/>
          <w:szCs w:val="16"/>
          <w:color w:val="auto"/>
        </w:rPr>
        <w:t>Associated with A.G. Becker Incorporated (or its predecessors) from 1960 to 1983, where Mr. Levy served as Managing Director of the Execution Services Division, Vice President-Manager of Institutional and Retail Sales, Manager of the Institutional Sales Division, Manager of the New York Retail Office and a Registered Representative</w:t>
      </w:r>
    </w:p>
    <w:p>
      <w:pPr>
        <w:spacing w:after="0" w:line="35" w:lineRule="exact"/>
        <w:rPr>
          <w:rFonts w:ascii="Arial" w:cs="Arial" w:eastAsia="Arial" w:hAnsi="Arial"/>
          <w:sz w:val="16"/>
          <w:szCs w:val="16"/>
          <w:color w:val="355889"/>
        </w:rPr>
      </w:pPr>
    </w:p>
    <w:p>
      <w:pPr>
        <w:ind w:left="520" w:hanging="247"/>
        <w:spacing w:after="0"/>
        <w:tabs>
          <w:tab w:leader="none" w:pos="520" w:val="left"/>
        </w:tabs>
        <w:numPr>
          <w:ilvl w:val="0"/>
          <w:numId w:val="44"/>
        </w:numPr>
        <w:rPr>
          <w:rFonts w:ascii="Arial" w:cs="Arial" w:eastAsia="Arial" w:hAnsi="Arial"/>
          <w:sz w:val="17"/>
          <w:szCs w:val="17"/>
          <w:color w:val="355889"/>
        </w:rPr>
      </w:pPr>
      <w:r>
        <w:rPr>
          <w:rFonts w:ascii="Arial" w:cs="Arial" w:eastAsia="Arial" w:hAnsi="Arial"/>
          <w:sz w:val="18"/>
          <w:szCs w:val="18"/>
          <w:color w:val="auto"/>
        </w:rPr>
        <w:t>B.A. degree from Dartmouth College.</w:t>
      </w:r>
    </w:p>
    <w:p>
      <w:pPr>
        <w:spacing w:after="0" w:line="1220" w:lineRule="exact"/>
        <w:rPr>
          <w:sz w:val="20"/>
          <w:szCs w:val="20"/>
          <w:color w:val="auto"/>
        </w:rPr>
      </w:pPr>
    </w:p>
    <w:p>
      <w:pPr>
        <w:sectPr>
          <w:pgSz w:w="11900" w:h="16838" w:orient="portrait"/>
          <w:cols w:equalWidth="0" w:num="2">
            <w:col w:w="1400" w:space="180"/>
            <w:col w:w="9660"/>
          </w:cols>
          <w:pgMar w:left="320" w:top="121" w:right="339" w:bottom="1440" w:gutter="0" w:footer="0" w:header="0"/>
          <w:type w:val="continuous"/>
        </w:sectPr>
      </w:pPr>
    </w:p>
    <w:p>
      <w:pPr>
        <w:spacing w:after="0" w:line="31"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2020 Proxy Statement </w:t>
      </w:r>
      <w:r>
        <w:rPr>
          <w:rFonts w:ascii="Arial" w:cs="Arial" w:eastAsia="Arial" w:hAnsi="Arial"/>
          <w:sz w:val="16"/>
          <w:szCs w:val="16"/>
          <w:color w:val="355889"/>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OUR BOARD OF DIRECTORS AND CORPORATE GOVERNANCE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280" w:type="dxa"/>
            <w:vAlign w:val="bottom"/>
            <w:tcBorders>
              <w:top w:val="single" w:sz="8" w:color="355889"/>
            </w:tcBorders>
          </w:tcPr>
          <w:p>
            <w:pPr>
              <w:jc w:val="center"/>
              <w:spacing w:after="0"/>
              <w:rPr>
                <w:sz w:val="20"/>
                <w:szCs w:val="20"/>
                <w:color w:val="auto"/>
              </w:rPr>
            </w:pPr>
            <w:r>
              <w:rPr>
                <w:rFonts w:ascii="Arial" w:cs="Arial" w:eastAsia="Arial" w:hAnsi="Arial"/>
                <w:sz w:val="22"/>
                <w:szCs w:val="22"/>
                <w:b w:val="1"/>
                <w:bCs w:val="1"/>
                <w:color w:val="355889"/>
                <w:w w:val="96"/>
              </w:rPr>
              <w:t>Andrew W.</w:t>
            </w:r>
          </w:p>
        </w:tc>
        <w:tc>
          <w:tcPr>
            <w:tcW w:w="160" w:type="dxa"/>
            <w:vAlign w:val="bottom"/>
          </w:tcPr>
          <w:p>
            <w:pPr>
              <w:spacing w:after="0"/>
              <w:rPr>
                <w:sz w:val="24"/>
                <w:szCs w:val="24"/>
                <w:color w:val="auto"/>
              </w:rPr>
            </w:pPr>
          </w:p>
        </w:tc>
        <w:tc>
          <w:tcPr>
            <w:tcW w:w="9800" w:type="dxa"/>
            <w:vAlign w:val="bottom"/>
            <w:tcBorders>
              <w:top w:val="single" w:sz="8" w:color="355889"/>
            </w:tcBorders>
            <w:vMerge w:val="restart"/>
            <w:shd w:val="clear" w:color="auto" w:fill="EBEDF3"/>
          </w:tcPr>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April 2014</w:t>
            </w:r>
            <w:r>
              <w:rPr>
                <w:rFonts w:ascii="Arial" w:cs="Arial" w:eastAsia="Arial" w:hAnsi="Arial"/>
                <w:sz w:val="18"/>
                <w:szCs w:val="18"/>
                <w:color w:val="auto"/>
              </w:rPr>
              <w:t xml:space="preserve"> Age: </w:t>
            </w:r>
            <w:r>
              <w:rPr>
                <w:rFonts w:ascii="Arial" w:cs="Arial" w:eastAsia="Arial" w:hAnsi="Arial"/>
                <w:sz w:val="18"/>
                <w:szCs w:val="18"/>
                <w:b w:val="1"/>
                <w:bCs w:val="1"/>
                <w:color w:val="auto"/>
              </w:rPr>
              <w:t>46 President</w:t>
            </w:r>
          </w:p>
        </w:tc>
        <w:tc>
          <w:tcPr>
            <w:tcW w:w="0" w:type="dxa"/>
            <w:vAlign w:val="bottom"/>
          </w:tcPr>
          <w:p>
            <w:pPr>
              <w:spacing w:after="0"/>
              <w:rPr>
                <w:sz w:val="1"/>
                <w:szCs w:val="1"/>
                <w:color w:val="auto"/>
              </w:rPr>
            </w:pPr>
          </w:p>
        </w:tc>
      </w:tr>
      <w:tr>
        <w:trPr>
          <w:trHeight w:val="138"/>
        </w:trPr>
        <w:tc>
          <w:tcPr>
            <w:tcW w:w="1440" w:type="dxa"/>
            <w:vAlign w:val="bottom"/>
            <w:gridSpan w:val="2"/>
            <w:vMerge w:val="restart"/>
          </w:tcPr>
          <w:p>
            <w:pPr>
              <w:jc w:val="center"/>
              <w:ind w:right="160"/>
              <w:spacing w:after="0"/>
              <w:rPr>
                <w:sz w:val="20"/>
                <w:szCs w:val="20"/>
                <w:color w:val="auto"/>
              </w:rPr>
            </w:pPr>
            <w:r>
              <w:rPr>
                <w:rFonts w:ascii="Arial" w:cs="Arial" w:eastAsia="Arial" w:hAnsi="Arial"/>
                <w:sz w:val="22"/>
                <w:szCs w:val="22"/>
                <w:b w:val="1"/>
                <w:bCs w:val="1"/>
                <w:color w:val="355889"/>
                <w:w w:val="97"/>
              </w:rPr>
              <w:t>Mathias</w:t>
            </w:r>
          </w:p>
        </w:tc>
        <w:tc>
          <w:tcPr>
            <w:tcW w:w="9800" w:type="dxa"/>
            <w:vAlign w:val="bottom"/>
            <w:vMerge w:val="continue"/>
            <w:shd w:val="clear" w:color="auto" w:fill="EBEDF3"/>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440" w:type="dxa"/>
            <w:vAlign w:val="bottom"/>
            <w:gridSpan w:val="2"/>
            <w:vMerge w:val="continue"/>
          </w:tcPr>
          <w:p>
            <w:pPr>
              <w:spacing w:after="0"/>
              <w:rPr>
                <w:sz w:val="17"/>
                <w:szCs w:val="17"/>
                <w:color w:val="auto"/>
              </w:rPr>
            </w:pPr>
          </w:p>
        </w:tc>
        <w:tc>
          <w:tcPr>
            <w:tcW w:w="9800" w:type="dxa"/>
            <w:vAlign w:val="bottom"/>
            <w:tcBorders>
              <w:bottom w:val="single" w:sz="8" w:color="EBEDF3"/>
            </w:tcBorders>
            <w:shd w:val="clear" w:color="auto" w:fill="EBEDF3"/>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280" w:type="dxa"/>
            <w:vAlign w:val="bottom"/>
            <w:tcBorders>
              <w:top w:val="single" w:sz="8" w:color="355889"/>
            </w:tcBorders>
          </w:tcPr>
          <w:p>
            <w:pPr>
              <w:spacing w:after="0"/>
              <w:rPr>
                <w:sz w:val="22"/>
                <w:szCs w:val="22"/>
                <w:color w:val="auto"/>
              </w:rPr>
            </w:pPr>
          </w:p>
        </w:tc>
        <w:tc>
          <w:tcPr>
            <w:tcW w:w="160" w:type="dxa"/>
            <w:vAlign w:val="bottom"/>
          </w:tcPr>
          <w:p>
            <w:pPr>
              <w:spacing w:after="0"/>
              <w:rPr>
                <w:sz w:val="22"/>
                <w:szCs w:val="22"/>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8"/>
              </w:rPr>
              <w:t>Mr. Mathias’ extensive experience in real estate, including commercial real estate investment, and in-depth knowledge of the</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0" w:type="dxa"/>
            <w:vAlign w:val="bottom"/>
          </w:tcPr>
          <w:p>
            <w:pPr>
              <w:spacing w:after="0" w:line="202" w:lineRule="exact"/>
              <w:rPr>
                <w:sz w:val="20"/>
                <w:szCs w:val="20"/>
                <w:color w:val="auto"/>
              </w:rPr>
            </w:pPr>
            <w:r>
              <w:rPr>
                <w:rFonts w:ascii="Arial" w:cs="Arial" w:eastAsia="Arial" w:hAnsi="Arial"/>
                <w:sz w:val="18"/>
                <w:szCs w:val="18"/>
                <w:color w:val="auto"/>
                <w:w w:val="97"/>
              </w:rPr>
              <w:t>New York City real estate market, as well as his role as President of the Company, provide him with valuable knowledge of our</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0" w:type="dxa"/>
            <w:vAlign w:val="bottom"/>
          </w:tcPr>
          <w:p>
            <w:pPr>
              <w:spacing w:after="0" w:line="202" w:lineRule="exact"/>
              <w:rPr>
                <w:sz w:val="20"/>
                <w:szCs w:val="20"/>
                <w:color w:val="auto"/>
              </w:rPr>
            </w:pPr>
            <w:r>
              <w:rPr>
                <w:rFonts w:ascii="Arial" w:cs="Arial" w:eastAsia="Arial" w:hAnsi="Arial"/>
                <w:sz w:val="18"/>
                <w:szCs w:val="18"/>
                <w:color w:val="auto"/>
                <w:w w:val="97"/>
              </w:rPr>
              <w:t>business and industry. Furthermore, Mr. Mathias’ presence on the Board facilitates communication between the Board and the</w:t>
            </w: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Company’s senior management.</w:t>
            </w: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b w:val="1"/>
                <w:bCs w:val="1"/>
                <w:color w:val="auto"/>
              </w:rPr>
              <w:t>Professional Experience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-777875</wp:posOffset>
            </wp:positionV>
            <wp:extent cx="805815" cy="10972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05815" cy="1097280"/>
                    </a:xfrm>
                    <a:prstGeom prst="rect">
                      <a:avLst/>
                    </a:prstGeom>
                    <a:noFill/>
                  </pic:spPr>
                </pic:pic>
              </a:graphicData>
            </a:graphic>
          </wp:anchor>
        </w:drawing>
      </w:r>
    </w:p>
    <w:p>
      <w:pPr>
        <w:spacing w:after="0" w:line="188" w:lineRule="exact"/>
        <w:rPr>
          <w:sz w:val="20"/>
          <w:szCs w:val="20"/>
          <w:color w:val="auto"/>
        </w:rPr>
      </w:pPr>
    </w:p>
    <w:p>
      <w:pPr>
        <w:ind w:left="1960" w:hanging="242"/>
        <w:spacing w:after="0"/>
        <w:tabs>
          <w:tab w:leader="none" w:pos="1960" w:val="left"/>
        </w:tabs>
        <w:numPr>
          <w:ilvl w:val="0"/>
          <w:numId w:val="45"/>
        </w:numPr>
        <w:rPr>
          <w:rFonts w:ascii="Arial" w:cs="Arial" w:eastAsia="Arial" w:hAnsi="Arial"/>
          <w:sz w:val="17"/>
          <w:szCs w:val="17"/>
          <w:color w:val="355889"/>
        </w:rPr>
      </w:pPr>
      <w:r>
        <w:rPr>
          <w:rFonts w:ascii="Arial" w:cs="Arial" w:eastAsia="Arial" w:hAnsi="Arial"/>
          <w:sz w:val="18"/>
          <w:szCs w:val="18"/>
          <w:color w:val="auto"/>
        </w:rPr>
        <w:t>President of the Company since 2007</w:t>
      </w:r>
    </w:p>
    <w:p>
      <w:pPr>
        <w:spacing w:after="0" w:line="76" w:lineRule="exact"/>
        <w:rPr>
          <w:rFonts w:ascii="Arial" w:cs="Arial" w:eastAsia="Arial" w:hAnsi="Arial"/>
          <w:sz w:val="17"/>
          <w:szCs w:val="17"/>
          <w:color w:val="355889"/>
        </w:rPr>
      </w:pPr>
    </w:p>
    <w:p>
      <w:pPr>
        <w:ind w:left="1960" w:hanging="242"/>
        <w:spacing w:after="0"/>
        <w:tabs>
          <w:tab w:leader="none" w:pos="1960" w:val="left"/>
        </w:tabs>
        <w:numPr>
          <w:ilvl w:val="0"/>
          <w:numId w:val="45"/>
        </w:numPr>
        <w:rPr>
          <w:rFonts w:ascii="Arial" w:cs="Arial" w:eastAsia="Arial" w:hAnsi="Arial"/>
          <w:sz w:val="17"/>
          <w:szCs w:val="17"/>
          <w:color w:val="355889"/>
        </w:rPr>
      </w:pPr>
      <w:r>
        <w:rPr>
          <w:rFonts w:ascii="Arial" w:cs="Arial" w:eastAsia="Arial" w:hAnsi="Arial"/>
          <w:sz w:val="18"/>
          <w:szCs w:val="18"/>
          <w:color w:val="auto"/>
        </w:rPr>
        <w:t>Joined the Company in March 1999 as Vice President and was promoted to Director of Investments in 2002</w:t>
      </w:r>
    </w:p>
    <w:p>
      <w:pPr>
        <w:spacing w:after="0" w:line="90" w:lineRule="exact"/>
        <w:rPr>
          <w:rFonts w:ascii="Arial" w:cs="Arial" w:eastAsia="Arial" w:hAnsi="Arial"/>
          <w:sz w:val="17"/>
          <w:szCs w:val="17"/>
          <w:color w:val="355889"/>
        </w:rPr>
      </w:pPr>
    </w:p>
    <w:p>
      <w:pPr>
        <w:ind w:left="1960" w:hanging="242"/>
        <w:spacing w:after="0"/>
        <w:tabs>
          <w:tab w:leader="none" w:pos="1960" w:val="left"/>
        </w:tabs>
        <w:numPr>
          <w:ilvl w:val="0"/>
          <w:numId w:val="45"/>
        </w:numPr>
        <w:rPr>
          <w:rFonts w:ascii="Arial" w:cs="Arial" w:eastAsia="Arial" w:hAnsi="Arial"/>
          <w:sz w:val="17"/>
          <w:szCs w:val="17"/>
          <w:color w:val="355889"/>
        </w:rPr>
      </w:pPr>
      <w:r>
        <w:rPr>
          <w:rFonts w:ascii="Arial" w:cs="Arial" w:eastAsia="Arial" w:hAnsi="Arial"/>
          <w:sz w:val="18"/>
          <w:szCs w:val="18"/>
          <w:color w:val="auto"/>
        </w:rPr>
        <w:t>Chief Investment Officer of the Company from January 2004 until January 2011</w:t>
      </w:r>
    </w:p>
    <w:p>
      <w:pPr>
        <w:spacing w:after="0" w:line="76" w:lineRule="exact"/>
        <w:rPr>
          <w:rFonts w:ascii="Arial" w:cs="Arial" w:eastAsia="Arial" w:hAnsi="Arial"/>
          <w:sz w:val="17"/>
          <w:szCs w:val="17"/>
          <w:color w:val="355889"/>
        </w:rPr>
      </w:pPr>
    </w:p>
    <w:p>
      <w:pPr>
        <w:ind w:left="1960" w:hanging="242"/>
        <w:spacing w:after="0"/>
        <w:tabs>
          <w:tab w:leader="none" w:pos="1960" w:val="left"/>
        </w:tabs>
        <w:numPr>
          <w:ilvl w:val="0"/>
          <w:numId w:val="45"/>
        </w:numPr>
        <w:rPr>
          <w:rFonts w:ascii="Arial" w:cs="Arial" w:eastAsia="Arial" w:hAnsi="Arial"/>
          <w:sz w:val="17"/>
          <w:szCs w:val="17"/>
          <w:color w:val="355889"/>
        </w:rPr>
      </w:pPr>
      <w:r>
        <w:rPr>
          <w:rFonts w:ascii="Arial" w:cs="Arial" w:eastAsia="Arial" w:hAnsi="Arial"/>
          <w:sz w:val="18"/>
          <w:szCs w:val="18"/>
          <w:color w:val="auto"/>
        </w:rPr>
        <w:t>Chief Investment Officer of Gramercy Capital Corp. from August 2004 to October 2008</w:t>
      </w:r>
    </w:p>
    <w:p>
      <w:pPr>
        <w:spacing w:after="0" w:line="76" w:lineRule="exact"/>
        <w:rPr>
          <w:rFonts w:ascii="Arial" w:cs="Arial" w:eastAsia="Arial" w:hAnsi="Arial"/>
          <w:sz w:val="17"/>
          <w:szCs w:val="17"/>
          <w:color w:val="355889"/>
        </w:rPr>
      </w:pPr>
    </w:p>
    <w:p>
      <w:pPr>
        <w:ind w:left="1960" w:hanging="242"/>
        <w:spacing w:after="0"/>
        <w:tabs>
          <w:tab w:leader="none" w:pos="1960" w:val="left"/>
        </w:tabs>
        <w:numPr>
          <w:ilvl w:val="0"/>
          <w:numId w:val="45"/>
        </w:numPr>
        <w:rPr>
          <w:rFonts w:ascii="Arial" w:cs="Arial" w:eastAsia="Arial" w:hAnsi="Arial"/>
          <w:sz w:val="17"/>
          <w:szCs w:val="17"/>
          <w:color w:val="355889"/>
        </w:rPr>
      </w:pPr>
      <w:r>
        <w:rPr>
          <w:rFonts w:ascii="Arial" w:cs="Arial" w:eastAsia="Arial" w:hAnsi="Arial"/>
          <w:sz w:val="18"/>
          <w:szCs w:val="18"/>
          <w:color w:val="auto"/>
        </w:rPr>
        <w:t>Worked at Capital Trust, Inc. and its predecessor, Victor Capital Group, L.P.</w:t>
      </w:r>
    </w:p>
    <w:p>
      <w:pPr>
        <w:spacing w:after="0" w:line="90" w:lineRule="exact"/>
        <w:rPr>
          <w:rFonts w:ascii="Arial" w:cs="Arial" w:eastAsia="Arial" w:hAnsi="Arial"/>
          <w:sz w:val="17"/>
          <w:szCs w:val="17"/>
          <w:color w:val="355889"/>
        </w:rPr>
      </w:pPr>
    </w:p>
    <w:p>
      <w:pPr>
        <w:ind w:left="1960" w:hanging="242"/>
        <w:spacing w:after="0"/>
        <w:tabs>
          <w:tab w:leader="none" w:pos="1960" w:val="left"/>
        </w:tabs>
        <w:numPr>
          <w:ilvl w:val="0"/>
          <w:numId w:val="45"/>
        </w:numPr>
        <w:rPr>
          <w:rFonts w:ascii="Arial" w:cs="Arial" w:eastAsia="Arial" w:hAnsi="Arial"/>
          <w:sz w:val="17"/>
          <w:szCs w:val="17"/>
          <w:color w:val="355889"/>
        </w:rPr>
      </w:pPr>
      <w:r>
        <w:rPr>
          <w:rFonts w:ascii="Arial" w:cs="Arial" w:eastAsia="Arial" w:hAnsi="Arial"/>
          <w:sz w:val="18"/>
          <w:szCs w:val="18"/>
          <w:color w:val="auto"/>
        </w:rPr>
        <w:t>Worked on the high yield and restructuring desk at Bear Stearns and Co.</w:t>
      </w:r>
    </w:p>
    <w:p>
      <w:pPr>
        <w:spacing w:after="0" w:line="76" w:lineRule="exact"/>
        <w:rPr>
          <w:rFonts w:ascii="Arial" w:cs="Arial" w:eastAsia="Arial" w:hAnsi="Arial"/>
          <w:sz w:val="17"/>
          <w:szCs w:val="17"/>
          <w:color w:val="355889"/>
        </w:rPr>
      </w:pPr>
    </w:p>
    <w:p>
      <w:pPr>
        <w:jc w:val="both"/>
        <w:ind w:left="1980" w:right="980" w:hanging="262"/>
        <w:spacing w:after="0" w:line="312" w:lineRule="auto"/>
        <w:tabs>
          <w:tab w:leader="none" w:pos="1957" w:val="left"/>
        </w:tabs>
        <w:numPr>
          <w:ilvl w:val="0"/>
          <w:numId w:val="45"/>
        </w:numPr>
        <w:rPr>
          <w:rFonts w:ascii="Arial" w:cs="Arial" w:eastAsia="Arial" w:hAnsi="Arial"/>
          <w:sz w:val="16"/>
          <w:szCs w:val="16"/>
          <w:color w:val="355889"/>
        </w:rPr>
      </w:pPr>
      <w:r>
        <w:rPr>
          <w:rFonts w:ascii="Arial" w:cs="Arial" w:eastAsia="Arial" w:hAnsi="Arial"/>
          <w:sz w:val="16"/>
          <w:szCs w:val="16"/>
          <w:color w:val="auto"/>
        </w:rPr>
        <w:t>Member of the Board of Directors for the Regional Plan Association, which works to improve the prosperity, infrastructure, sustainability and quality of life of the New York-New Jersey-Connecticut metropolitan region</w:t>
      </w:r>
    </w:p>
    <w:p>
      <w:pPr>
        <w:spacing w:after="0" w:line="7" w:lineRule="exact"/>
        <w:rPr>
          <w:rFonts w:ascii="Arial" w:cs="Arial" w:eastAsia="Arial" w:hAnsi="Arial"/>
          <w:sz w:val="16"/>
          <w:szCs w:val="16"/>
          <w:color w:val="355889"/>
        </w:rPr>
      </w:pPr>
    </w:p>
    <w:p>
      <w:pPr>
        <w:ind w:left="1960" w:hanging="242"/>
        <w:spacing w:after="0"/>
        <w:tabs>
          <w:tab w:leader="none" w:pos="1960" w:val="left"/>
        </w:tabs>
        <w:numPr>
          <w:ilvl w:val="0"/>
          <w:numId w:val="45"/>
        </w:numPr>
        <w:rPr>
          <w:rFonts w:ascii="Arial" w:cs="Arial" w:eastAsia="Arial" w:hAnsi="Arial"/>
          <w:sz w:val="17"/>
          <w:szCs w:val="17"/>
          <w:color w:val="355889"/>
        </w:rPr>
      </w:pPr>
      <w:r>
        <w:rPr>
          <w:rFonts w:ascii="Arial" w:cs="Arial" w:eastAsia="Arial" w:hAnsi="Arial"/>
          <w:sz w:val="18"/>
          <w:szCs w:val="18"/>
          <w:color w:val="auto"/>
        </w:rPr>
        <w:t>B.S. degree in Economics from the Wharton School at the University of Pennsylvania</w:t>
      </w:r>
    </w:p>
    <w:p>
      <w:pPr>
        <w:spacing w:after="0" w:line="225" w:lineRule="exact"/>
        <w:rPr>
          <w:sz w:val="20"/>
          <w:szCs w:val="20"/>
          <w:color w:val="auto"/>
        </w:rPr>
      </w:pPr>
    </w:p>
    <w:p>
      <w:pPr>
        <w:ind w:left="300" w:hanging="292"/>
        <w:spacing w:after="0"/>
        <w:tabs>
          <w:tab w:leader="none" w:pos="300" w:val="left"/>
        </w:tabs>
        <w:numPr>
          <w:ilvl w:val="0"/>
          <w:numId w:val="46"/>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5940"/>
        <w:spacing w:after="0"/>
        <w:rPr>
          <w:sz w:val="20"/>
          <w:szCs w:val="20"/>
          <w:color w:val="auto"/>
        </w:rPr>
      </w:pPr>
      <w:r>
        <w:rPr>
          <w:rFonts w:ascii="Arial" w:cs="Arial" w:eastAsia="Arial" w:hAnsi="Arial"/>
          <w:sz w:val="16"/>
          <w:szCs w:val="16"/>
          <w:u w:val="single" w:color="auto"/>
          <w:color w:val="355889"/>
        </w:rPr>
        <w:t>OUR BOARD OF DIRECTORS AND CORPORATE GOVERNANCE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Board Refreshment</w:t>
      </w:r>
    </w:p>
    <w:p>
      <w:pPr>
        <w:spacing w:after="0" w:line="233"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Led by our Nominating and Corporate Governance Committee, the Board engages in ongoing director succession planning, including a focus on refreshing the membership and leadership of the Board and its Committees and enhancing the level of diversity. Most recently, in January 2019, the leadership of the Board was transitioned from Stephen L. Green, our founder and long-time Chairman of the Board, to Marc Holliday, who also serves as our Chief Executive Officer. Mr. Green stepped down as Chairman of the Board nearly 40 years after he founded our predecessor and following his more than 20 years of distinguished service in this role. Mr. Green continues to serve as a director and as our Chairman Emeritus. The Board also rotated Committee chairs in 2018, with Lauren Dillard replacing John Alschuler as chair of our Compensation Committee and Craig Hatkoff replacing John Levy as chair of our Nominating and Corporate Governance Committee.</w:t>
      </w:r>
    </w:p>
    <w:p>
      <w:pPr>
        <w:spacing w:after="0" w:line="19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Over the longer term, we have added three new independent directors since 2011, including two women – Betsy Atkins, who joined our Board in 2015, and Lauren Dillard, who joined our Board in 2016. For our commitment to board diversity, we were recognized as a 2020 Women on Boards Winning ‘W’ Company for 2017. Together with the addition of Craig Hatkoff in 2011, these additions have provided new perspectives and enhanced the quality of the Board while also reducing the average age and tenure of our independent directors. Following these additions, one-third of our independent directors are women.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760" w:type="dxa"/>
            <w:vAlign w:val="bottom"/>
            <w:shd w:val="clear" w:color="auto" w:fill="9BA8C3"/>
          </w:tcPr>
          <w:p>
            <w:pPr>
              <w:ind w:left="180"/>
              <w:spacing w:after="0"/>
              <w:rPr>
                <w:sz w:val="20"/>
                <w:szCs w:val="20"/>
                <w:color w:val="auto"/>
              </w:rPr>
            </w:pPr>
            <w:r>
              <w:rPr>
                <w:rFonts w:ascii="Arial" w:cs="Arial" w:eastAsia="Arial" w:hAnsi="Arial"/>
                <w:sz w:val="18"/>
                <w:szCs w:val="18"/>
                <w:b w:val="1"/>
                <w:bCs w:val="1"/>
                <w:color w:val="355889"/>
              </w:rPr>
              <w:t>Diversity</w:t>
            </w:r>
          </w:p>
        </w:tc>
        <w:tc>
          <w:tcPr>
            <w:tcW w:w="3680" w:type="dxa"/>
            <w:vAlign w:val="bottom"/>
            <w:shd w:val="clear" w:color="auto" w:fill="9BA8C3"/>
          </w:tcPr>
          <w:p>
            <w:pPr>
              <w:ind w:left="80"/>
              <w:spacing w:after="0"/>
              <w:rPr>
                <w:sz w:val="20"/>
                <w:szCs w:val="20"/>
                <w:color w:val="auto"/>
              </w:rPr>
            </w:pPr>
            <w:r>
              <w:rPr>
                <w:rFonts w:ascii="Arial" w:cs="Arial" w:eastAsia="Arial" w:hAnsi="Arial"/>
                <w:sz w:val="18"/>
                <w:szCs w:val="18"/>
                <w:b w:val="1"/>
                <w:bCs w:val="1"/>
                <w:color w:val="355889"/>
              </w:rPr>
              <w:t>Experience</w:t>
            </w:r>
          </w:p>
        </w:tc>
        <w:tc>
          <w:tcPr>
            <w:tcW w:w="3800" w:type="dxa"/>
            <w:vAlign w:val="bottom"/>
            <w:shd w:val="clear" w:color="auto" w:fill="9BA8C3"/>
          </w:tcPr>
          <w:p>
            <w:pPr>
              <w:ind w:left="120"/>
              <w:spacing w:after="0"/>
              <w:rPr>
                <w:sz w:val="20"/>
                <w:szCs w:val="20"/>
                <w:color w:val="auto"/>
              </w:rPr>
            </w:pPr>
            <w:r>
              <w:rPr>
                <w:rFonts w:ascii="Arial" w:cs="Arial" w:eastAsia="Arial" w:hAnsi="Arial"/>
                <w:sz w:val="18"/>
                <w:szCs w:val="18"/>
                <w:b w:val="1"/>
                <w:bCs w:val="1"/>
                <w:color w:val="355889"/>
              </w:rPr>
              <w:t>Leadership</w:t>
            </w:r>
          </w:p>
        </w:tc>
      </w:tr>
      <w:tr>
        <w:trPr>
          <w:trHeight w:val="262"/>
        </w:trPr>
        <w:tc>
          <w:tcPr>
            <w:tcW w:w="3760" w:type="dxa"/>
            <w:vAlign w:val="bottom"/>
            <w:shd w:val="clear" w:color="auto" w:fill="9BA8C3"/>
          </w:tcPr>
          <w:p>
            <w:pPr>
              <w:ind w:left="180"/>
              <w:spacing w:after="0"/>
              <w:rPr>
                <w:sz w:val="20"/>
                <w:szCs w:val="20"/>
                <w:color w:val="auto"/>
              </w:rPr>
            </w:pPr>
            <w:r>
              <w:rPr>
                <w:rFonts w:ascii="Arial" w:cs="Arial" w:eastAsia="Arial" w:hAnsi="Arial"/>
                <w:sz w:val="18"/>
                <w:szCs w:val="18"/>
                <w:color w:val="355889"/>
              </w:rPr>
              <w:t>Our Board has a diversity of knowledge,</w:t>
            </w:r>
          </w:p>
        </w:tc>
        <w:tc>
          <w:tcPr>
            <w:tcW w:w="3680" w:type="dxa"/>
            <w:vAlign w:val="bottom"/>
            <w:shd w:val="clear" w:color="auto" w:fill="9BA8C3"/>
          </w:tcPr>
          <w:p>
            <w:pPr>
              <w:ind w:left="80"/>
              <w:spacing w:after="0"/>
              <w:rPr>
                <w:sz w:val="20"/>
                <w:szCs w:val="20"/>
                <w:color w:val="auto"/>
              </w:rPr>
            </w:pPr>
            <w:r>
              <w:rPr>
                <w:rFonts w:ascii="Arial" w:cs="Arial" w:eastAsia="Arial" w:hAnsi="Arial"/>
                <w:sz w:val="18"/>
                <w:szCs w:val="18"/>
                <w:color w:val="355889"/>
              </w:rPr>
              <w:t>Our Board members have broad experience</w:t>
            </w:r>
          </w:p>
        </w:tc>
        <w:tc>
          <w:tcPr>
            <w:tcW w:w="3800" w:type="dxa"/>
            <w:vAlign w:val="bottom"/>
            <w:shd w:val="clear" w:color="auto" w:fill="9BA8C3"/>
          </w:tcPr>
          <w:p>
            <w:pPr>
              <w:ind w:left="120"/>
              <w:spacing w:after="0"/>
              <w:rPr>
                <w:sz w:val="20"/>
                <w:szCs w:val="20"/>
                <w:color w:val="auto"/>
              </w:rPr>
            </w:pPr>
            <w:r>
              <w:rPr>
                <w:rFonts w:ascii="Arial" w:cs="Arial" w:eastAsia="Arial" w:hAnsi="Arial"/>
                <w:sz w:val="18"/>
                <w:szCs w:val="18"/>
                <w:color w:val="355889"/>
              </w:rPr>
              <w:t>Our Board members have strong corporate</w:t>
            </w:r>
          </w:p>
        </w:tc>
      </w:tr>
      <w:tr>
        <w:trPr>
          <w:trHeight w:val="203"/>
        </w:trPr>
        <w:tc>
          <w:tcPr>
            <w:tcW w:w="3760" w:type="dxa"/>
            <w:vAlign w:val="bottom"/>
            <w:shd w:val="clear" w:color="auto" w:fill="9BA8C3"/>
          </w:tcPr>
          <w:p>
            <w:pPr>
              <w:ind w:left="180"/>
              <w:spacing w:after="0" w:line="202" w:lineRule="exact"/>
              <w:rPr>
                <w:sz w:val="20"/>
                <w:szCs w:val="20"/>
                <w:color w:val="auto"/>
              </w:rPr>
            </w:pPr>
            <w:r>
              <w:rPr>
                <w:rFonts w:ascii="Arial" w:cs="Arial" w:eastAsia="Arial" w:hAnsi="Arial"/>
                <w:sz w:val="18"/>
                <w:szCs w:val="18"/>
                <w:color w:val="355889"/>
              </w:rPr>
              <w:t>skills and education, as well as diversity of</w:t>
            </w:r>
          </w:p>
        </w:tc>
        <w:tc>
          <w:tcPr>
            <w:tcW w:w="3680" w:type="dxa"/>
            <w:vAlign w:val="bottom"/>
            <w:shd w:val="clear" w:color="auto" w:fill="9BA8C3"/>
          </w:tcPr>
          <w:p>
            <w:pPr>
              <w:ind w:left="80"/>
              <w:spacing w:after="0" w:line="202" w:lineRule="exact"/>
              <w:rPr>
                <w:sz w:val="20"/>
                <w:szCs w:val="20"/>
                <w:color w:val="auto"/>
              </w:rPr>
            </w:pPr>
            <w:r>
              <w:rPr>
                <w:rFonts w:ascii="Arial" w:cs="Arial" w:eastAsia="Arial" w:hAnsi="Arial"/>
                <w:sz w:val="18"/>
                <w:szCs w:val="18"/>
                <w:color w:val="355889"/>
              </w:rPr>
              <w:t>serving on public boards in industries</w:t>
            </w:r>
          </w:p>
        </w:tc>
        <w:tc>
          <w:tcPr>
            <w:tcW w:w="3800" w:type="dxa"/>
            <w:vAlign w:val="bottom"/>
            <w:shd w:val="clear" w:color="auto" w:fill="9BA8C3"/>
          </w:tcPr>
          <w:p>
            <w:pPr>
              <w:ind w:left="120"/>
              <w:spacing w:after="0" w:line="202" w:lineRule="exact"/>
              <w:rPr>
                <w:sz w:val="20"/>
                <w:szCs w:val="20"/>
                <w:color w:val="auto"/>
              </w:rPr>
            </w:pPr>
            <w:r>
              <w:rPr>
                <w:rFonts w:ascii="Arial" w:cs="Arial" w:eastAsia="Arial" w:hAnsi="Arial"/>
                <w:sz w:val="18"/>
                <w:szCs w:val="18"/>
                <w:color w:val="355889"/>
              </w:rPr>
              <w:t>leadership backgrounds such as being a</w:t>
            </w:r>
          </w:p>
        </w:tc>
      </w:tr>
      <w:tr>
        <w:trPr>
          <w:trHeight w:val="203"/>
        </w:trPr>
        <w:tc>
          <w:tcPr>
            <w:tcW w:w="3760" w:type="dxa"/>
            <w:vAlign w:val="bottom"/>
            <w:shd w:val="clear" w:color="auto" w:fill="9BA8C3"/>
          </w:tcPr>
          <w:p>
            <w:pPr>
              <w:ind w:left="180"/>
              <w:spacing w:after="0" w:line="202" w:lineRule="exact"/>
              <w:rPr>
                <w:sz w:val="20"/>
                <w:szCs w:val="20"/>
                <w:color w:val="auto"/>
              </w:rPr>
            </w:pPr>
            <w:r>
              <w:rPr>
                <w:rFonts w:ascii="Arial" w:cs="Arial" w:eastAsia="Arial" w:hAnsi="Arial"/>
                <w:sz w:val="18"/>
                <w:szCs w:val="18"/>
                <w:color w:val="355889"/>
              </w:rPr>
              <w:t>age, gender and outlook</w:t>
            </w:r>
          </w:p>
        </w:tc>
        <w:tc>
          <w:tcPr>
            <w:tcW w:w="3680" w:type="dxa"/>
            <w:vAlign w:val="bottom"/>
            <w:shd w:val="clear" w:color="auto" w:fill="9BA8C3"/>
          </w:tcPr>
          <w:p>
            <w:pPr>
              <w:ind w:left="80"/>
              <w:spacing w:after="0" w:line="202" w:lineRule="exact"/>
              <w:rPr>
                <w:sz w:val="20"/>
                <w:szCs w:val="20"/>
                <w:color w:val="auto"/>
              </w:rPr>
            </w:pPr>
            <w:r>
              <w:rPr>
                <w:rFonts w:ascii="Arial" w:cs="Arial" w:eastAsia="Arial" w:hAnsi="Arial"/>
                <w:sz w:val="18"/>
                <w:szCs w:val="18"/>
                <w:color w:val="355889"/>
              </w:rPr>
              <w:t>relevant to the Company</w:t>
            </w:r>
          </w:p>
        </w:tc>
        <w:tc>
          <w:tcPr>
            <w:tcW w:w="3800" w:type="dxa"/>
            <w:vAlign w:val="bottom"/>
            <w:shd w:val="clear" w:color="auto" w:fill="9BA8C3"/>
          </w:tcPr>
          <w:p>
            <w:pPr>
              <w:ind w:left="120"/>
              <w:spacing w:after="0" w:line="202" w:lineRule="exact"/>
              <w:rPr>
                <w:sz w:val="20"/>
                <w:szCs w:val="20"/>
                <w:color w:val="auto"/>
              </w:rPr>
            </w:pPr>
            <w:r>
              <w:rPr>
                <w:rFonts w:ascii="Arial" w:cs="Arial" w:eastAsia="Arial" w:hAnsi="Arial"/>
                <w:sz w:val="18"/>
                <w:szCs w:val="18"/>
                <w:color w:val="355889"/>
              </w:rPr>
              <w:t>CEO, CFO or holding other Executive</w:t>
            </w:r>
          </w:p>
        </w:tc>
      </w:tr>
      <w:tr>
        <w:trPr>
          <w:trHeight w:val="211"/>
        </w:trPr>
        <w:tc>
          <w:tcPr>
            <w:tcW w:w="3760" w:type="dxa"/>
            <w:vAlign w:val="bottom"/>
            <w:shd w:val="clear" w:color="auto" w:fill="9BA8C3"/>
          </w:tcPr>
          <w:p>
            <w:pPr>
              <w:spacing w:after="0"/>
              <w:rPr>
                <w:sz w:val="18"/>
                <w:szCs w:val="18"/>
                <w:color w:val="auto"/>
              </w:rPr>
            </w:pPr>
          </w:p>
        </w:tc>
        <w:tc>
          <w:tcPr>
            <w:tcW w:w="3680" w:type="dxa"/>
            <w:vAlign w:val="bottom"/>
            <w:shd w:val="clear" w:color="auto" w:fill="9BA8C3"/>
          </w:tcPr>
          <w:p>
            <w:pPr>
              <w:spacing w:after="0"/>
              <w:rPr>
                <w:sz w:val="18"/>
                <w:szCs w:val="18"/>
                <w:color w:val="auto"/>
              </w:rPr>
            </w:pPr>
          </w:p>
        </w:tc>
        <w:tc>
          <w:tcPr>
            <w:tcW w:w="3800" w:type="dxa"/>
            <w:vAlign w:val="bottom"/>
            <w:shd w:val="clear" w:color="auto" w:fill="9BA8C3"/>
          </w:tcPr>
          <w:p>
            <w:pPr>
              <w:ind w:left="120"/>
              <w:spacing w:after="0"/>
              <w:rPr>
                <w:sz w:val="20"/>
                <w:szCs w:val="20"/>
                <w:color w:val="auto"/>
              </w:rPr>
            </w:pPr>
            <w:r>
              <w:rPr>
                <w:rFonts w:ascii="Arial" w:cs="Arial" w:eastAsia="Arial" w:hAnsi="Arial"/>
                <w:sz w:val="18"/>
                <w:szCs w:val="18"/>
                <w:color w:val="355889"/>
              </w:rPr>
              <w:t>positions</w:t>
            </w:r>
          </w:p>
        </w:tc>
      </w:tr>
      <w:tr>
        <w:trPr>
          <w:trHeight w:val="1517"/>
        </w:trPr>
        <w:tc>
          <w:tcPr>
            <w:tcW w:w="3760" w:type="dxa"/>
            <w:vAlign w:val="bottom"/>
            <w:shd w:val="clear" w:color="auto" w:fill="9BA8C3"/>
          </w:tcPr>
          <w:p>
            <w:pPr>
              <w:ind w:left="180"/>
              <w:spacing w:after="0"/>
              <w:rPr>
                <w:sz w:val="20"/>
                <w:szCs w:val="20"/>
                <w:color w:val="auto"/>
              </w:rPr>
            </w:pPr>
            <w:r>
              <w:rPr>
                <w:rFonts w:ascii="Arial" w:cs="Arial" w:eastAsia="Arial" w:hAnsi="Arial"/>
                <w:sz w:val="18"/>
                <w:szCs w:val="18"/>
                <w:b w:val="1"/>
                <w:bCs w:val="1"/>
                <w:color w:val="355889"/>
              </w:rPr>
              <w:t xml:space="preserve">33% </w:t>
            </w:r>
            <w:r>
              <w:rPr>
                <w:rFonts w:ascii="Arial" w:cs="Arial" w:eastAsia="Arial" w:hAnsi="Arial"/>
                <w:sz w:val="18"/>
                <w:szCs w:val="18"/>
                <w:color w:val="355889"/>
              </w:rPr>
              <w:t>of our independent Board members are</w:t>
            </w:r>
          </w:p>
        </w:tc>
        <w:tc>
          <w:tcPr>
            <w:tcW w:w="3680" w:type="dxa"/>
            <w:vAlign w:val="bottom"/>
            <w:shd w:val="clear" w:color="auto" w:fill="9BA8C3"/>
          </w:tcPr>
          <w:p>
            <w:pPr>
              <w:ind w:left="80"/>
              <w:spacing w:after="0"/>
              <w:rPr>
                <w:sz w:val="20"/>
                <w:szCs w:val="20"/>
                <w:color w:val="auto"/>
              </w:rPr>
            </w:pPr>
            <w:r>
              <w:rPr>
                <w:rFonts w:ascii="Arial" w:cs="Arial" w:eastAsia="Arial" w:hAnsi="Arial"/>
                <w:sz w:val="18"/>
                <w:szCs w:val="18"/>
                <w:b w:val="1"/>
                <w:bCs w:val="1"/>
                <w:color w:val="355889"/>
              </w:rPr>
              <w:t xml:space="preserve">67% </w:t>
            </w:r>
            <w:r>
              <w:rPr>
                <w:rFonts w:ascii="Arial" w:cs="Arial" w:eastAsia="Arial" w:hAnsi="Arial"/>
                <w:sz w:val="18"/>
                <w:szCs w:val="18"/>
                <w:color w:val="355889"/>
              </w:rPr>
              <w:t>of our Board currently serve or have</w:t>
            </w:r>
          </w:p>
        </w:tc>
        <w:tc>
          <w:tcPr>
            <w:tcW w:w="3800" w:type="dxa"/>
            <w:vAlign w:val="bottom"/>
            <w:shd w:val="clear" w:color="auto" w:fill="9BA8C3"/>
          </w:tcPr>
          <w:p>
            <w:pPr>
              <w:ind w:left="120"/>
              <w:spacing w:after="0"/>
              <w:rPr>
                <w:sz w:val="20"/>
                <w:szCs w:val="20"/>
                <w:color w:val="auto"/>
              </w:rPr>
            </w:pPr>
            <w:r>
              <w:rPr>
                <w:rFonts w:ascii="Arial" w:cs="Arial" w:eastAsia="Arial" w:hAnsi="Arial"/>
                <w:sz w:val="18"/>
                <w:szCs w:val="18"/>
                <w:b w:val="1"/>
                <w:bCs w:val="1"/>
                <w:color w:val="355889"/>
              </w:rPr>
              <w:t xml:space="preserve">100% </w:t>
            </w:r>
            <w:r>
              <w:rPr>
                <w:rFonts w:ascii="Arial" w:cs="Arial" w:eastAsia="Arial" w:hAnsi="Arial"/>
                <w:sz w:val="18"/>
                <w:szCs w:val="18"/>
                <w:color w:val="355889"/>
              </w:rPr>
              <w:t>of our Board currently serve or have</w:t>
            </w:r>
          </w:p>
        </w:tc>
      </w:tr>
      <w:tr>
        <w:trPr>
          <w:trHeight w:val="203"/>
        </w:trPr>
        <w:tc>
          <w:tcPr>
            <w:tcW w:w="3760" w:type="dxa"/>
            <w:vAlign w:val="bottom"/>
            <w:shd w:val="clear" w:color="auto" w:fill="9BA8C3"/>
          </w:tcPr>
          <w:p>
            <w:pPr>
              <w:ind w:left="180"/>
              <w:spacing w:after="0" w:line="202" w:lineRule="exact"/>
              <w:rPr>
                <w:sz w:val="20"/>
                <w:szCs w:val="20"/>
                <w:color w:val="auto"/>
              </w:rPr>
            </w:pPr>
            <w:r>
              <w:rPr>
                <w:rFonts w:ascii="Arial" w:cs="Arial" w:eastAsia="Arial" w:hAnsi="Arial"/>
                <w:sz w:val="18"/>
                <w:szCs w:val="18"/>
                <w:color w:val="355889"/>
              </w:rPr>
              <w:t>women</w:t>
            </w:r>
          </w:p>
        </w:tc>
        <w:tc>
          <w:tcPr>
            <w:tcW w:w="3680" w:type="dxa"/>
            <w:vAlign w:val="bottom"/>
            <w:shd w:val="clear" w:color="auto" w:fill="9BA8C3"/>
          </w:tcPr>
          <w:p>
            <w:pPr>
              <w:ind w:left="80"/>
              <w:spacing w:after="0" w:line="202" w:lineRule="exact"/>
              <w:rPr>
                <w:sz w:val="20"/>
                <w:szCs w:val="20"/>
                <w:color w:val="auto"/>
              </w:rPr>
            </w:pPr>
            <w:r>
              <w:rPr>
                <w:rFonts w:ascii="Arial" w:cs="Arial" w:eastAsia="Arial" w:hAnsi="Arial"/>
                <w:sz w:val="18"/>
                <w:szCs w:val="18"/>
                <w:color w:val="355889"/>
                <w:w w:val="99"/>
              </w:rPr>
              <w:t>served on the Boards of other publicly traded</w:t>
            </w:r>
          </w:p>
        </w:tc>
        <w:tc>
          <w:tcPr>
            <w:tcW w:w="3800" w:type="dxa"/>
            <w:vAlign w:val="bottom"/>
            <w:shd w:val="clear" w:color="auto" w:fill="9BA8C3"/>
          </w:tcPr>
          <w:p>
            <w:pPr>
              <w:ind w:left="120"/>
              <w:spacing w:after="0" w:line="202" w:lineRule="exact"/>
              <w:rPr>
                <w:sz w:val="20"/>
                <w:szCs w:val="20"/>
                <w:color w:val="auto"/>
              </w:rPr>
            </w:pPr>
            <w:r>
              <w:rPr>
                <w:rFonts w:ascii="Arial" w:cs="Arial" w:eastAsia="Arial" w:hAnsi="Arial"/>
                <w:sz w:val="18"/>
                <w:szCs w:val="18"/>
                <w:color w:val="355889"/>
              </w:rPr>
              <w:t>served as CEO or in senior leadership</w:t>
            </w:r>
          </w:p>
        </w:tc>
      </w:tr>
      <w:tr>
        <w:trPr>
          <w:trHeight w:val="211"/>
        </w:trPr>
        <w:tc>
          <w:tcPr>
            <w:tcW w:w="3760" w:type="dxa"/>
            <w:vAlign w:val="bottom"/>
            <w:shd w:val="clear" w:color="auto" w:fill="9BA8C3"/>
          </w:tcPr>
          <w:p>
            <w:pPr>
              <w:spacing w:after="0"/>
              <w:rPr>
                <w:sz w:val="18"/>
                <w:szCs w:val="18"/>
                <w:color w:val="auto"/>
              </w:rPr>
            </w:pPr>
          </w:p>
        </w:tc>
        <w:tc>
          <w:tcPr>
            <w:tcW w:w="3680" w:type="dxa"/>
            <w:vAlign w:val="bottom"/>
            <w:shd w:val="clear" w:color="auto" w:fill="9BA8C3"/>
          </w:tcPr>
          <w:p>
            <w:pPr>
              <w:ind w:left="80"/>
              <w:spacing w:after="0"/>
              <w:rPr>
                <w:sz w:val="20"/>
                <w:szCs w:val="20"/>
                <w:color w:val="auto"/>
              </w:rPr>
            </w:pPr>
            <w:r>
              <w:rPr>
                <w:rFonts w:ascii="Arial" w:cs="Arial" w:eastAsia="Arial" w:hAnsi="Arial"/>
                <w:sz w:val="18"/>
                <w:szCs w:val="18"/>
                <w:color w:val="355889"/>
              </w:rPr>
              <w:t>companies</w:t>
            </w:r>
          </w:p>
        </w:tc>
        <w:tc>
          <w:tcPr>
            <w:tcW w:w="3800" w:type="dxa"/>
            <w:vAlign w:val="bottom"/>
            <w:shd w:val="clear" w:color="auto" w:fill="9BA8C3"/>
          </w:tcPr>
          <w:p>
            <w:pPr>
              <w:ind w:left="120"/>
              <w:spacing w:after="0"/>
              <w:rPr>
                <w:sz w:val="20"/>
                <w:szCs w:val="20"/>
                <w:color w:val="auto"/>
              </w:rPr>
            </w:pPr>
            <w:r>
              <w:rPr>
                <w:rFonts w:ascii="Arial" w:cs="Arial" w:eastAsia="Arial" w:hAnsi="Arial"/>
                <w:sz w:val="18"/>
                <w:szCs w:val="18"/>
                <w:color w:val="355889"/>
              </w:rPr>
              <w:t>positions</w:t>
            </w:r>
          </w:p>
        </w:tc>
      </w:tr>
      <w:tr>
        <w:trPr>
          <w:trHeight w:val="56"/>
        </w:trPr>
        <w:tc>
          <w:tcPr>
            <w:tcW w:w="3760" w:type="dxa"/>
            <w:vAlign w:val="bottom"/>
            <w:shd w:val="clear" w:color="auto" w:fill="9BA8C3"/>
          </w:tcPr>
          <w:p>
            <w:pPr>
              <w:spacing w:after="0"/>
              <w:rPr>
                <w:sz w:val="4"/>
                <w:szCs w:val="4"/>
                <w:color w:val="auto"/>
              </w:rPr>
            </w:pPr>
          </w:p>
        </w:tc>
        <w:tc>
          <w:tcPr>
            <w:tcW w:w="3680" w:type="dxa"/>
            <w:vAlign w:val="bottom"/>
            <w:shd w:val="clear" w:color="auto" w:fill="9BA8C3"/>
          </w:tcPr>
          <w:p>
            <w:pPr>
              <w:spacing w:after="0"/>
              <w:rPr>
                <w:sz w:val="4"/>
                <w:szCs w:val="4"/>
                <w:color w:val="auto"/>
              </w:rPr>
            </w:pPr>
          </w:p>
        </w:tc>
        <w:tc>
          <w:tcPr>
            <w:tcW w:w="3800" w:type="dxa"/>
            <w:vAlign w:val="bottom"/>
            <w:shd w:val="clear" w:color="auto" w:fill="9BA8C3"/>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-1233805</wp:posOffset>
            </wp:positionV>
            <wp:extent cx="762635" cy="771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2635" cy="77152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-1233805</wp:posOffset>
            </wp:positionV>
            <wp:extent cx="1080135" cy="746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80135" cy="74612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-1233805</wp:posOffset>
            </wp:positionV>
            <wp:extent cx="728345" cy="7626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345" cy="76263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Identification of Director Candidates</w:t>
      </w:r>
    </w:p>
    <w:p>
      <w:pPr>
        <w:spacing w:after="0" w:line="23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Our Nominating and Corporate Governance Committee assists the Board in identifying and reviewing director candidates to determine whether they qualify for membership on the Board and recommends director nominees to the Board to be considered for election at our annual meeting of stockholders. Our Nominating and Corporate Governance Committee adopted a written policy on the criteria and process of identifying and reviewing director candidates.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Each director candidate must have:</w:t>
      </w:r>
    </w:p>
    <w:p>
      <w:pPr>
        <w:spacing w:after="0" w:line="212" w:lineRule="exact"/>
        <w:rPr>
          <w:sz w:val="20"/>
          <w:szCs w:val="20"/>
          <w:color w:val="auto"/>
        </w:rPr>
      </w:pPr>
    </w:p>
    <w:p>
      <w:pPr>
        <w:ind w:left="300" w:right="160" w:hanging="292"/>
        <w:spacing w:after="0" w:line="239" w:lineRule="auto"/>
        <w:tabs>
          <w:tab w:leader="none" w:pos="300" w:val="left"/>
        </w:tabs>
        <w:numPr>
          <w:ilvl w:val="0"/>
          <w:numId w:val="47"/>
        </w:numPr>
        <w:rPr>
          <w:rFonts w:ascii="Arial" w:cs="Arial" w:eastAsia="Arial" w:hAnsi="Arial"/>
          <w:sz w:val="18"/>
          <w:szCs w:val="18"/>
          <w:color w:val="355889"/>
        </w:rPr>
      </w:pPr>
      <w:r>
        <w:rPr>
          <w:rFonts w:ascii="Arial" w:cs="Arial" w:eastAsia="Arial" w:hAnsi="Arial"/>
          <w:sz w:val="18"/>
          <w:szCs w:val="18"/>
          <w:color w:val="auto"/>
        </w:rPr>
        <w:t>education and experience that provides knowledge of business, financial, governmental or legal matters that are relevant to the Company’s business or to its status as a publicly owned company;</w:t>
      </w:r>
    </w:p>
    <w:p>
      <w:pPr>
        <w:spacing w:after="0" w:line="235" w:lineRule="exact"/>
        <w:rPr>
          <w:rFonts w:ascii="Arial" w:cs="Arial" w:eastAsia="Arial" w:hAnsi="Arial"/>
          <w:sz w:val="18"/>
          <w:szCs w:val="18"/>
          <w:color w:val="355889"/>
        </w:rPr>
      </w:pPr>
    </w:p>
    <w:p>
      <w:pPr>
        <w:ind w:left="300" w:hanging="292"/>
        <w:spacing w:after="0"/>
        <w:tabs>
          <w:tab w:leader="none" w:pos="300" w:val="left"/>
        </w:tabs>
        <w:numPr>
          <w:ilvl w:val="0"/>
          <w:numId w:val="47"/>
        </w:numPr>
        <w:rPr>
          <w:rFonts w:ascii="Arial" w:cs="Arial" w:eastAsia="Arial" w:hAnsi="Arial"/>
          <w:sz w:val="18"/>
          <w:szCs w:val="18"/>
          <w:color w:val="355889"/>
        </w:rPr>
      </w:pPr>
      <w:r>
        <w:rPr>
          <w:rFonts w:ascii="Arial" w:cs="Arial" w:eastAsia="Arial" w:hAnsi="Arial"/>
          <w:sz w:val="18"/>
          <w:szCs w:val="18"/>
          <w:color w:val="auto"/>
        </w:rPr>
        <w:t>an unblemished reputation for integrity;</w:t>
      </w:r>
    </w:p>
    <w:p>
      <w:pPr>
        <w:spacing w:after="0" w:line="238" w:lineRule="exact"/>
        <w:rPr>
          <w:rFonts w:ascii="Arial" w:cs="Arial" w:eastAsia="Arial" w:hAnsi="Arial"/>
          <w:sz w:val="18"/>
          <w:szCs w:val="18"/>
          <w:color w:val="355889"/>
        </w:rPr>
      </w:pPr>
    </w:p>
    <w:p>
      <w:pPr>
        <w:ind w:left="300" w:hanging="292"/>
        <w:spacing w:after="0"/>
        <w:tabs>
          <w:tab w:leader="none" w:pos="300" w:val="left"/>
        </w:tabs>
        <w:numPr>
          <w:ilvl w:val="0"/>
          <w:numId w:val="47"/>
        </w:numPr>
        <w:rPr>
          <w:rFonts w:ascii="Arial" w:cs="Arial" w:eastAsia="Arial" w:hAnsi="Arial"/>
          <w:sz w:val="18"/>
          <w:szCs w:val="18"/>
          <w:color w:val="355889"/>
        </w:rPr>
      </w:pPr>
      <w:r>
        <w:rPr>
          <w:rFonts w:ascii="Arial" w:cs="Arial" w:eastAsia="Arial" w:hAnsi="Arial"/>
          <w:sz w:val="18"/>
          <w:szCs w:val="18"/>
          <w:color w:val="auto"/>
        </w:rPr>
        <w:t>a reputation for exercising good business judgment; and</w:t>
      </w:r>
    </w:p>
    <w:p>
      <w:pPr>
        <w:spacing w:after="0" w:line="238" w:lineRule="exact"/>
        <w:rPr>
          <w:rFonts w:ascii="Arial" w:cs="Arial" w:eastAsia="Arial" w:hAnsi="Arial"/>
          <w:sz w:val="18"/>
          <w:szCs w:val="18"/>
          <w:color w:val="355889"/>
        </w:rPr>
      </w:pPr>
    </w:p>
    <w:p>
      <w:pPr>
        <w:ind w:left="300" w:right="360" w:hanging="292"/>
        <w:spacing w:after="0" w:line="239" w:lineRule="auto"/>
        <w:tabs>
          <w:tab w:leader="none" w:pos="300" w:val="left"/>
        </w:tabs>
        <w:numPr>
          <w:ilvl w:val="0"/>
          <w:numId w:val="47"/>
        </w:numPr>
        <w:rPr>
          <w:rFonts w:ascii="Arial" w:cs="Arial" w:eastAsia="Arial" w:hAnsi="Arial"/>
          <w:sz w:val="18"/>
          <w:szCs w:val="18"/>
          <w:color w:val="355889"/>
        </w:rPr>
      </w:pPr>
      <w:r>
        <w:rPr>
          <w:rFonts w:ascii="Arial" w:cs="Arial" w:eastAsia="Arial" w:hAnsi="Arial"/>
          <w:sz w:val="18"/>
          <w:szCs w:val="18"/>
          <w:color w:val="auto"/>
        </w:rPr>
        <w:t>sufficient available time to be able to fulfill his or her responsibilities as a member of the Board and of any committees to which he or she may be appointed.</w:t>
      </w:r>
    </w:p>
    <w:p>
      <w:pPr>
        <w:spacing w:after="0" w:line="209"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The Nominating and Corporate Governance Committee ensures that the potential nominee is not an employee or agent of and does not serve on the board of directors or similar managing body of any of our competitors and determines whether the potential nominee has an interest in any transactions to which we are a party.</w:t>
      </w:r>
    </w:p>
    <w:p>
      <w:pPr>
        <w:spacing w:after="0" w:line="208"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2020 Proxy Statement </w:t>
      </w:r>
      <w:r>
        <w:rPr>
          <w:rFonts w:ascii="Arial" w:cs="Arial" w:eastAsia="Arial" w:hAnsi="Arial"/>
          <w:sz w:val="16"/>
          <w:szCs w:val="16"/>
          <w:color w:val="355889"/>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OUR BOARD OF DIRECTORS AND CORPORATE GOVERNANCE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760" w:type="dxa"/>
            <w:vAlign w:val="bottom"/>
            <w:gridSpan w:val="2"/>
            <w:shd w:val="clear" w:color="auto" w:fill="9BA8C3"/>
          </w:tcPr>
          <w:p>
            <w:pPr>
              <w:ind w:left="120"/>
              <w:spacing w:after="0"/>
              <w:rPr>
                <w:sz w:val="20"/>
                <w:szCs w:val="20"/>
                <w:color w:val="auto"/>
              </w:rPr>
            </w:pPr>
            <w:r>
              <w:rPr>
                <w:rFonts w:ascii="Arial" w:cs="Arial" w:eastAsia="Arial" w:hAnsi="Arial"/>
                <w:sz w:val="13"/>
                <w:szCs w:val="13"/>
                <w:b w:val="1"/>
                <w:bCs w:val="1"/>
                <w:color w:val="355889"/>
              </w:rPr>
              <w:t>Director Recruitment Process</w:t>
            </w:r>
          </w:p>
        </w:tc>
        <w:tc>
          <w:tcPr>
            <w:tcW w:w="340" w:type="dxa"/>
            <w:vAlign w:val="bottom"/>
            <w:shd w:val="clear" w:color="auto" w:fill="9BA8C3"/>
          </w:tcPr>
          <w:p>
            <w:pPr>
              <w:spacing w:after="0"/>
              <w:rPr>
                <w:sz w:val="23"/>
                <w:szCs w:val="23"/>
                <w:color w:val="auto"/>
              </w:rPr>
            </w:pPr>
          </w:p>
        </w:tc>
        <w:tc>
          <w:tcPr>
            <w:tcW w:w="2420" w:type="dxa"/>
            <w:vAlign w:val="bottom"/>
            <w:shd w:val="clear" w:color="auto" w:fill="9BA8C3"/>
          </w:tcPr>
          <w:p>
            <w:pPr>
              <w:spacing w:after="0"/>
              <w:rPr>
                <w:sz w:val="23"/>
                <w:szCs w:val="23"/>
                <w:color w:val="auto"/>
              </w:rPr>
            </w:pPr>
          </w:p>
        </w:tc>
        <w:tc>
          <w:tcPr>
            <w:tcW w:w="360" w:type="dxa"/>
            <w:vAlign w:val="bottom"/>
            <w:shd w:val="clear" w:color="auto" w:fill="9BA8C3"/>
          </w:tcPr>
          <w:p>
            <w:pPr>
              <w:spacing w:after="0"/>
              <w:rPr>
                <w:sz w:val="23"/>
                <w:szCs w:val="23"/>
                <w:color w:val="auto"/>
              </w:rPr>
            </w:pPr>
          </w:p>
        </w:tc>
        <w:tc>
          <w:tcPr>
            <w:tcW w:w="2360" w:type="dxa"/>
            <w:vAlign w:val="bottom"/>
            <w:shd w:val="clear" w:color="auto" w:fill="9BA8C3"/>
          </w:tcPr>
          <w:p>
            <w:pPr>
              <w:spacing w:after="0"/>
              <w:rPr>
                <w:sz w:val="23"/>
                <w:szCs w:val="23"/>
                <w:color w:val="auto"/>
              </w:rPr>
            </w:pPr>
          </w:p>
        </w:tc>
        <w:tc>
          <w:tcPr>
            <w:tcW w:w="380" w:type="dxa"/>
            <w:vAlign w:val="bottom"/>
            <w:shd w:val="clear" w:color="auto" w:fill="9BA8C3"/>
          </w:tcPr>
          <w:p>
            <w:pPr>
              <w:spacing w:after="0"/>
              <w:rPr>
                <w:sz w:val="23"/>
                <w:szCs w:val="23"/>
                <w:color w:val="auto"/>
              </w:rPr>
            </w:pPr>
          </w:p>
        </w:tc>
        <w:tc>
          <w:tcPr>
            <w:tcW w:w="2620" w:type="dxa"/>
            <w:vAlign w:val="bottom"/>
            <w:shd w:val="clear" w:color="auto" w:fill="9BA8C3"/>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340" w:type="dxa"/>
            <w:vAlign w:val="bottom"/>
            <w:vMerge w:val="restart"/>
            <w:shd w:val="clear" w:color="auto" w:fill="9BA8C3"/>
          </w:tcPr>
          <w:p>
            <w:pPr>
              <w:ind w:left="120"/>
              <w:spacing w:after="0"/>
              <w:rPr>
                <w:sz w:val="20"/>
                <w:szCs w:val="20"/>
                <w:color w:val="auto"/>
              </w:rPr>
            </w:pPr>
            <w:r>
              <w:rPr>
                <w:rFonts w:ascii="Arial" w:cs="Arial" w:eastAsia="Arial" w:hAnsi="Arial"/>
                <w:sz w:val="36"/>
                <w:szCs w:val="36"/>
                <w:color w:val="FFFFFF"/>
                <w:w w:val="99"/>
              </w:rPr>
              <w:t>1</w:t>
            </w:r>
          </w:p>
        </w:tc>
        <w:tc>
          <w:tcPr>
            <w:tcW w:w="2420" w:type="dxa"/>
            <w:vAlign w:val="bottom"/>
            <w:shd w:val="clear" w:color="auto" w:fill="9BA8C3"/>
          </w:tcPr>
          <w:p>
            <w:pPr>
              <w:ind w:left="80"/>
              <w:spacing w:after="0"/>
              <w:rPr>
                <w:sz w:val="20"/>
                <w:szCs w:val="20"/>
                <w:color w:val="auto"/>
              </w:rPr>
            </w:pPr>
            <w:r>
              <w:rPr>
                <w:rFonts w:ascii="Arial" w:cs="Arial" w:eastAsia="Arial" w:hAnsi="Arial"/>
                <w:sz w:val="18"/>
                <w:szCs w:val="18"/>
                <w:color w:val="FFFFFF"/>
              </w:rPr>
              <w:t>Identify Potential Candidates</w:t>
            </w:r>
          </w:p>
        </w:tc>
        <w:tc>
          <w:tcPr>
            <w:tcW w:w="340" w:type="dxa"/>
            <w:vAlign w:val="bottom"/>
            <w:vMerge w:val="restart"/>
            <w:shd w:val="clear" w:color="auto" w:fill="9BA8C3"/>
          </w:tcPr>
          <w:p>
            <w:pPr>
              <w:ind w:left="120"/>
              <w:spacing w:after="0"/>
              <w:rPr>
                <w:sz w:val="20"/>
                <w:szCs w:val="20"/>
                <w:color w:val="auto"/>
              </w:rPr>
            </w:pPr>
            <w:r>
              <w:rPr>
                <w:rFonts w:ascii="Arial" w:cs="Arial" w:eastAsia="Arial" w:hAnsi="Arial"/>
                <w:sz w:val="36"/>
                <w:szCs w:val="36"/>
                <w:color w:val="FFFFFF"/>
                <w:w w:val="99"/>
              </w:rPr>
              <w:t>2</w:t>
            </w:r>
          </w:p>
        </w:tc>
        <w:tc>
          <w:tcPr>
            <w:tcW w:w="2420" w:type="dxa"/>
            <w:vAlign w:val="bottom"/>
            <w:shd w:val="clear" w:color="auto" w:fill="9BA8C3"/>
          </w:tcPr>
          <w:p>
            <w:pPr>
              <w:ind w:left="80"/>
              <w:spacing w:after="0"/>
              <w:rPr>
                <w:sz w:val="20"/>
                <w:szCs w:val="20"/>
                <w:color w:val="auto"/>
              </w:rPr>
            </w:pPr>
            <w:r>
              <w:rPr>
                <w:rFonts w:ascii="Arial" w:cs="Arial" w:eastAsia="Arial" w:hAnsi="Arial"/>
                <w:sz w:val="18"/>
                <w:szCs w:val="18"/>
                <w:color w:val="FFFFFF"/>
              </w:rPr>
              <w:t>In-Depth Committee Review</w:t>
            </w:r>
          </w:p>
        </w:tc>
        <w:tc>
          <w:tcPr>
            <w:tcW w:w="360" w:type="dxa"/>
            <w:vAlign w:val="bottom"/>
            <w:vMerge w:val="restart"/>
            <w:shd w:val="clear" w:color="auto" w:fill="9BA8C3"/>
          </w:tcPr>
          <w:p>
            <w:pPr>
              <w:ind w:left="140"/>
              <w:spacing w:after="0"/>
              <w:rPr>
                <w:sz w:val="20"/>
                <w:szCs w:val="20"/>
                <w:color w:val="auto"/>
              </w:rPr>
            </w:pPr>
            <w:r>
              <w:rPr>
                <w:rFonts w:ascii="Arial" w:cs="Arial" w:eastAsia="Arial" w:hAnsi="Arial"/>
                <w:sz w:val="36"/>
                <w:szCs w:val="36"/>
                <w:color w:val="FFFFFF"/>
                <w:w w:val="99"/>
              </w:rPr>
              <w:t>3</w:t>
            </w:r>
          </w:p>
        </w:tc>
        <w:tc>
          <w:tcPr>
            <w:tcW w:w="2360" w:type="dxa"/>
            <w:vAlign w:val="bottom"/>
            <w:shd w:val="clear" w:color="auto" w:fill="9BA8C3"/>
          </w:tcPr>
          <w:p>
            <w:pPr>
              <w:ind w:left="80"/>
              <w:spacing w:after="0"/>
              <w:rPr>
                <w:sz w:val="20"/>
                <w:szCs w:val="20"/>
                <w:color w:val="auto"/>
              </w:rPr>
            </w:pPr>
            <w:r>
              <w:rPr>
                <w:rFonts w:ascii="Arial" w:cs="Arial" w:eastAsia="Arial" w:hAnsi="Arial"/>
                <w:sz w:val="18"/>
                <w:szCs w:val="18"/>
                <w:color w:val="FFFFFF"/>
              </w:rPr>
              <w:t>Recommend Candidates to</w:t>
            </w:r>
          </w:p>
        </w:tc>
        <w:tc>
          <w:tcPr>
            <w:tcW w:w="380" w:type="dxa"/>
            <w:vAlign w:val="bottom"/>
            <w:vMerge w:val="restart"/>
            <w:shd w:val="clear" w:color="auto" w:fill="9BA8C3"/>
          </w:tcPr>
          <w:p>
            <w:pPr>
              <w:ind w:left="160"/>
              <w:spacing w:after="0"/>
              <w:rPr>
                <w:sz w:val="20"/>
                <w:szCs w:val="20"/>
                <w:color w:val="auto"/>
              </w:rPr>
            </w:pPr>
            <w:r>
              <w:rPr>
                <w:rFonts w:ascii="Arial" w:cs="Arial" w:eastAsia="Arial" w:hAnsi="Arial"/>
                <w:sz w:val="36"/>
                <w:szCs w:val="36"/>
                <w:color w:val="FFFFFF"/>
                <w:w w:val="99"/>
              </w:rPr>
              <w:t>4</w:t>
            </w:r>
          </w:p>
        </w:tc>
        <w:tc>
          <w:tcPr>
            <w:tcW w:w="2620" w:type="dxa"/>
            <w:vAlign w:val="bottom"/>
            <w:shd w:val="clear" w:color="auto" w:fill="9BA8C3"/>
          </w:tcPr>
          <w:p>
            <w:pPr>
              <w:ind w:left="80"/>
              <w:spacing w:after="0"/>
              <w:rPr>
                <w:sz w:val="20"/>
                <w:szCs w:val="20"/>
                <w:color w:val="auto"/>
              </w:rPr>
            </w:pPr>
            <w:r>
              <w:rPr>
                <w:rFonts w:ascii="Arial" w:cs="Arial" w:eastAsia="Arial" w:hAnsi="Arial"/>
                <w:sz w:val="18"/>
                <w:szCs w:val="18"/>
                <w:color w:val="FFFFFF"/>
              </w:rPr>
              <w:t>Review by Full Board</w:t>
            </w:r>
          </w:p>
        </w:tc>
        <w:tc>
          <w:tcPr>
            <w:tcW w:w="0" w:type="dxa"/>
            <w:vAlign w:val="bottom"/>
          </w:tcPr>
          <w:p>
            <w:pPr>
              <w:spacing w:after="0"/>
              <w:rPr>
                <w:sz w:val="1"/>
                <w:szCs w:val="1"/>
                <w:color w:val="auto"/>
              </w:rPr>
            </w:pPr>
          </w:p>
        </w:tc>
      </w:tr>
      <w:tr>
        <w:trPr>
          <w:trHeight w:val="226"/>
        </w:trPr>
        <w:tc>
          <w:tcPr>
            <w:tcW w:w="340" w:type="dxa"/>
            <w:vAlign w:val="bottom"/>
            <w:vMerge w:val="continue"/>
            <w:shd w:val="clear" w:color="auto" w:fill="9BA8C3"/>
          </w:tcPr>
          <w:p>
            <w:pPr>
              <w:spacing w:after="0"/>
              <w:rPr>
                <w:sz w:val="19"/>
                <w:szCs w:val="19"/>
                <w:color w:val="auto"/>
              </w:rPr>
            </w:pPr>
          </w:p>
        </w:tc>
        <w:tc>
          <w:tcPr>
            <w:tcW w:w="2420" w:type="dxa"/>
            <w:vAlign w:val="bottom"/>
            <w:shd w:val="clear" w:color="auto" w:fill="9BA8C3"/>
          </w:tcPr>
          <w:p>
            <w:pPr>
              <w:spacing w:after="0"/>
              <w:rPr>
                <w:sz w:val="19"/>
                <w:szCs w:val="19"/>
                <w:color w:val="auto"/>
              </w:rPr>
            </w:pPr>
          </w:p>
        </w:tc>
        <w:tc>
          <w:tcPr>
            <w:tcW w:w="340" w:type="dxa"/>
            <w:vAlign w:val="bottom"/>
            <w:vMerge w:val="continue"/>
            <w:shd w:val="clear" w:color="auto" w:fill="9BA8C3"/>
          </w:tcPr>
          <w:p>
            <w:pPr>
              <w:spacing w:after="0"/>
              <w:rPr>
                <w:sz w:val="19"/>
                <w:szCs w:val="19"/>
                <w:color w:val="auto"/>
              </w:rPr>
            </w:pPr>
          </w:p>
        </w:tc>
        <w:tc>
          <w:tcPr>
            <w:tcW w:w="2420" w:type="dxa"/>
            <w:vAlign w:val="bottom"/>
            <w:shd w:val="clear" w:color="auto" w:fill="9BA8C3"/>
          </w:tcPr>
          <w:p>
            <w:pPr>
              <w:spacing w:after="0"/>
              <w:rPr>
                <w:sz w:val="19"/>
                <w:szCs w:val="19"/>
                <w:color w:val="auto"/>
              </w:rPr>
            </w:pPr>
          </w:p>
        </w:tc>
        <w:tc>
          <w:tcPr>
            <w:tcW w:w="360" w:type="dxa"/>
            <w:vAlign w:val="bottom"/>
            <w:vMerge w:val="continue"/>
            <w:shd w:val="clear" w:color="auto" w:fill="9BA8C3"/>
          </w:tcPr>
          <w:p>
            <w:pPr>
              <w:spacing w:after="0"/>
              <w:rPr>
                <w:sz w:val="19"/>
                <w:szCs w:val="19"/>
                <w:color w:val="auto"/>
              </w:rPr>
            </w:pPr>
          </w:p>
        </w:tc>
        <w:tc>
          <w:tcPr>
            <w:tcW w:w="2360" w:type="dxa"/>
            <w:vAlign w:val="bottom"/>
            <w:shd w:val="clear" w:color="auto" w:fill="9BA8C3"/>
          </w:tcPr>
          <w:p>
            <w:pPr>
              <w:ind w:left="80"/>
              <w:spacing w:after="0"/>
              <w:rPr>
                <w:sz w:val="20"/>
                <w:szCs w:val="20"/>
                <w:color w:val="auto"/>
              </w:rPr>
            </w:pPr>
            <w:r>
              <w:rPr>
                <w:rFonts w:ascii="Arial" w:cs="Arial" w:eastAsia="Arial" w:hAnsi="Arial"/>
                <w:sz w:val="18"/>
                <w:szCs w:val="18"/>
                <w:color w:val="FFFFFF"/>
              </w:rPr>
              <w:t>Full Board</w:t>
            </w:r>
          </w:p>
        </w:tc>
        <w:tc>
          <w:tcPr>
            <w:tcW w:w="380" w:type="dxa"/>
            <w:vAlign w:val="bottom"/>
            <w:vMerge w:val="continue"/>
            <w:shd w:val="clear" w:color="auto" w:fill="9BA8C3"/>
          </w:tcPr>
          <w:p>
            <w:pPr>
              <w:spacing w:after="0"/>
              <w:rPr>
                <w:sz w:val="19"/>
                <w:szCs w:val="19"/>
                <w:color w:val="auto"/>
              </w:rPr>
            </w:pPr>
          </w:p>
        </w:tc>
        <w:tc>
          <w:tcPr>
            <w:tcW w:w="2620" w:type="dxa"/>
            <w:vAlign w:val="bottom"/>
            <w:shd w:val="clear" w:color="auto" w:fill="9BA8C3"/>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760" w:type="dxa"/>
            <w:vAlign w:val="bottom"/>
            <w:gridSpan w:val="2"/>
            <w:shd w:val="clear" w:color="auto" w:fill="9BA8C3"/>
          </w:tcPr>
          <w:p>
            <w:pPr>
              <w:ind w:left="120"/>
              <w:spacing w:after="0"/>
              <w:rPr>
                <w:sz w:val="20"/>
                <w:szCs w:val="20"/>
                <w:color w:val="auto"/>
              </w:rPr>
            </w:pPr>
            <w:r>
              <w:rPr>
                <w:rFonts w:ascii="Arial" w:cs="Arial" w:eastAsia="Arial" w:hAnsi="Arial"/>
                <w:sz w:val="18"/>
                <w:szCs w:val="18"/>
                <w:color w:val="355889"/>
              </w:rPr>
              <w:t>Identified by:</w:t>
            </w:r>
          </w:p>
        </w:tc>
        <w:tc>
          <w:tcPr>
            <w:tcW w:w="340" w:type="dxa"/>
            <w:vAlign w:val="bottom"/>
            <w:shd w:val="clear" w:color="auto" w:fill="9BA8C3"/>
          </w:tcPr>
          <w:p>
            <w:pPr>
              <w:ind w:left="120"/>
              <w:spacing w:after="0"/>
              <w:rPr>
                <w:sz w:val="20"/>
                <w:szCs w:val="20"/>
                <w:color w:val="auto"/>
              </w:rPr>
            </w:pPr>
            <w:r>
              <w:rPr>
                <w:rFonts w:ascii="Arial" w:cs="Arial" w:eastAsia="Arial" w:hAnsi="Arial"/>
                <w:sz w:val="17"/>
                <w:szCs w:val="17"/>
                <w:color w:val="355889"/>
              </w:rPr>
              <w:t>●</w:t>
            </w:r>
          </w:p>
        </w:tc>
        <w:tc>
          <w:tcPr>
            <w:tcW w:w="2420" w:type="dxa"/>
            <w:vAlign w:val="bottom"/>
            <w:shd w:val="clear" w:color="auto" w:fill="9BA8C3"/>
          </w:tcPr>
          <w:p>
            <w:pPr>
              <w:ind w:left="20"/>
              <w:spacing w:after="0"/>
              <w:rPr>
                <w:sz w:val="20"/>
                <w:szCs w:val="20"/>
                <w:color w:val="auto"/>
              </w:rPr>
            </w:pPr>
            <w:r>
              <w:rPr>
                <w:rFonts w:ascii="Arial" w:cs="Arial" w:eastAsia="Arial" w:hAnsi="Arial"/>
                <w:sz w:val="18"/>
                <w:szCs w:val="18"/>
                <w:color w:val="355889"/>
              </w:rPr>
              <w:t>Consider experience,</w:t>
            </w:r>
          </w:p>
        </w:tc>
        <w:tc>
          <w:tcPr>
            <w:tcW w:w="360" w:type="dxa"/>
            <w:vAlign w:val="bottom"/>
            <w:shd w:val="clear" w:color="auto" w:fill="9BA8C3"/>
          </w:tcPr>
          <w:p>
            <w:pPr>
              <w:ind w:left="140"/>
              <w:spacing w:after="0"/>
              <w:rPr>
                <w:sz w:val="20"/>
                <w:szCs w:val="20"/>
                <w:color w:val="auto"/>
              </w:rPr>
            </w:pPr>
            <w:r>
              <w:rPr>
                <w:rFonts w:ascii="Arial" w:cs="Arial" w:eastAsia="Arial" w:hAnsi="Arial"/>
                <w:sz w:val="17"/>
                <w:szCs w:val="17"/>
                <w:color w:val="355889"/>
              </w:rPr>
              <w:t>●</w:t>
            </w:r>
          </w:p>
        </w:tc>
        <w:tc>
          <w:tcPr>
            <w:tcW w:w="2360" w:type="dxa"/>
            <w:vAlign w:val="bottom"/>
            <w:shd w:val="clear" w:color="auto" w:fill="9BA8C3"/>
          </w:tcPr>
          <w:p>
            <w:pPr>
              <w:ind w:left="20"/>
              <w:spacing w:after="0"/>
              <w:rPr>
                <w:sz w:val="20"/>
                <w:szCs w:val="20"/>
                <w:color w:val="auto"/>
              </w:rPr>
            </w:pPr>
            <w:r>
              <w:rPr>
                <w:rFonts w:ascii="Arial" w:cs="Arial" w:eastAsia="Arial" w:hAnsi="Arial"/>
                <w:sz w:val="18"/>
                <w:szCs w:val="18"/>
                <w:color w:val="355889"/>
              </w:rPr>
              <w:t>NCGC presents potential</w:t>
            </w:r>
          </w:p>
        </w:tc>
        <w:tc>
          <w:tcPr>
            <w:tcW w:w="3000" w:type="dxa"/>
            <w:vAlign w:val="bottom"/>
            <w:gridSpan w:val="2"/>
            <w:shd w:val="clear" w:color="auto" w:fill="9BA8C3"/>
          </w:tcPr>
          <w:p>
            <w:pPr>
              <w:ind w:left="160"/>
              <w:spacing w:after="0"/>
              <w:rPr>
                <w:sz w:val="20"/>
                <w:szCs w:val="20"/>
                <w:color w:val="auto"/>
              </w:rPr>
            </w:pPr>
            <w:r>
              <w:rPr>
                <w:rFonts w:ascii="Arial" w:cs="Arial" w:eastAsia="Arial" w:hAnsi="Arial"/>
                <w:sz w:val="17"/>
                <w:szCs w:val="17"/>
                <w:color w:val="355889"/>
              </w:rPr>
              <w:t>●  The full Board is responsible for</w:t>
            </w:r>
          </w:p>
        </w:tc>
        <w:tc>
          <w:tcPr>
            <w:tcW w:w="0" w:type="dxa"/>
            <w:vAlign w:val="bottom"/>
          </w:tcPr>
          <w:p>
            <w:pPr>
              <w:spacing w:after="0"/>
              <w:rPr>
                <w:sz w:val="1"/>
                <w:szCs w:val="1"/>
                <w:color w:val="auto"/>
              </w:rPr>
            </w:pPr>
          </w:p>
        </w:tc>
      </w:tr>
      <w:tr>
        <w:trPr>
          <w:trHeight w:val="216"/>
        </w:trPr>
        <w:tc>
          <w:tcPr>
            <w:tcW w:w="340" w:type="dxa"/>
            <w:vAlign w:val="bottom"/>
            <w:shd w:val="clear" w:color="auto" w:fill="9BA8C3"/>
          </w:tcPr>
          <w:p>
            <w:pPr>
              <w:ind w:left="120"/>
              <w:spacing w:after="0"/>
              <w:rPr>
                <w:sz w:val="20"/>
                <w:szCs w:val="20"/>
                <w:color w:val="auto"/>
              </w:rPr>
            </w:pPr>
            <w:r>
              <w:rPr>
                <w:rFonts w:ascii="Arial" w:cs="Arial" w:eastAsia="Arial" w:hAnsi="Arial"/>
                <w:sz w:val="17"/>
                <w:szCs w:val="17"/>
                <w:color w:val="355889"/>
              </w:rPr>
              <w:t>●</w:t>
            </w:r>
          </w:p>
        </w:tc>
        <w:tc>
          <w:tcPr>
            <w:tcW w:w="2420" w:type="dxa"/>
            <w:vAlign w:val="bottom"/>
            <w:shd w:val="clear" w:color="auto" w:fill="9BA8C3"/>
          </w:tcPr>
          <w:p>
            <w:pPr>
              <w:ind w:left="20"/>
              <w:spacing w:after="0"/>
              <w:rPr>
                <w:sz w:val="20"/>
                <w:szCs w:val="20"/>
                <w:color w:val="auto"/>
              </w:rPr>
            </w:pPr>
            <w:r>
              <w:rPr>
                <w:rFonts w:ascii="Arial" w:cs="Arial" w:eastAsia="Arial" w:hAnsi="Arial"/>
                <w:sz w:val="18"/>
                <w:szCs w:val="18"/>
                <w:color w:val="355889"/>
              </w:rPr>
              <w:t>Independent Directors</w:t>
            </w:r>
          </w:p>
        </w:tc>
        <w:tc>
          <w:tcPr>
            <w:tcW w:w="340" w:type="dxa"/>
            <w:vAlign w:val="bottom"/>
            <w:shd w:val="clear" w:color="auto" w:fill="9BA8C3"/>
          </w:tcPr>
          <w:p>
            <w:pPr>
              <w:spacing w:after="0"/>
              <w:rPr>
                <w:sz w:val="18"/>
                <w:szCs w:val="18"/>
                <w:color w:val="auto"/>
              </w:rPr>
            </w:pPr>
          </w:p>
        </w:tc>
        <w:tc>
          <w:tcPr>
            <w:tcW w:w="2420" w:type="dxa"/>
            <w:vAlign w:val="bottom"/>
            <w:shd w:val="clear" w:color="auto" w:fill="9BA8C3"/>
          </w:tcPr>
          <w:p>
            <w:pPr>
              <w:ind w:left="40"/>
              <w:spacing w:after="0"/>
              <w:rPr>
                <w:sz w:val="20"/>
                <w:szCs w:val="20"/>
                <w:color w:val="auto"/>
              </w:rPr>
            </w:pPr>
            <w:r>
              <w:rPr>
                <w:rFonts w:ascii="Arial" w:cs="Arial" w:eastAsia="Arial" w:hAnsi="Arial"/>
                <w:sz w:val="18"/>
                <w:szCs w:val="18"/>
                <w:color w:val="355889"/>
              </w:rPr>
              <w:t>qualifications, and diversity</w:t>
            </w:r>
          </w:p>
        </w:tc>
        <w:tc>
          <w:tcPr>
            <w:tcW w:w="360" w:type="dxa"/>
            <w:vAlign w:val="bottom"/>
            <w:shd w:val="clear" w:color="auto" w:fill="9BA8C3"/>
          </w:tcPr>
          <w:p>
            <w:pPr>
              <w:spacing w:after="0"/>
              <w:rPr>
                <w:sz w:val="18"/>
                <w:szCs w:val="18"/>
                <w:color w:val="auto"/>
              </w:rPr>
            </w:pPr>
          </w:p>
        </w:tc>
        <w:tc>
          <w:tcPr>
            <w:tcW w:w="2360" w:type="dxa"/>
            <w:vAlign w:val="bottom"/>
            <w:shd w:val="clear" w:color="auto" w:fill="9BA8C3"/>
          </w:tcPr>
          <w:p>
            <w:pPr>
              <w:ind w:left="40"/>
              <w:spacing w:after="0"/>
              <w:rPr>
                <w:sz w:val="20"/>
                <w:szCs w:val="20"/>
                <w:color w:val="auto"/>
              </w:rPr>
            </w:pPr>
            <w:r>
              <w:rPr>
                <w:rFonts w:ascii="Arial" w:cs="Arial" w:eastAsia="Arial" w:hAnsi="Arial"/>
                <w:sz w:val="18"/>
                <w:szCs w:val="18"/>
                <w:color w:val="355889"/>
              </w:rPr>
              <w:t>candidates to full Board for</w:t>
            </w:r>
          </w:p>
        </w:tc>
        <w:tc>
          <w:tcPr>
            <w:tcW w:w="380" w:type="dxa"/>
            <w:vAlign w:val="bottom"/>
            <w:shd w:val="clear" w:color="auto" w:fill="9BA8C3"/>
          </w:tcPr>
          <w:p>
            <w:pPr>
              <w:spacing w:after="0"/>
              <w:rPr>
                <w:sz w:val="18"/>
                <w:szCs w:val="18"/>
                <w:color w:val="auto"/>
              </w:rPr>
            </w:pPr>
          </w:p>
        </w:tc>
        <w:tc>
          <w:tcPr>
            <w:tcW w:w="2620" w:type="dxa"/>
            <w:vAlign w:val="bottom"/>
            <w:shd w:val="clear" w:color="auto" w:fill="9BA8C3"/>
          </w:tcPr>
          <w:p>
            <w:pPr>
              <w:ind w:left="40"/>
              <w:spacing w:after="0"/>
              <w:rPr>
                <w:sz w:val="20"/>
                <w:szCs w:val="20"/>
                <w:color w:val="auto"/>
              </w:rPr>
            </w:pPr>
            <w:r>
              <w:rPr>
                <w:rFonts w:ascii="Arial" w:cs="Arial" w:eastAsia="Arial" w:hAnsi="Arial"/>
                <w:sz w:val="18"/>
                <w:szCs w:val="18"/>
                <w:color w:val="355889"/>
              </w:rPr>
              <w:t>approving potential candidates</w:t>
            </w:r>
          </w:p>
        </w:tc>
        <w:tc>
          <w:tcPr>
            <w:tcW w:w="0" w:type="dxa"/>
            <w:vAlign w:val="bottom"/>
          </w:tcPr>
          <w:p>
            <w:pPr>
              <w:spacing w:after="0"/>
              <w:rPr>
                <w:sz w:val="1"/>
                <w:szCs w:val="1"/>
                <w:color w:val="auto"/>
              </w:rPr>
            </w:pPr>
          </w:p>
        </w:tc>
      </w:tr>
      <w:tr>
        <w:trPr>
          <w:trHeight w:val="216"/>
        </w:trPr>
        <w:tc>
          <w:tcPr>
            <w:tcW w:w="340" w:type="dxa"/>
            <w:vAlign w:val="bottom"/>
            <w:shd w:val="clear" w:color="auto" w:fill="9BA8C3"/>
          </w:tcPr>
          <w:p>
            <w:pPr>
              <w:ind w:left="120"/>
              <w:spacing w:after="0"/>
              <w:rPr>
                <w:sz w:val="20"/>
                <w:szCs w:val="20"/>
                <w:color w:val="auto"/>
              </w:rPr>
            </w:pPr>
            <w:r>
              <w:rPr>
                <w:rFonts w:ascii="Arial" w:cs="Arial" w:eastAsia="Arial" w:hAnsi="Arial"/>
                <w:sz w:val="17"/>
                <w:szCs w:val="17"/>
                <w:color w:val="355889"/>
              </w:rPr>
              <w:t>●</w:t>
            </w:r>
          </w:p>
        </w:tc>
        <w:tc>
          <w:tcPr>
            <w:tcW w:w="2420" w:type="dxa"/>
            <w:vAlign w:val="bottom"/>
            <w:shd w:val="clear" w:color="auto" w:fill="9BA8C3"/>
          </w:tcPr>
          <w:p>
            <w:pPr>
              <w:ind w:left="20"/>
              <w:spacing w:after="0"/>
              <w:rPr>
                <w:sz w:val="20"/>
                <w:szCs w:val="20"/>
                <w:color w:val="auto"/>
              </w:rPr>
            </w:pPr>
            <w:r>
              <w:rPr>
                <w:rFonts w:ascii="Arial" w:cs="Arial" w:eastAsia="Arial" w:hAnsi="Arial"/>
                <w:sz w:val="18"/>
                <w:szCs w:val="18"/>
                <w:color w:val="355889"/>
              </w:rPr>
              <w:t>Executive Officers</w:t>
            </w:r>
          </w:p>
        </w:tc>
        <w:tc>
          <w:tcPr>
            <w:tcW w:w="2760" w:type="dxa"/>
            <w:vAlign w:val="bottom"/>
            <w:gridSpan w:val="2"/>
            <w:shd w:val="clear" w:color="auto" w:fill="9BA8C3"/>
          </w:tcPr>
          <w:p>
            <w:pPr>
              <w:ind w:left="120"/>
              <w:spacing w:after="0"/>
              <w:rPr>
                <w:sz w:val="20"/>
                <w:szCs w:val="20"/>
                <w:color w:val="auto"/>
              </w:rPr>
            </w:pPr>
            <w:r>
              <w:rPr>
                <w:rFonts w:ascii="Arial" w:cs="Arial" w:eastAsia="Arial" w:hAnsi="Arial"/>
                <w:sz w:val="17"/>
                <w:szCs w:val="17"/>
                <w:color w:val="355889"/>
              </w:rPr>
              <w:t>●  Meet with candidates and</w:t>
            </w:r>
          </w:p>
        </w:tc>
        <w:tc>
          <w:tcPr>
            <w:tcW w:w="360" w:type="dxa"/>
            <w:vAlign w:val="bottom"/>
            <w:shd w:val="clear" w:color="auto" w:fill="9BA8C3"/>
          </w:tcPr>
          <w:p>
            <w:pPr>
              <w:spacing w:after="0"/>
              <w:rPr>
                <w:sz w:val="18"/>
                <w:szCs w:val="18"/>
                <w:color w:val="auto"/>
              </w:rPr>
            </w:pPr>
          </w:p>
        </w:tc>
        <w:tc>
          <w:tcPr>
            <w:tcW w:w="2360" w:type="dxa"/>
            <w:vAlign w:val="bottom"/>
            <w:shd w:val="clear" w:color="auto" w:fill="9BA8C3"/>
          </w:tcPr>
          <w:p>
            <w:pPr>
              <w:ind w:left="40"/>
              <w:spacing w:after="0"/>
              <w:rPr>
                <w:sz w:val="20"/>
                <w:szCs w:val="20"/>
                <w:color w:val="auto"/>
              </w:rPr>
            </w:pPr>
            <w:r>
              <w:rPr>
                <w:rFonts w:ascii="Arial" w:cs="Arial" w:eastAsia="Arial" w:hAnsi="Arial"/>
                <w:sz w:val="18"/>
                <w:szCs w:val="18"/>
                <w:color w:val="355889"/>
              </w:rPr>
              <w:t>open discussion</w:t>
            </w:r>
          </w:p>
        </w:tc>
        <w:tc>
          <w:tcPr>
            <w:tcW w:w="380" w:type="dxa"/>
            <w:vAlign w:val="bottom"/>
            <w:shd w:val="clear" w:color="auto" w:fill="9BA8C3"/>
          </w:tcPr>
          <w:p>
            <w:pPr>
              <w:spacing w:after="0"/>
              <w:rPr>
                <w:sz w:val="18"/>
                <w:szCs w:val="18"/>
                <w:color w:val="auto"/>
              </w:rPr>
            </w:pPr>
          </w:p>
        </w:tc>
        <w:tc>
          <w:tcPr>
            <w:tcW w:w="2620" w:type="dxa"/>
            <w:vAlign w:val="bottom"/>
            <w:shd w:val="clear" w:color="auto" w:fill="9BA8C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gridSpan w:val="2"/>
            <w:shd w:val="clear" w:color="auto" w:fill="9BA8C3"/>
          </w:tcPr>
          <w:p>
            <w:pPr>
              <w:ind w:left="120"/>
              <w:spacing w:after="0"/>
              <w:rPr>
                <w:sz w:val="20"/>
                <w:szCs w:val="20"/>
                <w:color w:val="auto"/>
              </w:rPr>
            </w:pPr>
            <w:r>
              <w:rPr>
                <w:rFonts w:ascii="Arial" w:cs="Arial" w:eastAsia="Arial" w:hAnsi="Arial"/>
                <w:sz w:val="17"/>
                <w:szCs w:val="17"/>
                <w:color w:val="355889"/>
              </w:rPr>
              <w:t>●  Third Party Search Firms</w:t>
            </w:r>
          </w:p>
        </w:tc>
        <w:tc>
          <w:tcPr>
            <w:tcW w:w="340" w:type="dxa"/>
            <w:vAlign w:val="bottom"/>
            <w:vMerge w:val="restart"/>
            <w:shd w:val="clear" w:color="auto" w:fill="9BA8C3"/>
          </w:tcPr>
          <w:p>
            <w:pPr>
              <w:ind w:left="120"/>
              <w:spacing w:after="0"/>
              <w:rPr>
                <w:sz w:val="20"/>
                <w:szCs w:val="20"/>
                <w:color w:val="auto"/>
              </w:rPr>
            </w:pPr>
            <w:r>
              <w:rPr>
                <w:rFonts w:ascii="Arial" w:cs="Arial" w:eastAsia="Arial" w:hAnsi="Arial"/>
                <w:sz w:val="17"/>
                <w:szCs w:val="17"/>
                <w:color w:val="355889"/>
              </w:rPr>
              <w:t>●</w:t>
            </w:r>
          </w:p>
        </w:tc>
        <w:tc>
          <w:tcPr>
            <w:tcW w:w="2420" w:type="dxa"/>
            <w:vAlign w:val="bottom"/>
            <w:shd w:val="clear" w:color="auto" w:fill="9BA8C3"/>
          </w:tcPr>
          <w:p>
            <w:pPr>
              <w:ind w:left="40"/>
              <w:spacing w:after="0"/>
              <w:rPr>
                <w:sz w:val="20"/>
                <w:szCs w:val="20"/>
                <w:color w:val="auto"/>
              </w:rPr>
            </w:pPr>
            <w:r>
              <w:rPr>
                <w:rFonts w:ascii="Arial" w:cs="Arial" w:eastAsia="Arial" w:hAnsi="Arial"/>
                <w:sz w:val="18"/>
                <w:szCs w:val="18"/>
                <w:color w:val="355889"/>
              </w:rPr>
              <w:t>conduct interviews</w:t>
            </w:r>
          </w:p>
        </w:tc>
        <w:tc>
          <w:tcPr>
            <w:tcW w:w="360" w:type="dxa"/>
            <w:vAlign w:val="bottom"/>
            <w:shd w:val="clear" w:color="auto" w:fill="9BA8C3"/>
          </w:tcPr>
          <w:p>
            <w:pPr>
              <w:spacing w:after="0"/>
              <w:rPr>
                <w:sz w:val="18"/>
                <w:szCs w:val="18"/>
                <w:color w:val="auto"/>
              </w:rPr>
            </w:pPr>
          </w:p>
        </w:tc>
        <w:tc>
          <w:tcPr>
            <w:tcW w:w="2360" w:type="dxa"/>
            <w:vAlign w:val="bottom"/>
            <w:shd w:val="clear" w:color="auto" w:fill="9BA8C3"/>
          </w:tcPr>
          <w:p>
            <w:pPr>
              <w:spacing w:after="0"/>
              <w:rPr>
                <w:sz w:val="18"/>
                <w:szCs w:val="18"/>
                <w:color w:val="auto"/>
              </w:rPr>
            </w:pPr>
          </w:p>
        </w:tc>
        <w:tc>
          <w:tcPr>
            <w:tcW w:w="380" w:type="dxa"/>
            <w:vAlign w:val="bottom"/>
            <w:shd w:val="clear" w:color="auto" w:fill="9BA8C3"/>
          </w:tcPr>
          <w:p>
            <w:pPr>
              <w:spacing w:after="0"/>
              <w:rPr>
                <w:sz w:val="18"/>
                <w:szCs w:val="18"/>
                <w:color w:val="auto"/>
              </w:rPr>
            </w:pPr>
          </w:p>
        </w:tc>
        <w:tc>
          <w:tcPr>
            <w:tcW w:w="2620" w:type="dxa"/>
            <w:vAlign w:val="bottom"/>
            <w:shd w:val="clear" w:color="auto" w:fill="9BA8C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9BA8C3"/>
          </w:tcPr>
          <w:p>
            <w:pPr>
              <w:ind w:left="120"/>
              <w:spacing w:after="0"/>
              <w:rPr>
                <w:sz w:val="20"/>
                <w:szCs w:val="20"/>
                <w:color w:val="auto"/>
              </w:rPr>
            </w:pPr>
            <w:r>
              <w:rPr>
                <w:rFonts w:ascii="Arial" w:cs="Arial" w:eastAsia="Arial" w:hAnsi="Arial"/>
                <w:sz w:val="17"/>
                <w:szCs w:val="17"/>
                <w:color w:val="355889"/>
              </w:rPr>
              <w:t>●</w:t>
            </w:r>
          </w:p>
        </w:tc>
        <w:tc>
          <w:tcPr>
            <w:tcW w:w="2420" w:type="dxa"/>
            <w:vAlign w:val="bottom"/>
            <w:shd w:val="clear" w:color="auto" w:fill="9BA8C3"/>
          </w:tcPr>
          <w:p>
            <w:pPr>
              <w:ind w:left="20"/>
              <w:spacing w:after="0"/>
              <w:rPr>
                <w:sz w:val="20"/>
                <w:szCs w:val="20"/>
                <w:color w:val="auto"/>
              </w:rPr>
            </w:pPr>
            <w:r>
              <w:rPr>
                <w:rFonts w:ascii="Arial" w:cs="Arial" w:eastAsia="Arial" w:hAnsi="Arial"/>
                <w:sz w:val="18"/>
                <w:szCs w:val="18"/>
                <w:color w:val="355889"/>
              </w:rPr>
              <w:t>Stockholders</w:t>
            </w:r>
          </w:p>
        </w:tc>
        <w:tc>
          <w:tcPr>
            <w:tcW w:w="340" w:type="dxa"/>
            <w:vAlign w:val="bottom"/>
            <w:vMerge w:val="continue"/>
            <w:shd w:val="clear" w:color="auto" w:fill="9BA8C3"/>
          </w:tcPr>
          <w:p>
            <w:pPr>
              <w:spacing w:after="0"/>
              <w:rPr>
                <w:sz w:val="18"/>
                <w:szCs w:val="18"/>
                <w:color w:val="auto"/>
              </w:rPr>
            </w:pPr>
          </w:p>
        </w:tc>
        <w:tc>
          <w:tcPr>
            <w:tcW w:w="2420" w:type="dxa"/>
            <w:vAlign w:val="bottom"/>
            <w:shd w:val="clear" w:color="auto" w:fill="9BA8C3"/>
          </w:tcPr>
          <w:p>
            <w:pPr>
              <w:ind w:left="20"/>
              <w:spacing w:after="0"/>
              <w:rPr>
                <w:sz w:val="20"/>
                <w:szCs w:val="20"/>
                <w:color w:val="auto"/>
              </w:rPr>
            </w:pPr>
            <w:r>
              <w:rPr>
                <w:rFonts w:ascii="Arial" w:cs="Arial" w:eastAsia="Arial" w:hAnsi="Arial"/>
                <w:sz w:val="18"/>
                <w:szCs w:val="18"/>
                <w:color w:val="355889"/>
              </w:rPr>
              <w:t>Review independence and</w:t>
            </w:r>
          </w:p>
        </w:tc>
        <w:tc>
          <w:tcPr>
            <w:tcW w:w="360" w:type="dxa"/>
            <w:vAlign w:val="bottom"/>
            <w:shd w:val="clear" w:color="auto" w:fill="9BA8C3"/>
          </w:tcPr>
          <w:p>
            <w:pPr>
              <w:spacing w:after="0"/>
              <w:rPr>
                <w:sz w:val="18"/>
                <w:szCs w:val="18"/>
                <w:color w:val="auto"/>
              </w:rPr>
            </w:pPr>
          </w:p>
        </w:tc>
        <w:tc>
          <w:tcPr>
            <w:tcW w:w="2360" w:type="dxa"/>
            <w:vAlign w:val="bottom"/>
            <w:shd w:val="clear" w:color="auto" w:fill="9BA8C3"/>
          </w:tcPr>
          <w:p>
            <w:pPr>
              <w:spacing w:after="0"/>
              <w:rPr>
                <w:sz w:val="18"/>
                <w:szCs w:val="18"/>
                <w:color w:val="auto"/>
              </w:rPr>
            </w:pPr>
          </w:p>
        </w:tc>
        <w:tc>
          <w:tcPr>
            <w:tcW w:w="380" w:type="dxa"/>
            <w:vAlign w:val="bottom"/>
            <w:shd w:val="clear" w:color="auto" w:fill="9BA8C3"/>
          </w:tcPr>
          <w:p>
            <w:pPr>
              <w:spacing w:after="0"/>
              <w:rPr>
                <w:sz w:val="18"/>
                <w:szCs w:val="18"/>
                <w:color w:val="auto"/>
              </w:rPr>
            </w:pPr>
          </w:p>
        </w:tc>
        <w:tc>
          <w:tcPr>
            <w:tcW w:w="2620" w:type="dxa"/>
            <w:vAlign w:val="bottom"/>
            <w:shd w:val="clear" w:color="auto" w:fill="9BA8C3"/>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0" w:type="dxa"/>
            <w:vAlign w:val="bottom"/>
            <w:shd w:val="clear" w:color="auto" w:fill="9BA8C3"/>
          </w:tcPr>
          <w:p>
            <w:pPr>
              <w:spacing w:after="0"/>
              <w:rPr>
                <w:sz w:val="18"/>
                <w:szCs w:val="18"/>
                <w:color w:val="auto"/>
              </w:rPr>
            </w:pPr>
          </w:p>
        </w:tc>
        <w:tc>
          <w:tcPr>
            <w:tcW w:w="2420" w:type="dxa"/>
            <w:vAlign w:val="bottom"/>
            <w:shd w:val="clear" w:color="auto" w:fill="9BA8C3"/>
          </w:tcPr>
          <w:p>
            <w:pPr>
              <w:spacing w:after="0"/>
              <w:rPr>
                <w:sz w:val="18"/>
                <w:szCs w:val="18"/>
                <w:color w:val="auto"/>
              </w:rPr>
            </w:pPr>
          </w:p>
        </w:tc>
        <w:tc>
          <w:tcPr>
            <w:tcW w:w="340" w:type="dxa"/>
            <w:vAlign w:val="bottom"/>
            <w:shd w:val="clear" w:color="auto" w:fill="9BA8C3"/>
          </w:tcPr>
          <w:p>
            <w:pPr>
              <w:spacing w:after="0"/>
              <w:rPr>
                <w:sz w:val="18"/>
                <w:szCs w:val="18"/>
                <w:color w:val="auto"/>
              </w:rPr>
            </w:pPr>
          </w:p>
        </w:tc>
        <w:tc>
          <w:tcPr>
            <w:tcW w:w="2420" w:type="dxa"/>
            <w:vAlign w:val="bottom"/>
            <w:shd w:val="clear" w:color="auto" w:fill="9BA8C3"/>
          </w:tcPr>
          <w:p>
            <w:pPr>
              <w:ind w:left="40"/>
              <w:spacing w:after="0"/>
              <w:rPr>
                <w:sz w:val="20"/>
                <w:szCs w:val="20"/>
                <w:color w:val="auto"/>
              </w:rPr>
            </w:pPr>
            <w:r>
              <w:rPr>
                <w:rFonts w:ascii="Arial" w:cs="Arial" w:eastAsia="Arial" w:hAnsi="Arial"/>
                <w:sz w:val="18"/>
                <w:szCs w:val="18"/>
                <w:color w:val="355889"/>
              </w:rPr>
              <w:t>potential conflicts</w:t>
            </w:r>
          </w:p>
        </w:tc>
        <w:tc>
          <w:tcPr>
            <w:tcW w:w="360" w:type="dxa"/>
            <w:vAlign w:val="bottom"/>
            <w:shd w:val="clear" w:color="auto" w:fill="9BA8C3"/>
          </w:tcPr>
          <w:p>
            <w:pPr>
              <w:spacing w:after="0"/>
              <w:rPr>
                <w:sz w:val="18"/>
                <w:szCs w:val="18"/>
                <w:color w:val="auto"/>
              </w:rPr>
            </w:pPr>
          </w:p>
        </w:tc>
        <w:tc>
          <w:tcPr>
            <w:tcW w:w="2360" w:type="dxa"/>
            <w:vAlign w:val="bottom"/>
            <w:shd w:val="clear" w:color="auto" w:fill="9BA8C3"/>
          </w:tcPr>
          <w:p>
            <w:pPr>
              <w:spacing w:after="0"/>
              <w:rPr>
                <w:sz w:val="18"/>
                <w:szCs w:val="18"/>
                <w:color w:val="auto"/>
              </w:rPr>
            </w:pPr>
          </w:p>
        </w:tc>
        <w:tc>
          <w:tcPr>
            <w:tcW w:w="380" w:type="dxa"/>
            <w:vAlign w:val="bottom"/>
            <w:shd w:val="clear" w:color="auto" w:fill="9BA8C3"/>
          </w:tcPr>
          <w:p>
            <w:pPr>
              <w:spacing w:after="0"/>
              <w:rPr>
                <w:sz w:val="18"/>
                <w:szCs w:val="18"/>
                <w:color w:val="auto"/>
              </w:rPr>
            </w:pPr>
          </w:p>
        </w:tc>
        <w:tc>
          <w:tcPr>
            <w:tcW w:w="2620" w:type="dxa"/>
            <w:vAlign w:val="bottom"/>
            <w:shd w:val="clear" w:color="auto" w:fill="9BA8C3"/>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340" w:type="dxa"/>
            <w:vAlign w:val="bottom"/>
            <w:shd w:val="clear" w:color="auto" w:fill="9BA8C3"/>
          </w:tcPr>
          <w:p>
            <w:pPr>
              <w:spacing w:after="0"/>
              <w:rPr>
                <w:sz w:val="8"/>
                <w:szCs w:val="8"/>
                <w:color w:val="auto"/>
              </w:rPr>
            </w:pPr>
          </w:p>
        </w:tc>
        <w:tc>
          <w:tcPr>
            <w:tcW w:w="2420" w:type="dxa"/>
            <w:vAlign w:val="bottom"/>
            <w:shd w:val="clear" w:color="auto" w:fill="9BA8C3"/>
          </w:tcPr>
          <w:p>
            <w:pPr>
              <w:spacing w:after="0"/>
              <w:rPr>
                <w:sz w:val="8"/>
                <w:szCs w:val="8"/>
                <w:color w:val="auto"/>
              </w:rPr>
            </w:pPr>
          </w:p>
        </w:tc>
        <w:tc>
          <w:tcPr>
            <w:tcW w:w="340" w:type="dxa"/>
            <w:vAlign w:val="bottom"/>
            <w:shd w:val="clear" w:color="auto" w:fill="9BA8C3"/>
          </w:tcPr>
          <w:p>
            <w:pPr>
              <w:spacing w:after="0"/>
              <w:rPr>
                <w:sz w:val="8"/>
                <w:szCs w:val="8"/>
                <w:color w:val="auto"/>
              </w:rPr>
            </w:pPr>
          </w:p>
        </w:tc>
        <w:tc>
          <w:tcPr>
            <w:tcW w:w="2420" w:type="dxa"/>
            <w:vAlign w:val="bottom"/>
            <w:shd w:val="clear" w:color="auto" w:fill="9BA8C3"/>
          </w:tcPr>
          <w:p>
            <w:pPr>
              <w:spacing w:after="0"/>
              <w:rPr>
                <w:sz w:val="8"/>
                <w:szCs w:val="8"/>
                <w:color w:val="auto"/>
              </w:rPr>
            </w:pPr>
          </w:p>
        </w:tc>
        <w:tc>
          <w:tcPr>
            <w:tcW w:w="360" w:type="dxa"/>
            <w:vAlign w:val="bottom"/>
            <w:shd w:val="clear" w:color="auto" w:fill="9BA8C3"/>
          </w:tcPr>
          <w:p>
            <w:pPr>
              <w:spacing w:after="0"/>
              <w:rPr>
                <w:sz w:val="8"/>
                <w:szCs w:val="8"/>
                <w:color w:val="auto"/>
              </w:rPr>
            </w:pPr>
          </w:p>
        </w:tc>
        <w:tc>
          <w:tcPr>
            <w:tcW w:w="2360" w:type="dxa"/>
            <w:vAlign w:val="bottom"/>
            <w:shd w:val="clear" w:color="auto" w:fill="9BA8C3"/>
          </w:tcPr>
          <w:p>
            <w:pPr>
              <w:spacing w:after="0"/>
              <w:rPr>
                <w:sz w:val="8"/>
                <w:szCs w:val="8"/>
                <w:color w:val="auto"/>
              </w:rPr>
            </w:pPr>
          </w:p>
        </w:tc>
        <w:tc>
          <w:tcPr>
            <w:tcW w:w="380" w:type="dxa"/>
            <w:vAlign w:val="bottom"/>
            <w:shd w:val="clear" w:color="auto" w:fill="9BA8C3"/>
          </w:tcPr>
          <w:p>
            <w:pPr>
              <w:spacing w:after="0"/>
              <w:rPr>
                <w:sz w:val="8"/>
                <w:szCs w:val="8"/>
                <w:color w:val="auto"/>
              </w:rPr>
            </w:pPr>
          </w:p>
        </w:tc>
        <w:tc>
          <w:tcPr>
            <w:tcW w:w="2620" w:type="dxa"/>
            <w:vAlign w:val="bottom"/>
            <w:shd w:val="clear" w:color="auto" w:fill="9BA8C3"/>
          </w:tcPr>
          <w:p>
            <w:pPr>
              <w:spacing w:after="0"/>
              <w:rPr>
                <w:sz w:val="8"/>
                <w:szCs w:val="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NCGC Director Recruitment Process</w:t>
      </w:r>
    </w:p>
    <w:p>
      <w:pPr>
        <w:spacing w:after="0" w:line="235"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In making recommendations to the Board, our Nominating and Corporate Governance Committee considers such factors as it deems appropriate, in light of the skills, qualifications and diversity of the other members of the Board. Such factors include diversity with respect to gender and ethnicity. The Nominating and Corporate Governance Committee may also consider the following:</w:t>
      </w:r>
    </w:p>
    <w:p>
      <w:pPr>
        <w:spacing w:after="0" w:line="208" w:lineRule="exact"/>
        <w:rPr>
          <w:sz w:val="20"/>
          <w:szCs w:val="20"/>
          <w:color w:val="auto"/>
        </w:rPr>
      </w:pPr>
    </w:p>
    <w:p>
      <w:pPr>
        <w:ind w:left="540" w:hanging="262"/>
        <w:spacing w:after="0"/>
        <w:tabs>
          <w:tab w:leader="none" w:pos="540" w:val="left"/>
        </w:tabs>
        <w:numPr>
          <w:ilvl w:val="0"/>
          <w:numId w:val="48"/>
        </w:numPr>
        <w:rPr>
          <w:rFonts w:ascii="Arial" w:cs="Arial" w:eastAsia="Arial" w:hAnsi="Arial"/>
          <w:sz w:val="17"/>
          <w:szCs w:val="17"/>
          <w:color w:val="355889"/>
        </w:rPr>
      </w:pPr>
      <w:r>
        <w:rPr>
          <w:rFonts w:ascii="Arial" w:cs="Arial" w:eastAsia="Arial" w:hAnsi="Arial"/>
          <w:sz w:val="18"/>
          <w:szCs w:val="18"/>
          <w:color w:val="auto"/>
        </w:rPr>
        <w:t>ability to bring new perspectives and add to Board discussion and consideration</w:t>
      </w:r>
    </w:p>
    <w:p>
      <w:pPr>
        <w:spacing w:after="0" w:line="63" w:lineRule="exact"/>
        <w:rPr>
          <w:rFonts w:ascii="Arial" w:cs="Arial" w:eastAsia="Arial" w:hAnsi="Arial"/>
          <w:sz w:val="17"/>
          <w:szCs w:val="17"/>
          <w:color w:val="355889"/>
        </w:rPr>
      </w:pPr>
    </w:p>
    <w:p>
      <w:pPr>
        <w:ind w:left="540" w:right="440" w:hanging="262"/>
        <w:spacing w:after="0" w:line="239" w:lineRule="auto"/>
        <w:tabs>
          <w:tab w:leader="none" w:pos="540" w:val="left"/>
        </w:tabs>
        <w:numPr>
          <w:ilvl w:val="0"/>
          <w:numId w:val="48"/>
        </w:numPr>
        <w:rPr>
          <w:rFonts w:ascii="Arial" w:cs="Arial" w:eastAsia="Arial" w:hAnsi="Arial"/>
          <w:sz w:val="17"/>
          <w:szCs w:val="17"/>
          <w:color w:val="355889"/>
        </w:rPr>
      </w:pPr>
      <w:r>
        <w:rPr>
          <w:rFonts w:ascii="Arial" w:cs="Arial" w:eastAsia="Arial" w:hAnsi="Arial"/>
          <w:sz w:val="18"/>
          <w:szCs w:val="18"/>
          <w:color w:val="auto"/>
        </w:rPr>
        <w:t>experience with businesses and other organizations comparable to the Company (including experience managing public companies, marketing experience or experience determining compensation of officers of public companies)</w:t>
      </w:r>
    </w:p>
    <w:p>
      <w:pPr>
        <w:spacing w:after="0" w:line="60" w:lineRule="exact"/>
        <w:rPr>
          <w:rFonts w:ascii="Arial" w:cs="Arial" w:eastAsia="Arial" w:hAnsi="Arial"/>
          <w:sz w:val="17"/>
          <w:szCs w:val="17"/>
          <w:color w:val="355889"/>
        </w:rPr>
      </w:pPr>
    </w:p>
    <w:p>
      <w:pPr>
        <w:ind w:left="540" w:hanging="262"/>
        <w:spacing w:after="0"/>
        <w:tabs>
          <w:tab w:leader="none" w:pos="540" w:val="left"/>
        </w:tabs>
        <w:numPr>
          <w:ilvl w:val="0"/>
          <w:numId w:val="48"/>
        </w:numPr>
        <w:rPr>
          <w:rFonts w:ascii="Arial" w:cs="Arial" w:eastAsia="Arial" w:hAnsi="Arial"/>
          <w:sz w:val="17"/>
          <w:szCs w:val="17"/>
          <w:color w:val="355889"/>
        </w:rPr>
      </w:pPr>
      <w:r>
        <w:rPr>
          <w:rFonts w:ascii="Arial" w:cs="Arial" w:eastAsia="Arial" w:hAnsi="Arial"/>
          <w:sz w:val="18"/>
          <w:szCs w:val="18"/>
          <w:color w:val="auto"/>
        </w:rPr>
        <w:t>the interplay of the candidate’s experience with the experience of other Board members</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48"/>
        </w:numPr>
        <w:rPr>
          <w:rFonts w:ascii="Arial" w:cs="Arial" w:eastAsia="Arial" w:hAnsi="Arial"/>
          <w:sz w:val="17"/>
          <w:szCs w:val="17"/>
          <w:color w:val="355889"/>
        </w:rPr>
      </w:pPr>
      <w:r>
        <w:rPr>
          <w:rFonts w:ascii="Arial" w:cs="Arial" w:eastAsia="Arial" w:hAnsi="Arial"/>
          <w:sz w:val="18"/>
          <w:szCs w:val="18"/>
          <w:color w:val="auto"/>
        </w:rPr>
        <w:t>the candidate’s industry knowledge and experience</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48"/>
        </w:numPr>
        <w:rPr>
          <w:rFonts w:ascii="Arial" w:cs="Arial" w:eastAsia="Arial" w:hAnsi="Arial"/>
          <w:sz w:val="17"/>
          <w:szCs w:val="17"/>
          <w:color w:val="355889"/>
        </w:rPr>
      </w:pPr>
      <w:r>
        <w:rPr>
          <w:rFonts w:ascii="Arial" w:cs="Arial" w:eastAsia="Arial" w:hAnsi="Arial"/>
          <w:sz w:val="18"/>
          <w:szCs w:val="18"/>
          <w:color w:val="auto"/>
        </w:rPr>
        <w:t>the ability of a nominee to devote sufficient time to the affairs of the Company</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48"/>
        </w:numPr>
        <w:rPr>
          <w:rFonts w:ascii="Arial" w:cs="Arial" w:eastAsia="Arial" w:hAnsi="Arial"/>
          <w:sz w:val="17"/>
          <w:szCs w:val="17"/>
          <w:color w:val="355889"/>
        </w:rPr>
      </w:pPr>
      <w:r>
        <w:rPr>
          <w:rFonts w:ascii="Arial" w:cs="Arial" w:eastAsia="Arial" w:hAnsi="Arial"/>
          <w:sz w:val="18"/>
          <w:szCs w:val="18"/>
          <w:color w:val="auto"/>
        </w:rPr>
        <w:t>any actual or potential conflicts of interest and whether the candidate meets the NYSE independence criteria</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48"/>
        </w:numPr>
        <w:rPr>
          <w:rFonts w:ascii="Arial" w:cs="Arial" w:eastAsia="Arial" w:hAnsi="Arial"/>
          <w:sz w:val="17"/>
          <w:szCs w:val="17"/>
          <w:color w:val="355889"/>
        </w:rPr>
      </w:pPr>
      <w:r>
        <w:rPr>
          <w:rFonts w:ascii="Arial" w:cs="Arial" w:eastAsia="Arial" w:hAnsi="Arial"/>
          <w:sz w:val="18"/>
          <w:szCs w:val="18"/>
          <w:color w:val="auto"/>
        </w:rPr>
        <w:t>the extent to which the candidate generally would be a desirable addition to the Board and any committees of the Board</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48"/>
        </w:numPr>
        <w:rPr>
          <w:rFonts w:ascii="Arial" w:cs="Arial" w:eastAsia="Arial" w:hAnsi="Arial"/>
          <w:sz w:val="17"/>
          <w:szCs w:val="17"/>
          <w:color w:val="355889"/>
        </w:rPr>
      </w:pPr>
      <w:r>
        <w:rPr>
          <w:rFonts w:ascii="Arial" w:cs="Arial" w:eastAsia="Arial" w:hAnsi="Arial"/>
          <w:sz w:val="18"/>
          <w:szCs w:val="18"/>
          <w:color w:val="auto"/>
        </w:rPr>
        <w:t>qualifications to serve on appropriate Board committees (including financial acumen)</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48"/>
        </w:numPr>
        <w:rPr>
          <w:rFonts w:ascii="Arial" w:cs="Arial" w:eastAsia="Arial" w:hAnsi="Arial"/>
          <w:sz w:val="17"/>
          <w:szCs w:val="17"/>
          <w:color w:val="355889"/>
        </w:rPr>
      </w:pPr>
      <w:r>
        <w:rPr>
          <w:rFonts w:ascii="Arial" w:cs="Arial" w:eastAsia="Arial" w:hAnsi="Arial"/>
          <w:sz w:val="18"/>
          <w:szCs w:val="18"/>
          <w:color w:val="auto"/>
        </w:rPr>
        <w:t>technological literacy</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48"/>
        </w:numPr>
        <w:rPr>
          <w:rFonts w:ascii="Arial" w:cs="Arial" w:eastAsia="Arial" w:hAnsi="Arial"/>
          <w:sz w:val="17"/>
          <w:szCs w:val="17"/>
          <w:color w:val="355889"/>
        </w:rPr>
      </w:pPr>
      <w:r>
        <w:rPr>
          <w:rFonts w:ascii="Arial" w:cs="Arial" w:eastAsia="Arial" w:hAnsi="Arial"/>
          <w:sz w:val="18"/>
          <w:szCs w:val="18"/>
          <w:color w:val="auto"/>
        </w:rPr>
        <w:t>strategic insight</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48"/>
        </w:numPr>
        <w:rPr>
          <w:rFonts w:ascii="Arial" w:cs="Arial" w:eastAsia="Arial" w:hAnsi="Arial"/>
          <w:sz w:val="17"/>
          <w:szCs w:val="17"/>
          <w:color w:val="355889"/>
        </w:rPr>
      </w:pPr>
      <w:r>
        <w:rPr>
          <w:rFonts w:ascii="Arial" w:cs="Arial" w:eastAsia="Arial" w:hAnsi="Arial"/>
          <w:sz w:val="18"/>
          <w:szCs w:val="18"/>
          <w:color w:val="auto"/>
        </w:rPr>
        <w:t>ability to introduce the Company to business or other opportunities</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48"/>
        </w:numPr>
        <w:rPr>
          <w:rFonts w:ascii="Arial" w:cs="Arial" w:eastAsia="Arial" w:hAnsi="Arial"/>
          <w:sz w:val="17"/>
          <w:szCs w:val="17"/>
          <w:color w:val="355889"/>
        </w:rPr>
      </w:pPr>
      <w:r>
        <w:rPr>
          <w:rFonts w:ascii="Arial" w:cs="Arial" w:eastAsia="Arial" w:hAnsi="Arial"/>
          <w:sz w:val="18"/>
          <w:szCs w:val="18"/>
          <w:color w:val="auto"/>
        </w:rPr>
        <w:t>reputation in the corporate governance community</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48"/>
        </w:numPr>
        <w:rPr>
          <w:rFonts w:ascii="Arial" w:cs="Arial" w:eastAsia="Arial" w:hAnsi="Arial"/>
          <w:sz w:val="17"/>
          <w:szCs w:val="17"/>
          <w:color w:val="355889"/>
        </w:rPr>
      </w:pPr>
      <w:r>
        <w:rPr>
          <w:rFonts w:ascii="Arial" w:cs="Arial" w:eastAsia="Arial" w:hAnsi="Arial"/>
          <w:sz w:val="18"/>
          <w:szCs w:val="18"/>
          <w:color w:val="auto"/>
        </w:rPr>
        <w:t>risk management skills</w:t>
      </w:r>
    </w:p>
    <w:p>
      <w:pPr>
        <w:spacing w:after="0" w:line="212"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In considering a potential nominee, each member of the Nominating and Corporate Governance Committee has the opportunity to interview potential nominees in person or by telephone and to submit questions to such potential candidate.</w:t>
      </w:r>
    </w:p>
    <w:p>
      <w:pPr>
        <w:spacing w:after="0" w:line="20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Our Nominating and Corporate Governance Committee solicits and considers suggestions from our directors and management regarding possible nominees. Our Nominating and Corporate Governance Committee also may procure the services of outside sources or third parties to assist in the identification of director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Role of Third Party Advisors in Director Recruitment Process</w:t>
      </w:r>
    </w:p>
    <w:p>
      <w:pPr>
        <w:spacing w:after="0" w:line="23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FTI Consulting, Inc., or FTI Consulting, assists us in the initial search, screening, interviewing and vetting of potential new directors and worked closely with our Nominating and Corporate Governance Committee in connection with the additions of Craig Hatkoff in 2011, Betsy Atkins in 2015 and Lauren Dillard in 2016.</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Stockholder Recommendations of Director Candidates</w:t>
      </w:r>
    </w:p>
    <w:p>
      <w:pPr>
        <w:spacing w:after="0" w:line="235"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color w:val="auto"/>
        </w:rPr>
        <w:t>Our Nominating and Corporate Governance Committee may consider director candidates recommended by our stockholders. Our Nominating and Corporate Governance Committee will apply the same standards in considering candidates submitted by stockholders as it does in evaluating all other candidates. Any recommendations by stockholders are to follow the procedures outlined under “Other Information—Other Matters—Stockholder Proposals and Nominations” in this proxy statement and should provide the reasons supporting a candidate’s recommendation, the candidate’s qualifications and the candidate’s written consent to being considered as a director nominee.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355889"/>
        </w:rPr>
        <w:t>18 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OUR BOARD OF DIRECTORS AND CORPORATE GOVERNANCE</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Structure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Board Structure</w:t>
      </w:r>
    </w:p>
    <w:p>
      <w:pPr>
        <w:spacing w:after="0" w:line="233"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Board currently consists of nine members. At the annual meeting of stockholders in 2017, stockholders approved a proposal to declassify our Board over three years. Accordingly, our Board of Directors is fully declassified as of our 2020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Board Leadership Structure; Lead Independent Director</w:t>
      </w:r>
    </w:p>
    <w:p>
      <w:pPr>
        <w:spacing w:after="0" w:line="233"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The current leadership structure of the Board consists of Marc Holliday, who serves as the Chairman of the Board and our Chief Executive Officer, John Alschuler, who serves as our Lead Independent Director, and the independent directors who serve as Chairs for the Audit Committee, Compensation Committee and Nominating and Corporate Governance Committee of the Board. With over 15 years of experience leading the Company, Mr. Holliday is uniquely qualified to serve as the Chairman of the Board, and the Board believes that Mr. Holliday’s combined role as Chairman of the Board and Chief Executive Officer, together with the participation of other members of management and independent directors in its leadership structure, helps promote unified leadership and direction for the Company and the Board while also ensuring appropriate independent oversight of management by the Board.</w:t>
      </w:r>
    </w:p>
    <w:p>
      <w:pPr>
        <w:spacing w:after="0" w:line="209"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Board, which is currently comprised of six independent directors and three non-independent directors, established the role of Lead Independent Director beginning in 2010. The Board believes that having a Lead Independent Director improves the overall functioning of the Board and strengthens the ability of the independent directors to effectively exercise independent oversight of management during periods when the Chairman of the Board is not an independent director. The Lead Independent Director is appointed by the independent directors on the Board, and has a number of responsibilities that help facilitate communication among our independent directors and between our independent directors and our Chief Executive Officer and Chairman, and ensure appropriate independent oversight of management by the Board.</w:t>
      </w:r>
    </w:p>
    <w:p>
      <w:pPr>
        <w:spacing w:after="0" w:line="184"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2020 Proxy Statement </w:t>
      </w:r>
      <w:r>
        <w:rPr>
          <w:rFonts w:ascii="Arial" w:cs="Arial" w:eastAsia="Arial" w:hAnsi="Arial"/>
          <w:sz w:val="16"/>
          <w:szCs w:val="16"/>
          <w:color w:val="355889"/>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46501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130" cy="4650105"/>
                    </a:xfrm>
                    <a:prstGeom prst="rect">
                      <a:avLst/>
                    </a:prstGeom>
                    <a:noFill/>
                  </pic:spPr>
                </pic:pic>
              </a:graphicData>
            </a:graphic>
          </wp:anchor>
        </w:drawing>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355889"/>
        </w:rPr>
        <w:t>Role of the Lead Independent Director</w:t>
      </w:r>
    </w:p>
    <w:p>
      <w:pPr>
        <w:spacing w:after="0" w:line="2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 addition to presiding at executive sessions of independent directors, the Lead Independent Director has the responsibility to:</w:t>
      </w:r>
    </w:p>
    <w:p>
      <w:pPr>
        <w:spacing w:after="0" w:line="212" w:lineRule="exact"/>
        <w:rPr>
          <w:sz w:val="20"/>
          <w:szCs w:val="20"/>
          <w:color w:val="auto"/>
        </w:rPr>
      </w:pPr>
    </w:p>
    <w:p>
      <w:pPr>
        <w:ind w:left="520" w:right="440" w:hanging="386"/>
        <w:spacing w:after="0" w:line="239" w:lineRule="auto"/>
        <w:tabs>
          <w:tab w:leader="none" w:pos="520" w:val="left"/>
        </w:tabs>
        <w:numPr>
          <w:ilvl w:val="0"/>
          <w:numId w:val="49"/>
        </w:numPr>
        <w:rPr>
          <w:rFonts w:ascii="Arial" w:cs="Arial" w:eastAsia="Arial" w:hAnsi="Arial"/>
          <w:sz w:val="18"/>
          <w:szCs w:val="18"/>
          <w:color w:val="355889"/>
        </w:rPr>
      </w:pPr>
      <w:r>
        <w:rPr>
          <w:rFonts w:ascii="Arial" w:cs="Arial" w:eastAsia="Arial" w:hAnsi="Arial"/>
          <w:sz w:val="18"/>
          <w:szCs w:val="18"/>
          <w:color w:val="auto"/>
        </w:rPr>
        <w:t>consult with the Chief Executive Officer and Chairman as to an appropriate schedule and agenda for each Board meeting, seeking to ensure that the independent directors can perform their duties effectively and responsibly;</w:t>
      </w:r>
    </w:p>
    <w:p>
      <w:pPr>
        <w:spacing w:after="0" w:line="235" w:lineRule="exact"/>
        <w:rPr>
          <w:rFonts w:ascii="Arial" w:cs="Arial" w:eastAsia="Arial" w:hAnsi="Arial"/>
          <w:sz w:val="18"/>
          <w:szCs w:val="18"/>
          <w:color w:val="355889"/>
        </w:rPr>
      </w:pPr>
    </w:p>
    <w:p>
      <w:pPr>
        <w:ind w:left="520" w:right="160" w:hanging="386"/>
        <w:spacing w:after="0" w:line="239" w:lineRule="auto"/>
        <w:tabs>
          <w:tab w:leader="none" w:pos="520" w:val="left"/>
        </w:tabs>
        <w:numPr>
          <w:ilvl w:val="0"/>
          <w:numId w:val="49"/>
        </w:numPr>
        <w:rPr>
          <w:rFonts w:ascii="Arial" w:cs="Arial" w:eastAsia="Arial" w:hAnsi="Arial"/>
          <w:sz w:val="18"/>
          <w:szCs w:val="18"/>
          <w:color w:val="355889"/>
        </w:rPr>
      </w:pPr>
      <w:r>
        <w:rPr>
          <w:rFonts w:ascii="Arial" w:cs="Arial" w:eastAsia="Arial" w:hAnsi="Arial"/>
          <w:sz w:val="18"/>
          <w:szCs w:val="18"/>
          <w:color w:val="auto"/>
        </w:rPr>
        <w:t>ensure that the independent directors have adequate resources, especially by way of full, timely and relevant information to support their decision making;</w:t>
      </w:r>
    </w:p>
    <w:p>
      <w:pPr>
        <w:spacing w:after="0" w:line="235" w:lineRule="exact"/>
        <w:rPr>
          <w:rFonts w:ascii="Arial" w:cs="Arial" w:eastAsia="Arial" w:hAnsi="Arial"/>
          <w:sz w:val="18"/>
          <w:szCs w:val="18"/>
          <w:color w:val="355889"/>
        </w:rPr>
      </w:pPr>
    </w:p>
    <w:p>
      <w:pPr>
        <w:ind w:left="520" w:right="660" w:hanging="386"/>
        <w:spacing w:after="0" w:line="238" w:lineRule="auto"/>
        <w:tabs>
          <w:tab w:leader="none" w:pos="520" w:val="left"/>
        </w:tabs>
        <w:numPr>
          <w:ilvl w:val="0"/>
          <w:numId w:val="49"/>
        </w:numPr>
        <w:rPr>
          <w:rFonts w:ascii="Arial" w:cs="Arial" w:eastAsia="Arial" w:hAnsi="Arial"/>
          <w:sz w:val="18"/>
          <w:szCs w:val="18"/>
          <w:color w:val="355889"/>
        </w:rPr>
      </w:pPr>
      <w:r>
        <w:rPr>
          <w:rFonts w:ascii="Arial" w:cs="Arial" w:eastAsia="Arial" w:hAnsi="Arial"/>
          <w:sz w:val="18"/>
          <w:szCs w:val="18"/>
          <w:color w:val="auto"/>
        </w:rPr>
        <w:t>advise the Chief Executive Officer and Chairman as to the quality, quantity and timeliness of the information submitted by the Company’s management that is necessary or appropriate for the independent directors to effectively and responsibly perform their duties;</w:t>
      </w:r>
    </w:p>
    <w:p>
      <w:pPr>
        <w:spacing w:after="0" w:line="234" w:lineRule="exact"/>
        <w:rPr>
          <w:rFonts w:ascii="Arial" w:cs="Arial" w:eastAsia="Arial" w:hAnsi="Arial"/>
          <w:sz w:val="18"/>
          <w:szCs w:val="18"/>
          <w:color w:val="355889"/>
        </w:rPr>
      </w:pPr>
    </w:p>
    <w:p>
      <w:pPr>
        <w:ind w:left="520" w:hanging="386"/>
        <w:spacing w:after="0"/>
        <w:tabs>
          <w:tab w:leader="none" w:pos="520" w:val="left"/>
        </w:tabs>
        <w:numPr>
          <w:ilvl w:val="0"/>
          <w:numId w:val="49"/>
        </w:numPr>
        <w:rPr>
          <w:rFonts w:ascii="Arial" w:cs="Arial" w:eastAsia="Arial" w:hAnsi="Arial"/>
          <w:sz w:val="18"/>
          <w:szCs w:val="18"/>
          <w:color w:val="355889"/>
        </w:rPr>
      </w:pPr>
      <w:r>
        <w:rPr>
          <w:rFonts w:ascii="Arial" w:cs="Arial" w:eastAsia="Arial" w:hAnsi="Arial"/>
          <w:sz w:val="18"/>
          <w:szCs w:val="18"/>
          <w:color w:val="auto"/>
        </w:rPr>
        <w:t>recommend to the Board and the Board Committees the retention of advisers and consultants who report directly to the Board;</w:t>
      </w:r>
    </w:p>
    <w:p>
      <w:pPr>
        <w:spacing w:after="0" w:line="238" w:lineRule="exact"/>
        <w:rPr>
          <w:rFonts w:ascii="Arial" w:cs="Arial" w:eastAsia="Arial" w:hAnsi="Arial"/>
          <w:sz w:val="18"/>
          <w:szCs w:val="18"/>
          <w:color w:val="355889"/>
        </w:rPr>
      </w:pPr>
    </w:p>
    <w:p>
      <w:pPr>
        <w:ind w:left="520" w:right="560" w:hanging="386"/>
        <w:spacing w:after="0" w:line="239" w:lineRule="auto"/>
        <w:tabs>
          <w:tab w:leader="none" w:pos="520" w:val="left"/>
        </w:tabs>
        <w:numPr>
          <w:ilvl w:val="0"/>
          <w:numId w:val="49"/>
        </w:numPr>
        <w:rPr>
          <w:rFonts w:ascii="Arial" w:cs="Arial" w:eastAsia="Arial" w:hAnsi="Arial"/>
          <w:sz w:val="18"/>
          <w:szCs w:val="18"/>
          <w:color w:val="355889"/>
        </w:rPr>
      </w:pPr>
      <w:r>
        <w:rPr>
          <w:rFonts w:ascii="Arial" w:cs="Arial" w:eastAsia="Arial" w:hAnsi="Arial"/>
          <w:sz w:val="18"/>
          <w:szCs w:val="18"/>
          <w:color w:val="auto"/>
        </w:rPr>
        <w:t>ensure that independent directors have adequate opportunities to meet and discuss issues in sessions of the independent directors without management present and, as appropriate, call meetings of the Independent Directors;</w:t>
      </w:r>
    </w:p>
    <w:p>
      <w:pPr>
        <w:spacing w:after="0" w:line="235" w:lineRule="exact"/>
        <w:rPr>
          <w:rFonts w:ascii="Arial" w:cs="Arial" w:eastAsia="Arial" w:hAnsi="Arial"/>
          <w:sz w:val="18"/>
          <w:szCs w:val="18"/>
          <w:color w:val="355889"/>
        </w:rPr>
      </w:pPr>
    </w:p>
    <w:p>
      <w:pPr>
        <w:ind w:left="520" w:hanging="386"/>
        <w:spacing w:after="0"/>
        <w:tabs>
          <w:tab w:leader="none" w:pos="520" w:val="left"/>
        </w:tabs>
        <w:numPr>
          <w:ilvl w:val="0"/>
          <w:numId w:val="49"/>
        </w:numPr>
        <w:rPr>
          <w:rFonts w:ascii="Arial" w:cs="Arial" w:eastAsia="Arial" w:hAnsi="Arial"/>
          <w:sz w:val="18"/>
          <w:szCs w:val="18"/>
          <w:color w:val="355889"/>
        </w:rPr>
      </w:pPr>
      <w:r>
        <w:rPr>
          <w:rFonts w:ascii="Arial" w:cs="Arial" w:eastAsia="Arial" w:hAnsi="Arial"/>
          <w:sz w:val="18"/>
          <w:szCs w:val="18"/>
          <w:color w:val="auto"/>
        </w:rPr>
        <w:t>serve as Chairman of the sessions of the independent directors;</w:t>
      </w:r>
    </w:p>
    <w:p>
      <w:pPr>
        <w:spacing w:after="0" w:line="238" w:lineRule="exact"/>
        <w:rPr>
          <w:rFonts w:ascii="Arial" w:cs="Arial" w:eastAsia="Arial" w:hAnsi="Arial"/>
          <w:sz w:val="18"/>
          <w:szCs w:val="18"/>
          <w:color w:val="355889"/>
        </w:rPr>
      </w:pPr>
    </w:p>
    <w:p>
      <w:pPr>
        <w:ind w:left="520" w:right="840" w:hanging="386"/>
        <w:spacing w:after="0" w:line="239" w:lineRule="auto"/>
        <w:tabs>
          <w:tab w:leader="none" w:pos="520" w:val="left"/>
        </w:tabs>
        <w:numPr>
          <w:ilvl w:val="0"/>
          <w:numId w:val="49"/>
        </w:numPr>
        <w:rPr>
          <w:rFonts w:ascii="Arial" w:cs="Arial" w:eastAsia="Arial" w:hAnsi="Arial"/>
          <w:sz w:val="18"/>
          <w:szCs w:val="18"/>
          <w:color w:val="355889"/>
        </w:rPr>
      </w:pPr>
      <w:r>
        <w:rPr>
          <w:rFonts w:ascii="Arial" w:cs="Arial" w:eastAsia="Arial" w:hAnsi="Arial"/>
          <w:sz w:val="18"/>
          <w:szCs w:val="18"/>
          <w:color w:val="auto"/>
        </w:rPr>
        <w:t>serve as principal liaison between the independent directors and the Chief Executive Officer and Chairman of the Company and between the independent directors and senior management;</w:t>
      </w:r>
    </w:p>
    <w:p>
      <w:pPr>
        <w:spacing w:after="0" w:line="235" w:lineRule="exact"/>
        <w:rPr>
          <w:rFonts w:ascii="Arial" w:cs="Arial" w:eastAsia="Arial" w:hAnsi="Arial"/>
          <w:sz w:val="18"/>
          <w:szCs w:val="18"/>
          <w:color w:val="355889"/>
        </w:rPr>
      </w:pPr>
    </w:p>
    <w:p>
      <w:pPr>
        <w:ind w:left="520" w:hanging="386"/>
        <w:spacing w:after="0"/>
        <w:tabs>
          <w:tab w:leader="none" w:pos="520" w:val="left"/>
        </w:tabs>
        <w:numPr>
          <w:ilvl w:val="0"/>
          <w:numId w:val="49"/>
        </w:numPr>
        <w:rPr>
          <w:rFonts w:ascii="Arial" w:cs="Arial" w:eastAsia="Arial" w:hAnsi="Arial"/>
          <w:sz w:val="18"/>
          <w:szCs w:val="18"/>
          <w:color w:val="355889"/>
        </w:rPr>
      </w:pPr>
      <w:r>
        <w:rPr>
          <w:rFonts w:ascii="Arial" w:cs="Arial" w:eastAsia="Arial" w:hAnsi="Arial"/>
          <w:sz w:val="18"/>
          <w:szCs w:val="18"/>
          <w:color w:val="auto"/>
        </w:rPr>
        <w:t>communicate to management, as appropriate, the results of private discussions among independent directors;</w:t>
      </w:r>
    </w:p>
    <w:p>
      <w:pPr>
        <w:spacing w:after="0" w:line="238" w:lineRule="exact"/>
        <w:rPr>
          <w:rFonts w:ascii="Arial" w:cs="Arial" w:eastAsia="Arial" w:hAnsi="Arial"/>
          <w:sz w:val="18"/>
          <w:szCs w:val="18"/>
          <w:color w:val="355889"/>
        </w:rPr>
      </w:pPr>
    </w:p>
    <w:p>
      <w:pPr>
        <w:ind w:left="520" w:hanging="386"/>
        <w:spacing w:after="0"/>
        <w:tabs>
          <w:tab w:leader="none" w:pos="520" w:val="left"/>
        </w:tabs>
        <w:numPr>
          <w:ilvl w:val="0"/>
          <w:numId w:val="49"/>
        </w:numPr>
        <w:rPr>
          <w:rFonts w:ascii="Arial" w:cs="Arial" w:eastAsia="Arial" w:hAnsi="Arial"/>
          <w:sz w:val="18"/>
          <w:szCs w:val="18"/>
          <w:color w:val="355889"/>
        </w:rPr>
      </w:pPr>
      <w:r>
        <w:rPr>
          <w:rFonts w:ascii="Arial" w:cs="Arial" w:eastAsia="Arial" w:hAnsi="Arial"/>
          <w:sz w:val="18"/>
          <w:szCs w:val="18"/>
          <w:color w:val="auto"/>
        </w:rPr>
        <w:t>chair the meetings of the Board when the Chairman is not present;</w:t>
      </w:r>
    </w:p>
    <w:p>
      <w:pPr>
        <w:spacing w:after="0" w:line="238" w:lineRule="exact"/>
        <w:rPr>
          <w:rFonts w:ascii="Arial" w:cs="Arial" w:eastAsia="Arial" w:hAnsi="Arial"/>
          <w:sz w:val="18"/>
          <w:szCs w:val="18"/>
          <w:color w:val="355889"/>
        </w:rPr>
      </w:pPr>
    </w:p>
    <w:p>
      <w:pPr>
        <w:ind w:left="520" w:right="220" w:hanging="386"/>
        <w:spacing w:after="0" w:line="238" w:lineRule="auto"/>
        <w:tabs>
          <w:tab w:leader="none" w:pos="520" w:val="left"/>
        </w:tabs>
        <w:numPr>
          <w:ilvl w:val="0"/>
          <w:numId w:val="49"/>
        </w:numPr>
        <w:rPr>
          <w:rFonts w:ascii="Arial" w:cs="Arial" w:eastAsia="Arial" w:hAnsi="Arial"/>
          <w:sz w:val="18"/>
          <w:szCs w:val="18"/>
          <w:color w:val="355889"/>
        </w:rPr>
      </w:pPr>
      <w:r>
        <w:rPr>
          <w:rFonts w:ascii="Arial" w:cs="Arial" w:eastAsia="Arial" w:hAnsi="Arial"/>
          <w:sz w:val="18"/>
          <w:szCs w:val="18"/>
          <w:color w:val="auto"/>
        </w:rPr>
        <w:t>with respect to questions and comments directed to the Lead Independent Director or to the independent directors as a group, determine the appropriate means of response, with such consultation with the Chief Executive Officer and Chairman and other directors as the Lead Independent Director may deem appropriate; and</w:t>
      </w:r>
    </w:p>
    <w:p>
      <w:pPr>
        <w:spacing w:after="0" w:line="234" w:lineRule="exact"/>
        <w:rPr>
          <w:rFonts w:ascii="Arial" w:cs="Arial" w:eastAsia="Arial" w:hAnsi="Arial"/>
          <w:sz w:val="18"/>
          <w:szCs w:val="18"/>
          <w:color w:val="355889"/>
        </w:rPr>
      </w:pPr>
    </w:p>
    <w:p>
      <w:pPr>
        <w:ind w:left="520" w:hanging="386"/>
        <w:spacing w:after="0"/>
        <w:tabs>
          <w:tab w:leader="none" w:pos="520" w:val="left"/>
        </w:tabs>
        <w:numPr>
          <w:ilvl w:val="0"/>
          <w:numId w:val="49"/>
        </w:numPr>
        <w:rPr>
          <w:rFonts w:ascii="Arial" w:cs="Arial" w:eastAsia="Arial" w:hAnsi="Arial"/>
          <w:sz w:val="18"/>
          <w:szCs w:val="18"/>
          <w:color w:val="355889"/>
        </w:rPr>
      </w:pPr>
      <w:r>
        <w:rPr>
          <w:rFonts w:ascii="Arial" w:cs="Arial" w:eastAsia="Arial" w:hAnsi="Arial"/>
          <w:sz w:val="18"/>
          <w:szCs w:val="18"/>
          <w:color w:val="auto"/>
        </w:rPr>
        <w:t>perform such other duties as the Board from time to time may delegate.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Board and Committee Self-Evaluations</w:t>
      </w:r>
    </w:p>
    <w:p>
      <w:pPr>
        <w:spacing w:after="0" w:line="23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Board believes that good governance can only be achieved through rigorous self-evaluation. Each year, our Nominating and Corporate Governance Committee establishes formal self-assessment procedures that are consistent with our Governance Principles, NYSE listing requirements and best practices identified during prior self-evaluations. The Board also engages with stockholders and third party advisers throughout the year to discuss corporate governance practices, and to ensure that the Board and its committees follow practices that are optimal for the Company and its stockholders while also delivering superior total return. The Board then conducts its annual evaluation to determine whether it and its committees function effectively, with independent directors meeting separately with outside counsel. The discussions with stockholders, as well as the evaluations, are the basis for the Board’s annual review of possible changes to the Company’s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054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054100"/>
                    </a:xfrm>
                    <a:prstGeom prst="rect">
                      <a:avLst/>
                    </a:prstGeom>
                    <a:noFill/>
                  </pic:spPr>
                </pic:pic>
              </a:graphicData>
            </a:graphic>
          </wp:anchor>
        </w:drawing>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355889"/>
        </w:rPr>
        <w:t>Board Evaluation Process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423"/>
        </w:trPr>
        <w:tc>
          <w:tcPr>
            <w:tcW w:w="3920" w:type="dxa"/>
            <w:vAlign w:val="bottom"/>
          </w:tcPr>
          <w:p>
            <w:pPr>
              <w:ind w:left="120"/>
              <w:spacing w:after="0"/>
              <w:rPr>
                <w:sz w:val="20"/>
                <w:szCs w:val="20"/>
                <w:color w:val="auto"/>
              </w:rPr>
            </w:pPr>
            <w:r>
              <w:rPr>
                <w:rFonts w:ascii="Arial" w:cs="Arial" w:eastAsia="Arial" w:hAnsi="Arial"/>
                <w:sz w:val="36"/>
                <w:szCs w:val="36"/>
                <w:color w:val="FFFFFF"/>
              </w:rPr>
              <w:t xml:space="preserve">1 </w:t>
            </w:r>
            <w:r>
              <w:rPr>
                <w:rFonts w:ascii="Arial" w:cs="Arial" w:eastAsia="Arial" w:hAnsi="Arial"/>
                <w:sz w:val="17"/>
                <w:szCs w:val="17"/>
                <w:b w:val="1"/>
                <w:bCs w:val="1"/>
                <w:color w:val="FFFFFF"/>
              </w:rPr>
              <w:t>Initiate Process</w:t>
            </w:r>
          </w:p>
        </w:tc>
        <w:tc>
          <w:tcPr>
            <w:tcW w:w="3700" w:type="dxa"/>
            <w:vAlign w:val="bottom"/>
          </w:tcPr>
          <w:p>
            <w:pPr>
              <w:ind w:left="280"/>
              <w:spacing w:after="0"/>
              <w:rPr>
                <w:sz w:val="20"/>
                <w:szCs w:val="20"/>
                <w:color w:val="auto"/>
              </w:rPr>
            </w:pPr>
            <w:r>
              <w:rPr>
                <w:rFonts w:ascii="Arial" w:cs="Arial" w:eastAsia="Arial" w:hAnsi="Arial"/>
                <w:sz w:val="36"/>
                <w:szCs w:val="36"/>
                <w:color w:val="FFFFFF"/>
              </w:rPr>
              <w:t xml:space="preserve">2 </w:t>
            </w:r>
            <w:r>
              <w:rPr>
                <w:rFonts w:ascii="Arial" w:cs="Arial" w:eastAsia="Arial" w:hAnsi="Arial"/>
                <w:sz w:val="17"/>
                <w:szCs w:val="17"/>
                <w:b w:val="1"/>
                <w:bCs w:val="1"/>
                <w:color w:val="FFFFFF"/>
              </w:rPr>
              <w:t>Conduct Evaluation</w:t>
            </w:r>
          </w:p>
        </w:tc>
        <w:tc>
          <w:tcPr>
            <w:tcW w:w="3640" w:type="dxa"/>
            <w:vAlign w:val="bottom"/>
          </w:tcPr>
          <w:p>
            <w:pPr>
              <w:ind w:left="140"/>
              <w:spacing w:after="0"/>
              <w:rPr>
                <w:sz w:val="20"/>
                <w:szCs w:val="20"/>
                <w:color w:val="auto"/>
              </w:rPr>
            </w:pPr>
            <w:r>
              <w:rPr>
                <w:rFonts w:ascii="Arial" w:cs="Arial" w:eastAsia="Arial" w:hAnsi="Arial"/>
                <w:sz w:val="36"/>
                <w:szCs w:val="36"/>
                <w:color w:val="FFFFFF"/>
              </w:rPr>
              <w:t xml:space="preserve">3 </w:t>
            </w:r>
            <w:r>
              <w:rPr>
                <w:rFonts w:ascii="Arial" w:cs="Arial" w:eastAsia="Arial" w:hAnsi="Arial"/>
                <w:sz w:val="17"/>
                <w:szCs w:val="17"/>
                <w:b w:val="1"/>
                <w:bCs w:val="1"/>
                <w:color w:val="FFFFFF"/>
              </w:rPr>
              <w:t>Implement Conclusions</w:t>
            </w:r>
          </w:p>
        </w:tc>
      </w:tr>
      <w:tr>
        <w:trPr>
          <w:trHeight w:val="203"/>
        </w:trPr>
        <w:tc>
          <w:tcPr>
            <w:tcW w:w="3920" w:type="dxa"/>
            <w:vAlign w:val="bottom"/>
          </w:tcPr>
          <w:p>
            <w:pPr>
              <w:ind w:left="120"/>
              <w:spacing w:after="0" w:line="202" w:lineRule="exact"/>
              <w:rPr>
                <w:sz w:val="20"/>
                <w:szCs w:val="20"/>
                <w:color w:val="auto"/>
              </w:rPr>
            </w:pPr>
            <w:r>
              <w:rPr>
                <w:rFonts w:ascii="Arial" w:cs="Arial" w:eastAsia="Arial" w:hAnsi="Arial"/>
                <w:sz w:val="18"/>
                <w:szCs w:val="18"/>
                <w:color w:val="355889"/>
              </w:rPr>
              <w:t>NCGC establishes Board and committee self-</w:t>
            </w:r>
          </w:p>
        </w:tc>
        <w:tc>
          <w:tcPr>
            <w:tcW w:w="3700" w:type="dxa"/>
            <w:vAlign w:val="bottom"/>
          </w:tcPr>
          <w:p>
            <w:pPr>
              <w:ind w:left="280"/>
              <w:spacing w:after="0" w:line="202" w:lineRule="exact"/>
              <w:rPr>
                <w:sz w:val="20"/>
                <w:szCs w:val="20"/>
                <w:color w:val="auto"/>
              </w:rPr>
            </w:pPr>
            <w:r>
              <w:rPr>
                <w:rFonts w:ascii="Arial" w:cs="Arial" w:eastAsia="Arial" w:hAnsi="Arial"/>
                <w:sz w:val="18"/>
                <w:szCs w:val="18"/>
                <w:color w:val="355889"/>
              </w:rPr>
              <w:t>Directors meet to formally discuss the</w:t>
            </w:r>
          </w:p>
        </w:tc>
        <w:tc>
          <w:tcPr>
            <w:tcW w:w="3640" w:type="dxa"/>
            <w:vAlign w:val="bottom"/>
          </w:tcPr>
          <w:p>
            <w:pPr>
              <w:ind w:left="140"/>
              <w:spacing w:after="0" w:line="202" w:lineRule="exact"/>
              <w:rPr>
                <w:sz w:val="20"/>
                <w:szCs w:val="20"/>
                <w:color w:val="auto"/>
              </w:rPr>
            </w:pPr>
            <w:r>
              <w:rPr>
                <w:rFonts w:ascii="Arial" w:cs="Arial" w:eastAsia="Arial" w:hAnsi="Arial"/>
                <w:sz w:val="18"/>
                <w:szCs w:val="18"/>
                <w:color w:val="355889"/>
              </w:rPr>
              <w:t>The Board and each committee implement</w:t>
            </w:r>
          </w:p>
        </w:tc>
      </w:tr>
      <w:tr>
        <w:trPr>
          <w:trHeight w:val="203"/>
        </w:trPr>
        <w:tc>
          <w:tcPr>
            <w:tcW w:w="3920" w:type="dxa"/>
            <w:vAlign w:val="bottom"/>
          </w:tcPr>
          <w:p>
            <w:pPr>
              <w:ind w:left="120"/>
              <w:spacing w:after="0" w:line="202" w:lineRule="exact"/>
              <w:rPr>
                <w:sz w:val="20"/>
                <w:szCs w:val="20"/>
                <w:color w:val="auto"/>
              </w:rPr>
            </w:pPr>
            <w:r>
              <w:rPr>
                <w:rFonts w:ascii="Arial" w:cs="Arial" w:eastAsia="Arial" w:hAnsi="Arial"/>
                <w:sz w:val="18"/>
                <w:szCs w:val="18"/>
                <w:color w:val="355889"/>
              </w:rPr>
              <w:t>evaluation process, including incorporation of</w:t>
            </w:r>
          </w:p>
        </w:tc>
        <w:tc>
          <w:tcPr>
            <w:tcW w:w="3700" w:type="dxa"/>
            <w:vAlign w:val="bottom"/>
          </w:tcPr>
          <w:p>
            <w:pPr>
              <w:ind w:left="280"/>
              <w:spacing w:after="0" w:line="202" w:lineRule="exact"/>
              <w:rPr>
                <w:sz w:val="20"/>
                <w:szCs w:val="20"/>
                <w:color w:val="auto"/>
              </w:rPr>
            </w:pPr>
            <w:r>
              <w:rPr>
                <w:rFonts w:ascii="Arial" w:cs="Arial" w:eastAsia="Arial" w:hAnsi="Arial"/>
                <w:sz w:val="18"/>
                <w:szCs w:val="18"/>
                <w:color w:val="355889"/>
              </w:rPr>
              <w:t>functioning of the Board and any</w:t>
            </w:r>
          </w:p>
        </w:tc>
        <w:tc>
          <w:tcPr>
            <w:tcW w:w="3640" w:type="dxa"/>
            <w:vAlign w:val="bottom"/>
          </w:tcPr>
          <w:p>
            <w:pPr>
              <w:ind w:left="140"/>
              <w:spacing w:after="0" w:line="202" w:lineRule="exact"/>
              <w:rPr>
                <w:sz w:val="20"/>
                <w:szCs w:val="20"/>
                <w:color w:val="auto"/>
              </w:rPr>
            </w:pPr>
            <w:r>
              <w:rPr>
                <w:rFonts w:ascii="Arial" w:cs="Arial" w:eastAsia="Arial" w:hAnsi="Arial"/>
                <w:sz w:val="18"/>
                <w:szCs w:val="18"/>
                <w:color w:val="355889"/>
              </w:rPr>
              <w:t>proposed governance improvements with</w:t>
            </w:r>
          </w:p>
        </w:tc>
      </w:tr>
      <w:tr>
        <w:trPr>
          <w:trHeight w:val="203"/>
        </w:trPr>
        <w:tc>
          <w:tcPr>
            <w:tcW w:w="3920" w:type="dxa"/>
            <w:vAlign w:val="bottom"/>
          </w:tcPr>
          <w:p>
            <w:pPr>
              <w:ind w:left="120"/>
              <w:spacing w:after="0" w:line="202" w:lineRule="exact"/>
              <w:rPr>
                <w:sz w:val="20"/>
                <w:szCs w:val="20"/>
                <w:color w:val="auto"/>
              </w:rPr>
            </w:pPr>
            <w:r>
              <w:rPr>
                <w:rFonts w:ascii="Arial" w:cs="Arial" w:eastAsia="Arial" w:hAnsi="Arial"/>
                <w:sz w:val="18"/>
                <w:szCs w:val="18"/>
                <w:color w:val="355889"/>
              </w:rPr>
              <w:t>process improvements from previous review</w:t>
            </w:r>
          </w:p>
        </w:tc>
        <w:tc>
          <w:tcPr>
            <w:tcW w:w="3700" w:type="dxa"/>
            <w:vAlign w:val="bottom"/>
          </w:tcPr>
          <w:p>
            <w:pPr>
              <w:ind w:left="280"/>
              <w:spacing w:after="0" w:line="202" w:lineRule="exact"/>
              <w:rPr>
                <w:sz w:val="20"/>
                <w:szCs w:val="20"/>
                <w:color w:val="auto"/>
              </w:rPr>
            </w:pPr>
            <w:r>
              <w:rPr>
                <w:rFonts w:ascii="Arial" w:cs="Arial" w:eastAsia="Arial" w:hAnsi="Arial"/>
                <w:sz w:val="18"/>
                <w:szCs w:val="18"/>
                <w:color w:val="355889"/>
              </w:rPr>
              <w:t>committees on which they serve to identify</w:t>
            </w:r>
          </w:p>
        </w:tc>
        <w:tc>
          <w:tcPr>
            <w:tcW w:w="3640" w:type="dxa"/>
            <w:vAlign w:val="bottom"/>
          </w:tcPr>
          <w:p>
            <w:pPr>
              <w:ind w:left="140"/>
              <w:spacing w:after="0" w:line="202" w:lineRule="exact"/>
              <w:rPr>
                <w:sz w:val="20"/>
                <w:szCs w:val="20"/>
                <w:color w:val="auto"/>
              </w:rPr>
            </w:pPr>
            <w:r>
              <w:rPr>
                <w:rFonts w:ascii="Arial" w:cs="Arial" w:eastAsia="Arial" w:hAnsi="Arial"/>
                <w:sz w:val="18"/>
                <w:szCs w:val="18"/>
                <w:color w:val="355889"/>
              </w:rPr>
              <w:t>assistance of management and third party</w:t>
            </w:r>
          </w:p>
        </w:tc>
      </w:tr>
      <w:tr>
        <w:trPr>
          <w:trHeight w:val="211"/>
        </w:trPr>
        <w:tc>
          <w:tcPr>
            <w:tcW w:w="3920" w:type="dxa"/>
            <w:vAlign w:val="bottom"/>
          </w:tcPr>
          <w:p>
            <w:pPr>
              <w:ind w:left="120"/>
              <w:spacing w:after="0"/>
              <w:rPr>
                <w:sz w:val="20"/>
                <w:szCs w:val="20"/>
                <w:color w:val="auto"/>
              </w:rPr>
            </w:pPr>
            <w:r>
              <w:rPr>
                <w:rFonts w:ascii="Arial" w:cs="Arial" w:eastAsia="Arial" w:hAnsi="Arial"/>
                <w:sz w:val="18"/>
                <w:szCs w:val="18"/>
                <w:color w:val="355889"/>
              </w:rPr>
              <w:t>cycle</w:t>
            </w:r>
          </w:p>
        </w:tc>
        <w:tc>
          <w:tcPr>
            <w:tcW w:w="3700" w:type="dxa"/>
            <w:vAlign w:val="bottom"/>
          </w:tcPr>
          <w:p>
            <w:pPr>
              <w:ind w:left="280"/>
              <w:spacing w:after="0"/>
              <w:rPr>
                <w:sz w:val="20"/>
                <w:szCs w:val="20"/>
                <w:color w:val="auto"/>
              </w:rPr>
            </w:pPr>
            <w:r>
              <w:rPr>
                <w:rFonts w:ascii="Arial" w:cs="Arial" w:eastAsia="Arial" w:hAnsi="Arial"/>
                <w:sz w:val="18"/>
                <w:szCs w:val="18"/>
                <w:color w:val="355889"/>
              </w:rPr>
              <w:t>areas for improvement</w:t>
            </w:r>
          </w:p>
        </w:tc>
        <w:tc>
          <w:tcPr>
            <w:tcW w:w="3640" w:type="dxa"/>
            <w:vAlign w:val="bottom"/>
          </w:tcPr>
          <w:p>
            <w:pPr>
              <w:ind w:left="140"/>
              <w:spacing w:after="0"/>
              <w:rPr>
                <w:sz w:val="20"/>
                <w:szCs w:val="20"/>
                <w:color w:val="auto"/>
              </w:rPr>
            </w:pPr>
            <w:r>
              <w:rPr>
                <w:rFonts w:ascii="Arial" w:cs="Arial" w:eastAsia="Arial" w:hAnsi="Arial"/>
                <w:sz w:val="18"/>
                <w:szCs w:val="18"/>
                <w:color w:val="355889"/>
              </w:rPr>
              <w:t>advisors, as needed</w:t>
            </w:r>
          </w:p>
        </w:tc>
      </w:tr>
      <w:tr>
        <w:trPr>
          <w:trHeight w:val="526"/>
        </w:trPr>
        <w:tc>
          <w:tcPr>
            <w:tcW w:w="3920" w:type="dxa"/>
            <w:vAlign w:val="bottom"/>
          </w:tcPr>
          <w:p>
            <w:pPr>
              <w:spacing w:after="0"/>
              <w:rPr>
                <w:sz w:val="20"/>
                <w:szCs w:val="20"/>
                <w:color w:val="auto"/>
              </w:rPr>
            </w:pPr>
            <w:r>
              <w:rPr>
                <w:rFonts w:ascii="Arial" w:cs="Arial" w:eastAsia="Arial" w:hAnsi="Arial"/>
                <w:sz w:val="18"/>
                <w:szCs w:val="18"/>
                <w:color w:val="355889"/>
              </w:rPr>
              <w:t xml:space="preserve">20  </w:t>
            </w:r>
            <w:r>
              <w:rPr>
                <w:rFonts w:ascii="Arial" w:cs="Arial" w:eastAsia="Arial" w:hAnsi="Arial"/>
                <w:sz w:val="18"/>
                <w:szCs w:val="18"/>
                <w:color w:val="000000"/>
              </w:rPr>
              <w:t>SL Green Realty Corp.</w:t>
            </w:r>
          </w:p>
        </w:tc>
        <w:tc>
          <w:tcPr>
            <w:tcW w:w="37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5"/>
        </w:trPr>
        <w:tc>
          <w:tcPr>
            <w:tcW w:w="3920" w:type="dxa"/>
            <w:vAlign w:val="bottom"/>
            <w:tcBorders>
              <w:bottom w:val="single" w:sz="8" w:color="808080"/>
            </w:tcBorders>
          </w:tcPr>
          <w:p>
            <w:pPr>
              <w:spacing w:after="0"/>
              <w:rPr>
                <w:sz w:val="18"/>
                <w:szCs w:val="18"/>
                <w:color w:val="auto"/>
              </w:rPr>
            </w:pPr>
          </w:p>
        </w:tc>
        <w:tc>
          <w:tcPr>
            <w:tcW w:w="3700" w:type="dxa"/>
            <w:vAlign w:val="bottom"/>
            <w:tcBorders>
              <w:bottom w:val="single" w:sz="8" w:color="808080"/>
            </w:tcBorders>
          </w:tcPr>
          <w:p>
            <w:pPr>
              <w:spacing w:after="0"/>
              <w:rPr>
                <w:sz w:val="18"/>
                <w:szCs w:val="18"/>
                <w:color w:val="auto"/>
              </w:rPr>
            </w:pPr>
          </w:p>
        </w:tc>
        <w:tc>
          <w:tcPr>
            <w:tcW w:w="36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OUR BOARD OF DIRECTORS AND CORPORATE GOVERNANCE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355889"/>
        </w:rPr>
        <w:t>Director Independence</w:t>
      </w:r>
    </w:p>
    <w:p>
      <w:pPr>
        <w:spacing w:after="0" w:line="23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Our Governance Principles provide that a majority of our directors serving on the Board must be independent as required by the listing standards of the NYSE and the applicable rules promulgated by the SEC. In addition, the Board adopted director independence standards that assist the Board in making its determinations with respect to the independence of directors. The Board has reviewed all relevant facts and circumstances and considered all applicable relationships of which the Board had knowledge, between or among the directors and the Company or our management (some of such relationships are described in the section of this proxy statement entitled “Certain Relationships and Related Party Transactions”). Based upon this review, the Board has determined that each of the following directors and director nominees has no direct or indirect material relationship with us and is independent under the listing standards of the NYSE, the applicable rules promulgated by the SEC and our director independence standards: Mses. Betsy Atkins and Lauren B. Dillard and Messrs. John H. Alschuler, Edwin T. Burton, III, Craig M. Hatkoff and John S. Levy. The Board has determined that Messrs. Stephen L. Green, Marc Holliday and Andrew W. Mathias, our three other directors, are not independent because they are also executive officers of the Company or have been within the last three years.</w:t>
      </w:r>
    </w:p>
    <w:p>
      <w:pPr>
        <w:spacing w:after="0" w:line="186"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In determining that Ms. Dillard qualified as an independent director, the Board considered the Company’s relationship with The Carlyle Group, which entered into a lease for office space at One Vanderbilt.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355889"/>
        </w:rPr>
        <w:t>Executive Sessions of Non-Management Directors</w:t>
      </w:r>
    </w:p>
    <w:p>
      <w:pPr>
        <w:spacing w:after="0" w:line="23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Governance Principles require the non-management directors serving on the Board to meet in an executive session at least annually without the presence of any directors or other persons who are part of our management. In accordance with such requirement, the independent directors meet in executive sessions from time to time on such a basis. The executive sessions are regularly chaired by our Lead Independent Director.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355889"/>
        </w:rPr>
        <w:t>Communications with the Board</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have a process by which stockholders and/or other parties may communicate with the Board, individual directors (including the independent directors) or independent directors as a group. Any such communications may be sent to the Board or any named individual director (including the independent directors), by U.S. mail or overnight delivery and should be directed to Andrew S. Levine, Secretary, at SL Green Realty Corp., 420 Lexington Avenue, New York, New York 10170-1881. Mr. Levine forwards all such communications to the intended recipient or recipients. Any such communications may be made anonymously.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355889"/>
        </w:rPr>
        <w:t>Director Attendance</w:t>
      </w:r>
    </w:p>
    <w:p>
      <w:pPr>
        <w:spacing w:after="0" w:line="234"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The Board held four meetings and all directors attended 75% or more of the Board meetings and meetings of the committees on which they served during the periods they served during fiscal year 2019. In addition to participating in formal meetings, our Board members regularly communicate with each other, members of management and advisors and take action by written consent.</w:t>
      </w:r>
    </w:p>
    <w:p>
      <w:pPr>
        <w:spacing w:after="0" w:line="208"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We encourage each member of the Board to attend each annual meeting of stockholders. Two of our directors attended the annual meeting of stockholders held on May 30, 2019.</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has four standing committees: an Audit Committee, a Compensation Committee, a Nominating and Corporate Governance Committee and an Executive Committee. The current charters for each of the Audit Committee, Compensation Committee and Nominating and Corporate Governance Committee are available on our corporate website at www.slgreen. com under the “Investors—Corporate Governance” section. Further, we will provide a copy of these charters without charge to each stockholder upon written request. Requests for copies should be addressed to Andrew S. Levine, Secretary, at SL Green Realty Corp., 420 Lexington Avenue, New York, New York 10170-1881. From time to time, the Board also may create additional committees for such purposes as the Board may determine.</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Audit Committee</w:t>
      </w:r>
    </w:p>
    <w:p>
      <w:pPr>
        <w:spacing w:after="0" w:line="23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Audit Committee consists of Edwin T. Burton, III (Chair), Betsy S. Atkins, Lauren B. Dillard and Craig M. Hatkoff, each of whom is independent within the meaning of the rules of the NYSE and the SEC and each of whom meets the financial literacy standard required by the rules of the NYSE. Our Audit Committee’s primary purpose is to select and appoint our independent registered public accounting firm and to 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 public accounting firm. Our Audit Committee also prepares the report that the rules of the SEC require be included in this proxy statement and provides an open avenue of communication among the Company’s independent registered public accounting firm, its internal auditors, its management and the Board. 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 Our independent registered public accounting firm is responsible for planning and carrying out a proper audit of our annual financial statements prior to the filing of our Annual Report on Form 10-K, reviewing our quarterly financial statements prior to the filing of each Quarterly Report on Form 10-Q and annually auditing the effectiveness of our internal control over financial reporting and other procedures. Our Audit Committee held 12 meetings during fiscal year 2019. Additional information regarding the functions performed by our Audit Committee is set forth in the “Audit Committee Report” included in this annual proxy statement.</w:t>
      </w: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Audit Committee Financial Expert</w:t>
      </w:r>
    </w:p>
    <w:p>
      <w:pPr>
        <w:spacing w:after="0" w:line="23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Board determined that Edwin T. Burton, III qualifies as an “audit committee financial expert,” as defined in Item 407(d) of SEC Regulation S-K.</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Compensation Committee</w:t>
      </w:r>
    </w:p>
    <w:p>
      <w:pPr>
        <w:spacing w:after="0" w:line="23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Compensation Committee consists of Lauren B. Dillard (Chair), John H. Alschuler, Edwin T. Burton, III and John S. Levy, each of whom is independent within the meaning of the rules of the NYSE. Our Compensation Committee’s primary purposes are to determine how the Company’s Chief Executive Officer should be compensated; to administer the Company’s employee benefit plans and executive compensation programs; to determine compensation of our executive officers other than our Chief Executive Officer; and to produce the report on executive compensation that is required to be included in this proxy statement. With respect to the compensation of our executive officers, our Compensation Committee solicits recommendations from our Chief Executive Officer regarding total compensation for all executive officers other than the Chief Executive Officer and reviews his recommendations in terms of total compensation and the allocation of such compensation among base salary, annual bonus amounts and other long-term incentive compensation as well as the allocation of such items between cash and equity compensation. Our Compensation Committee retained Gressle &amp; McGinley LLC as its independent outside compensation consulting firm and engaged Gressle &amp; McGinley LLC to provide our Compensation Committee with relevant data concerning the marketplace, our peer group and its own independent analysis and recommendations concerning executive compensation. Gressle &amp; McGinley LLC regularly participates in Compensation Committee meetings. See “Executive Compensation—Compensation Discussion and Analysis.” Our Compensation Committee held three meetings during fiscal year 2019. In addition to participating in formal meetings, our Compensation Committee members regularly communicate with each other, members of management and advisors and take action by written consent.</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Nominating and Corporate Governance Committee</w:t>
      </w:r>
    </w:p>
    <w:p>
      <w:pPr>
        <w:spacing w:after="0" w:line="23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Nominating and Corporate Governance Committee consists of Craig M. Hatkoff (Chair), John H. Alschuler, Betsy Atkins and John S. Levy, each of whom is independent within the meaning of the rules of the NYSE. Our Nominating and Corporate Governance Committee’s primary purposes are to identify individuals qualified to fill vacancies or newly-created positions on the Board; to recommend to the Board the persons it should nominate for election as directors at annual meetings of the Company’s stockholders; to recommend directors to serve on all committees of the Board; and to develop and recommend to the Board governance principles applicable to the Company. Our Nominating and Corporate Governance Committee held two meetings during fiscal year 2019. In addition to participating in formal meetings, our Nominating and Corporate Governance Committee members regularly communicate with each other, members of management and advisors and take action by written consent.</w:t>
      </w:r>
    </w:p>
    <w:p>
      <w:pPr>
        <w:spacing w:after="0" w:line="208" w:lineRule="exact"/>
        <w:rPr>
          <w:sz w:val="20"/>
          <w:szCs w:val="20"/>
          <w:color w:val="auto"/>
        </w:rPr>
      </w:pPr>
    </w:p>
    <w:p>
      <w:pPr>
        <w:ind w:left="300" w:hanging="292"/>
        <w:spacing w:after="0"/>
        <w:tabs>
          <w:tab w:leader="none" w:pos="300" w:val="left"/>
        </w:tabs>
        <w:numPr>
          <w:ilvl w:val="0"/>
          <w:numId w:val="50"/>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Executive Committee</w:t>
      </w:r>
    </w:p>
    <w:p>
      <w:pPr>
        <w:spacing w:after="0" w:line="23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Subject to the supervision and oversight of the Board, our Executive Committee, which consists of Marc Holliday (Chair), Stephen L. Green and John H. Alschuler, is responsible for, among other things, the approval of our acquisition, disposition and financing of investments; the authorization of the execution of certain contracts and agreements, including those relating to our borrowing of money; and the exercise, in general, of all other powers of the Board, except for such powers that require action by all directors or the independent directors under our articles of incorporation or bylaws or under applicable law. Our Executive Committee did not hold any meetings and did not take any actions by written consent during fiscal year 2019, as all matters within its authority were approved by the Board.</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Board Oversight of Strategy</w:t>
      </w:r>
    </w:p>
    <w:p>
      <w:pPr>
        <w:spacing w:after="0" w:line="23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One of the most important functions of the Board relates to its role in formulating and overseeing the execution of our business strategy.The Board actively participates with management in the formulation and refinement of our business strategy to help ensure that our strategic goals are thoughtfully constructed and well-articulated.To facilitate this process, the Board periodically meets with our management and external advisors in full day or multi-day sessions focused on long-term strategic planning. Additionally, on a more frequent basis, the Board receives updates from management regarding internal progress toward strategic goals and changes in market conditions and external strategic opportunities and challenges, which the Board uses to assist our management in refining its business strategy and reacting to particular opportunities or challenges that arise.While management is charged with executing strategy on a daily basis, the Board monitors and evaluates performance through these regular updates and by actively engaging in dialogues with our senior management team. Aspects of our business strategy are discussed at every meeting, and key elements of our strategy are embedded in the work performed by the committees of the Board. In addition to financial and operational performance, non-financial measures, including sustainability, social and governance goals, are discussed by the Board.The Board believes that, through these ongoing efforts, it is able to focus on our performance over the short, intermediate and long term to secure the continuing health and success of the business for our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Stockholder Outreach</w:t>
      </w:r>
    </w:p>
    <w:p>
      <w:pPr>
        <w:spacing w:after="0" w:line="233"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Board and our Lead Independent Director believe that engaging in stockholder outreach is an essential element of strong corporate governance. We strive for a collaborative approach to issues of importance to investors and continually seek to better understand the views of our investors on key topics. Over the past several years, our Lead Independent Director, the chairman of our Compensation Committee and members of our senior management team contacted many of our largest institutional investors. Since the 2019 annual meeting of stockholders, we have reached out to institutional investors representing ownership of approximately 65% of our outstanding common stock. We held meetings, conducted calls and otherwise engaged with all of these investors who were interested in doing so. In addition, we met with two institutional shareholder advisory firms, Institutional Shareholder Services, Inc., or ISS, and Glass Lewis &amp; Co LLC, or Glass Lewis. We then shared the feedback received during our outreach process with the Board and its committees to make meaningful changes to our corporate governance practices and launch new initiatives. As a result of our engagement efforts and our commitment to corporate governance, over the last few years we have undertaken the declassification of our Board, adopted a proxy access bylaw, implemented a majority voting standard for director election, and adopted an amendment to our bylaws to permit our stockholders to amend our bylaws by a majority vote, as discussed in more detail below.</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Stockholder Amendments to Bylaws</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December 2018, we amended our bylaws to permit our stockholders to amend our bylaws by the affirmative vote of a majority of all the votes entitled to be cast on the matter. As amended, our bylaws do not place any limitations on stockholder proposals to amend our bylaws beyond the advance notice provisions that apply to all stockholder proposals. Accordingly, all of our stockholders now have the right to propose any amendments to our bylaws that are permitted by applicable law and, if any such amendment is approved by the affirmative vote of a majority of the votes entitled to be cast on the matter, it will become effective.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Declassified Board</w:t>
      </w:r>
    </w:p>
    <w:p>
      <w:pPr>
        <w:spacing w:after="0" w:line="23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Our Board is fully declassified, and our directors are elected for one-year terms following stockholder approval of our proposal to declassify our Board submitted to stockholders at the 2017 annual meeting of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Proxy Access</w:t>
      </w:r>
    </w:p>
    <w:p>
      <w:pPr>
        <w:spacing w:after="0" w:line="23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We have adopted a proxy access bylaw provision, enabling our stockholders to include their own director nominees in our proxy materials along with candidates nominated by the Board, so long as stockholder-nominees meet certain requirements, as set forth in our bylaws. For more information on our proxy access bylaw, see the section entitled “Other Information—Other Matters—Stockholder Proposals and Nominations.”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Majority Voting Standard and Director Resignation Policy</w:t>
      </w:r>
    </w:p>
    <w:p>
      <w:pPr>
        <w:spacing w:after="0" w:line="23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a majority voting standard for director elections. In an uncontested election (as is the case for this annual meeting), our bylaws provide that 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With respect to a contested election, a plurality of all of the votes cast is sufficient for the election of directors. For this purpose, a contested election is deemed to occur at any meeting of stockholders for which the Secretary determines that the number of nominees or proposed nominees exceeds the number of directors to be elected at such meeting as of the seventh day preceding the date the Company files its definitive proxy statement for such meeting with the SEC (regardless of whether or not thereafter revised or supplemented).</w:t>
      </w:r>
    </w:p>
    <w:p>
      <w:pPr>
        <w:spacing w:after="0" w:line="20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If a nominee who currently is serving as a director receives a greater number of votes “against” his or her election than votes “for” such election in an uncontested election, Maryland law provides that the director would continue to serve on the Board as a “holdover director.” However, under our Governance Principles, any nominee for election as a director in an uncontested election who receives a greater number of votes “against” his or her election than votes “for” such election must, within ten business days following the certification of the stockholder vote, tender his or her written resignation to the Chairman of the Board for consideration by the Nominating and Corporate Governance Committee. The Nominating and Corporate Governance Committee will consider the resignation and, within 60 days following the date of the stockholders’ meeting at which the election occurred, will make a recommendation to the Board concerning the acceptance or rejection of the resignation.</w:t>
      </w:r>
    </w:p>
    <w:p>
      <w:pPr>
        <w:spacing w:after="0" w:line="19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Board will then take formal action on the recommendation no later than 90 days following the date of the stockholders’ meeting at which the election occurred. In considering the recommendation, the Board will consider the information, factors and alternatives considered by the Nominating and Corporate Governance Committee and such additional factors, information and alternatives as the Board deems relevant. We will publicly disclose, in a Form 8-K filed with the SEC, the Board’s decision within four business days after the decision is made. The Board also will provide, if applicable, the Board’s reason or reasons for rejecting the tendered resignation.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Environmental Social &amp; Governance (ESG)</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Our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3600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30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55889"/>
        </w:rPr>
        <w:t>Environmental</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55889"/>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2280285" cy="11315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80285" cy="1131570"/>
                    </a:xfrm>
                    <a:prstGeom prst="rect">
                      <a:avLst/>
                    </a:prstGeom>
                    <a:noFill/>
                  </pic:spPr>
                </pic:pic>
              </a:graphicData>
            </a:graphic>
          </wp:anchor>
        </w:drawing>
      </w:r>
    </w:p>
    <w:p>
      <w:pPr>
        <w:spacing w:after="0" w:line="219" w:lineRule="exact"/>
        <w:rPr>
          <w:sz w:val="20"/>
          <w:szCs w:val="20"/>
          <w:color w:val="auto"/>
        </w:rPr>
      </w:pPr>
    </w:p>
    <w:p>
      <w:pPr>
        <w:ind w:left="100"/>
        <w:spacing w:after="0" w:line="272" w:lineRule="auto"/>
        <w:rPr>
          <w:sz w:val="20"/>
          <w:szCs w:val="20"/>
          <w:color w:val="auto"/>
        </w:rPr>
      </w:pPr>
      <w:r>
        <w:rPr>
          <w:rFonts w:ascii="Arial" w:cs="Arial" w:eastAsia="Arial" w:hAnsi="Arial"/>
          <w:sz w:val="16"/>
          <w:szCs w:val="16"/>
          <w:color w:val="auto"/>
        </w:rPr>
        <w:t>Central to SL Green’s mission to improve the city in which we invest is a conscious effort to minimize our carbon footprint by reducing emissions, conserving water, and promoting the use of recycled materials.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355889"/>
        </w:rPr>
        <w:t>Social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52070</wp:posOffset>
            </wp:positionV>
            <wp:extent cx="2297430" cy="11315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97430" cy="1131570"/>
                    </a:xfrm>
                    <a:prstGeom prst="rect">
                      <a:avLst/>
                    </a:prstGeom>
                    <a:noFill/>
                  </pic:spPr>
                </pic:pic>
              </a:graphicData>
            </a:graphic>
          </wp:anchor>
        </w:drawing>
      </w:r>
    </w:p>
    <w:p>
      <w:pPr>
        <w:spacing w:after="0" w:line="24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SL Green’s key partnerships extend beyond the confines of our offices and into the greater NYC community. We consciously strive to be stewards of well-being and agents of goodwill toward our neighbors in the city through our wellness programs, volunteerism and financial patronage.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355889"/>
        </w:rPr>
        <w:t>E&amp;S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52070</wp:posOffset>
            </wp:positionV>
            <wp:extent cx="2228850" cy="11315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28850" cy="1131570"/>
                    </a:xfrm>
                    <a:prstGeom prst="rect">
                      <a:avLst/>
                    </a:prstGeom>
                    <a:noFill/>
                  </pic:spPr>
                </pic:pic>
              </a:graphicData>
            </a:graphic>
          </wp:anchor>
        </w:drawing>
      </w:r>
    </w:p>
    <w:p>
      <w:pPr>
        <w:spacing w:after="0" w:line="241" w:lineRule="exact"/>
        <w:rPr>
          <w:sz w:val="20"/>
          <w:szCs w:val="20"/>
          <w:color w:val="auto"/>
        </w:rPr>
      </w:pPr>
    </w:p>
    <w:p>
      <w:pPr>
        <w:ind w:right="300"/>
        <w:spacing w:after="0" w:line="272" w:lineRule="auto"/>
        <w:rPr>
          <w:sz w:val="20"/>
          <w:szCs w:val="20"/>
          <w:color w:val="auto"/>
        </w:rPr>
      </w:pPr>
      <w:r>
        <w:rPr>
          <w:rFonts w:ascii="Arial" w:cs="Arial" w:eastAsia="Arial" w:hAnsi="Arial"/>
          <w:sz w:val="16"/>
          <w:szCs w:val="16"/>
          <w:color w:val="auto"/>
        </w:rPr>
        <w:t>SL Green’s operations balance financial responsibility and corporate citizenship with board-level oversight of environmental and social issues and climate-related risks and opportunities.</w:t>
      </w:r>
    </w:p>
    <w:p>
      <w:pPr>
        <w:spacing w:after="0" w:line="600" w:lineRule="exact"/>
        <w:rPr>
          <w:sz w:val="20"/>
          <w:szCs w:val="20"/>
          <w:color w:val="auto"/>
        </w:rPr>
      </w:pPr>
    </w:p>
    <w:p>
      <w:pPr>
        <w:sectPr>
          <w:pgSz w:w="11900" w:h="16838" w:orient="portrait"/>
          <w:cols w:equalWidth="0" w:num="3">
            <w:col w:w="3400" w:space="540"/>
            <w:col w:w="3420" w:space="460"/>
            <w:col w:w="3400"/>
          </w:cols>
          <w:pgMar w:left="320" w:top="121" w:right="35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Environmental Sustainability</w:t>
      </w:r>
    </w:p>
    <w:p>
      <w:pPr>
        <w:spacing w:after="0" w:line="235"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As Manhattan’s largest owner of office real estate, we are committed to creating the most sustainable footprint to reduce resource consumption and mitigate environmental impacts. Our unrelenting focus on environmental stewardship for over two decades has advanced the quality of our portfolio, benefiting our partners, tenants, and the greater community.</w:t>
      </w:r>
    </w:p>
    <w:p>
      <w:pPr>
        <w:spacing w:after="0" w:line="208"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Sustainability has always been an integral part of SL Green’s strategic decision-making process. As such, our SL Green Sustainability Team has executive-level participation and is overseen by our Board. While the Board considered directing the oversight of our sustainability initiatives to a specific committee, they decided that the far-reach and importance of the program across our business warrants the full Board’s attention.</w:t>
      </w:r>
    </w:p>
    <w:p>
      <w:pPr>
        <w:spacing w:after="0" w:line="177" w:lineRule="exact"/>
        <w:rPr>
          <w:sz w:val="20"/>
          <w:szCs w:val="20"/>
          <w:color w:val="auto"/>
        </w:rPr>
      </w:pPr>
    </w:p>
    <w:p>
      <w:pPr>
        <w:ind w:left="300" w:hanging="292"/>
        <w:spacing w:after="0"/>
        <w:tabs>
          <w:tab w:leader="none" w:pos="300" w:val="left"/>
        </w:tabs>
        <w:numPr>
          <w:ilvl w:val="0"/>
          <w:numId w:val="51"/>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5940"/>
        <w:spacing w:after="0"/>
        <w:rPr>
          <w:sz w:val="20"/>
          <w:szCs w:val="20"/>
          <w:color w:val="auto"/>
        </w:rPr>
      </w:pPr>
      <w:r>
        <w:rPr>
          <w:rFonts w:ascii="Arial" w:cs="Arial" w:eastAsia="Arial" w:hAnsi="Arial"/>
          <w:sz w:val="16"/>
          <w:szCs w:val="16"/>
          <w:u w:val="single" w:color="auto"/>
          <w:color w:val="355889"/>
        </w:rPr>
        <w:t>OUR BOARD OF DIRECTORS AND CORPORATE GOVERNANCE</w:t>
      </w:r>
    </w:p>
    <w:p>
      <w:pPr>
        <w:spacing w:after="0" w:line="2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Since 2010, as part of our commitment to energy efficiency and emissions management, we have invested $70 million in targeted sustainability programs across 100% of our New York City properties, which has led to an over 26% reduction in greenhouse gas emissions from a base year of 2012. We established a portfolio-wide greenhouse gas intensity reduction goal of 30% by 2025, part of our voluntary participation with CDP (formerly known as the Carbon Disclosure Project), which is aligned with the Task Force on Climate-related Financial Disclosures standards. Our ongoing investments in state-of-the-art capital improvements optimize building performance, reduce maintenance costs and allow us to meet tenant demand for sustainable and resilient office space.</w:t>
      </w:r>
    </w:p>
    <w:p>
      <w:pPr>
        <w:spacing w:after="0" w:line="210" w:lineRule="exact"/>
        <w:rPr>
          <w:sz w:val="20"/>
          <w:szCs w:val="20"/>
          <w:color w:val="auto"/>
        </w:rPr>
      </w:pPr>
    </w:p>
    <w:p>
      <w:pPr>
        <w:jc w:val="both"/>
        <w:ind w:right="140"/>
        <w:spacing w:after="0" w:line="236" w:lineRule="auto"/>
        <w:rPr>
          <w:sz w:val="20"/>
          <w:szCs w:val="20"/>
          <w:color w:val="auto"/>
        </w:rPr>
      </w:pPr>
      <w:r>
        <w:rPr>
          <w:rFonts w:ascii="Arial" w:cs="Arial" w:eastAsia="Arial" w:hAnsi="Arial"/>
          <w:sz w:val="18"/>
          <w:szCs w:val="18"/>
          <w:color w:val="auto"/>
        </w:rPr>
        <w:t>Our efforts to minimize our environmental impact also extend to water conservation and waste reduction. Our investments in fixture upgrades alone have reduced water consumption by 30% across our LEED certified Manhattan portfolio, equivalent to saving 29 million gallons of water annually. We have also partnered with our tenants, employees, union stakeholders and vendors to reduce the amount of waste sent to landfills. We offer recycling training to 100,000 individuals annually across our organization. In one year alone, we increased our recycling rate by nearly 2%, moving closer to our corporate goal of a 50% recycling rate by 2025 (in line with LEED v4 threshold).</w:t>
      </w:r>
    </w:p>
    <w:p>
      <w:pPr>
        <w:spacing w:after="0" w:line="211"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best example of our sustainable focus is in our newest ground-up development, One Vanderbilt, which has set the global standard for sustainable design and development. The building acheived a 75% recycling rate during the project’s demolition and construction and the steel used to construct the building was 90% recycled content. Despite being New York City’s second tallest commercial office tower, One Vanderbilt is projected to consume 26% less energy than ASHRAE 90.1-2007 baseline, achieving the highest levels of LEED and WELL certifications and one of the lowest carbon footprints across buildings of similar density and scale in New York City. Select features of the building include indoor air quality that will surpass the ASHRAE 62.1 standard by 30%, premier access to daylighting for 85% of tenant floor area and a rainwater capture system that is expected to save over 1 million gallons of water per year. One Vanderbilt is also a leading example of transit-oriented development, providing direct tenant access to mass transportation, supported by SL Green’s $220 million investment in critical public transit improvements in and around Grand Central Terminal in New York City.</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Social Responsibility</w:t>
      </w:r>
    </w:p>
    <w:p>
      <w:pPr>
        <w:spacing w:after="0" w:line="235"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Our Social vision is enhancing the health and resiliency of our employees, tenants, and the community. At the forefront of our plans is creating a work culture that prioritizes productivity and wellness through training, diversity, education, and volunteerism. Our organization is unified through a shared sense of purpose, as we empower our employees with the time and resources to contribute significantly to a greater New York.</w:t>
      </w:r>
    </w:p>
    <w:p>
      <w:pPr>
        <w:spacing w:after="0" w:line="177" w:lineRule="exact"/>
        <w:rPr>
          <w:sz w:val="20"/>
          <w:szCs w:val="20"/>
          <w:color w:val="auto"/>
        </w:rPr>
      </w:pPr>
    </w:p>
    <w:p>
      <w:pPr>
        <w:jc w:val="both"/>
        <w:ind w:left="540" w:right="80" w:hanging="262"/>
        <w:spacing w:after="0" w:line="238" w:lineRule="auto"/>
        <w:tabs>
          <w:tab w:leader="none" w:pos="540" w:val="left"/>
        </w:tabs>
        <w:numPr>
          <w:ilvl w:val="0"/>
          <w:numId w:val="52"/>
        </w:numPr>
        <w:rPr>
          <w:rFonts w:ascii="Arial" w:cs="Arial" w:eastAsia="Arial" w:hAnsi="Arial"/>
          <w:sz w:val="17"/>
          <w:szCs w:val="17"/>
          <w:color w:val="355889"/>
        </w:rPr>
      </w:pPr>
      <w:r>
        <w:rPr>
          <w:rFonts w:ascii="Arial" w:cs="Arial" w:eastAsia="Arial" w:hAnsi="Arial"/>
          <w:sz w:val="18"/>
          <w:szCs w:val="18"/>
          <w:color w:val="auto"/>
        </w:rPr>
        <w:t>We are committed to enhancing the health and well-being of our employees with market-leading benefits programs spanning healthcare, 401(k) match, employee stock purchase plan, disability coverage, wellness and life insurance. Notably, as part of our health and wellness program, we offer our employees extensive mental health programs and leading parental benefits.</w:t>
      </w:r>
    </w:p>
    <w:p>
      <w:pPr>
        <w:spacing w:after="0" w:line="59" w:lineRule="exact"/>
        <w:rPr>
          <w:rFonts w:ascii="Arial" w:cs="Arial" w:eastAsia="Arial" w:hAnsi="Arial"/>
          <w:sz w:val="17"/>
          <w:szCs w:val="17"/>
          <w:color w:val="355889"/>
        </w:rPr>
      </w:pPr>
    </w:p>
    <w:p>
      <w:pPr>
        <w:ind w:left="540" w:right="20" w:hanging="262"/>
        <w:spacing w:after="0" w:line="236" w:lineRule="auto"/>
        <w:tabs>
          <w:tab w:leader="none" w:pos="540" w:val="left"/>
        </w:tabs>
        <w:numPr>
          <w:ilvl w:val="0"/>
          <w:numId w:val="52"/>
        </w:numPr>
        <w:rPr>
          <w:rFonts w:ascii="Arial" w:cs="Arial" w:eastAsia="Arial" w:hAnsi="Arial"/>
          <w:sz w:val="17"/>
          <w:szCs w:val="17"/>
          <w:color w:val="355889"/>
        </w:rPr>
      </w:pPr>
      <w:r>
        <w:rPr>
          <w:rFonts w:ascii="Arial" w:cs="Arial" w:eastAsia="Arial" w:hAnsi="Arial"/>
          <w:sz w:val="18"/>
          <w:szCs w:val="18"/>
          <w:color w:val="auto"/>
        </w:rPr>
        <w:t>We care about what our employees think and want them to get the most out of themselves. We conduct annual employee engagement surveys to gauge overall satisfaction, with a focus on management communication, opportunities for growth and company image. We also provide cross-training to ensure that our employees are given the necessary tools to do their best work, and have the opportunity to learn about new roles and develop valuable skills, ensuring a multifunctional transfer of knowledge, allowing our workforce to be agile in a rapidly developing industry.</w:t>
      </w:r>
    </w:p>
    <w:p>
      <w:pPr>
        <w:spacing w:after="0" w:line="62" w:lineRule="exact"/>
        <w:rPr>
          <w:rFonts w:ascii="Arial" w:cs="Arial" w:eastAsia="Arial" w:hAnsi="Arial"/>
          <w:sz w:val="17"/>
          <w:szCs w:val="17"/>
          <w:color w:val="355889"/>
        </w:rPr>
      </w:pPr>
    </w:p>
    <w:p>
      <w:pPr>
        <w:ind w:left="540" w:right="260" w:hanging="262"/>
        <w:spacing w:after="0" w:line="236" w:lineRule="auto"/>
        <w:tabs>
          <w:tab w:leader="none" w:pos="540" w:val="left"/>
        </w:tabs>
        <w:numPr>
          <w:ilvl w:val="0"/>
          <w:numId w:val="52"/>
        </w:numPr>
        <w:rPr>
          <w:rFonts w:ascii="Arial" w:cs="Arial" w:eastAsia="Arial" w:hAnsi="Arial"/>
          <w:sz w:val="17"/>
          <w:szCs w:val="17"/>
          <w:color w:val="355889"/>
        </w:rPr>
      </w:pPr>
      <w:r>
        <w:rPr>
          <w:rFonts w:ascii="Arial" w:cs="Arial" w:eastAsia="Arial" w:hAnsi="Arial"/>
          <w:sz w:val="18"/>
          <w:szCs w:val="18"/>
          <w:color w:val="auto"/>
        </w:rPr>
        <w:t>We are at our best when our employees, assets and business are integrated into the community and contribute positively to a greater societal purpose. Our employees participate in over 150 annual, company-sponsored donation drives and community events, including employer-sponsored volunteer days. SL Green and our employees have contributed $3 million across more than 150 partner organizations, including those aligned with UN Sustainable Development Goals of promoting education and eliminating poverty and hunger, and sponsor a charitable contribution match program.</w:t>
      </w:r>
    </w:p>
    <w:p>
      <w:pPr>
        <w:spacing w:after="0" w:line="62" w:lineRule="exact"/>
        <w:rPr>
          <w:rFonts w:ascii="Arial" w:cs="Arial" w:eastAsia="Arial" w:hAnsi="Arial"/>
          <w:sz w:val="17"/>
          <w:szCs w:val="17"/>
          <w:color w:val="355889"/>
        </w:rPr>
      </w:pPr>
    </w:p>
    <w:p>
      <w:pPr>
        <w:ind w:left="540" w:right="120" w:hanging="262"/>
        <w:spacing w:after="0" w:line="236" w:lineRule="auto"/>
        <w:tabs>
          <w:tab w:leader="none" w:pos="540" w:val="left"/>
        </w:tabs>
        <w:numPr>
          <w:ilvl w:val="0"/>
          <w:numId w:val="52"/>
        </w:numPr>
        <w:rPr>
          <w:rFonts w:ascii="Arial" w:cs="Arial" w:eastAsia="Arial" w:hAnsi="Arial"/>
          <w:sz w:val="17"/>
          <w:szCs w:val="17"/>
          <w:color w:val="355889"/>
        </w:rPr>
      </w:pPr>
      <w:r>
        <w:rPr>
          <w:rFonts w:ascii="Arial" w:cs="Arial" w:eastAsia="Arial" w:hAnsi="Arial"/>
          <w:sz w:val="18"/>
          <w:szCs w:val="18"/>
          <w:color w:val="auto"/>
        </w:rPr>
        <w:t>We are focused on protecting the health and well-being of our tenants, while also fulfilling their changing business needs. We focus on safe air quality that is in line with LEED standards and Green Cleaning, which conserves resources and limits exposure of building occupants and maintenance personnel to hazardous chemicals. We have also implemented an extensive emergency preparedness program focused on tenant safety during emergency situations. In response to an unprecedented wave of tenant amenity interest, we created Living Green. This program activates vacant spaces in our buildings to offer tenants a suite of health and wellness events, which has promoted a balance between work productivity and holistic well being.</w:t>
      </w:r>
    </w:p>
    <w:p>
      <w:pPr>
        <w:spacing w:after="0" w:line="210"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2020 Proxy Statement </w:t>
      </w:r>
      <w:r>
        <w:rPr>
          <w:rFonts w:ascii="Arial" w:cs="Arial" w:eastAsia="Arial" w:hAnsi="Arial"/>
          <w:sz w:val="16"/>
          <w:szCs w:val="16"/>
          <w:color w:val="355889"/>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OUR BOARD OF DIRECTORS AND CORPORATE GOVERNANCE</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Environment &amp; Social Governance</w:t>
      </w:r>
    </w:p>
    <w:p>
      <w:pPr>
        <w:spacing w:after="0" w:line="235"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SL Green’s entire Board has direct oversight of SL Green’s ESG program, which has executive level participation, along with a dedicated team responsible for the program’s implementation. Our ESG program is aligned with both the Global Reporting Inititative (“GRI”) framework and UN Sustainable Development Goals. We have integrated our ESG platform throughout all of SL Green’s departments. This sustained focus on ESG issues has led to effective risk-management practices that influence strategic decisions at the highest levels. Every single building is reviewed under both a financial and environment lens to ensure that building systems and operations are aligned with our ESG goals.</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With our roots in New York City, we are at the center of one of the world’s most aggressive climate legislation and recognize our responsibility to lead by example. Our investments over the last 20 years, focused on increasing energy efficiency and reducing greenhouse gas emissions, have resulted in minimizing the impact of recent climate legislation on our portfolio. In alignment with our focus on increasing the resiliency of our properties, we have implemented comprehensive response procedures to manage the risk associated with climate-related weather events. We believe our prudent approach to risk-management and our long-term planning process fortifies the stability of our business and underscores our committment to a sustainable future.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Risk Oversight</w:t>
      </w:r>
    </w:p>
    <w:p>
      <w:pPr>
        <w:spacing w:after="0" w:line="23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is responsible for overseeing the Company’s risk management process. The Board focuses on the Company’s general risk management strategy and the most significant risks facing the Company, and ensures that appropriate risk mitigation strategies are implemented by management. The Board also is apprised of particular risk management matters in connection with its general oversight and approval of corporate matters. In particular, the Board focuses on overseeing risks relating to the structure and amount of our debt, including overall aggregate principal balance, variable rate versus fixed rate debt, maturity schedules and balance of secured and unsecured debt.</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Board delegated to the Audit Committee oversight of the Company’s risk management process. Among its duties, the Audit Committee reviews with management (a) Company policies with respect to risk assessment and management of risks that may be material to the Company,</w:t>
      </w:r>
    </w:p>
    <w:p>
      <w:pPr>
        <w:ind w:right="160" w:firstLine="8"/>
        <w:spacing w:after="0" w:line="236" w:lineRule="auto"/>
        <w:tabs>
          <w:tab w:leader="none" w:pos="263"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disclosure controls and internal controls over financial reporting and (c) the Company’s compliance with legal and regulatory requirements. The Audit Committee also is responsible for reviewing major legislative and regulatory developments that could have a material impact on the Company’s contingent liabilities and risks. Other Board committees also consider and address risk as they perform their respective committee responsibilities. All committees report to the full Board as appropriate, including when a matter rises to the level of a material or enterprise level risk.</w:t>
      </w:r>
    </w:p>
    <w:p>
      <w:pPr>
        <w:spacing w:after="0" w:line="21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addition, our Compensation Committee considers potential risks to the Company in its determinations of the overall structure of our executive compensation program and the specific goals it establishes for our executives.</w:t>
      </w:r>
    </w:p>
    <w:p>
      <w:pPr>
        <w:spacing w:after="0" w:line="20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Company’s management is responsible for day-to-day risk management, including the primary monitoring and testing function for company-wide policies and procedures, and management of the day-to-day oversight of the risk management strategy for the ongoing business of the Company. This oversight includes identifying, evaluating, and addressing potential risks that may exist at the enterprise, strategic, financial, operational, and compliance and reporting levels.</w:t>
      </w:r>
    </w:p>
    <w:p>
      <w:pPr>
        <w:spacing w:after="0" w:line="208"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We believe the division of risk management responsibilities described above is an effective approach for addressing the risks facing the Company and that the Board leadership structure supports this approach.</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Included in our approach to risk management is a focus on cybersecurity. As we transmit sensitive data across networks and rely on Internet-based systems to run our buildings, we are dedicated to protecting this information and the systems used to process it. We also ensure our employees, processes, systems, and external partners are aligned with cybersecurity best practices. Our Board and executive management team regularly assess our program and are positioned to respond to security and privacy risks, identify vulnerability gaps, and assess data governance programs. We conduct quarterly mandatory training for employees, constantly scan our systems for vulnerablilties and ensure that any identified risks are immediately addressed, periodically employ external agencies to test the efficacy of our security protocols, maintain cyber liability insurance coverage, and leverage the cloud to employ sophisticated cybersecurity measures.</w:t>
      </w:r>
    </w:p>
    <w:p>
      <w:pPr>
        <w:spacing w:after="0" w:line="209" w:lineRule="exact"/>
        <w:rPr>
          <w:sz w:val="20"/>
          <w:szCs w:val="20"/>
          <w:color w:val="auto"/>
        </w:rPr>
      </w:pPr>
    </w:p>
    <w:p>
      <w:pPr>
        <w:ind w:left="300" w:hanging="292"/>
        <w:spacing w:after="0"/>
        <w:tabs>
          <w:tab w:leader="none" w:pos="300" w:val="left"/>
        </w:tabs>
        <w:numPr>
          <w:ilvl w:val="0"/>
          <w:numId w:val="54"/>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Governance Principles</w:t>
      </w:r>
    </w:p>
    <w:p>
      <w:pPr>
        <w:spacing w:after="0" w:line="23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Board adopted Governance Principles that address significant issues of corporate governance and set forth procedures by which the Board carries out its responsibilities. Among the areas addressed by the Governance Principles are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for, among other things, assessing and periodically reviewing the adequacy of the Governance Principles and will recommend, as appropriate, proposed changes to the Board. Although there is no one-size-fits all approach to corporate governance, we believe that our Governance Principles are aligned with the expectations of our stockholders, including the Investor Stewardship Group (ISG) and the ISG Corporate Governance Principles.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Code of Ethics</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Board adopted a Code of Ethics that applies to our directors, executive officers and employees. The Code of Ethics is designed to assist our directors, executive officers and employees in complying with legal requirements and in resolving moral and ethical issues that may arise, and in complying with our policies and procedures. Among the areas addressed by the Code of Ethics are legal compliance, conflicts of interest, use and protection of the Company’s assets, confidentiality, communications with the public, accounting matters, records retention, fair dealing, discrimination, harassment and health and safety. We intend to disclose on our corporate website any amendment to, or waiver of, any provisions of this Code applicable to our directors and executive officers that would otherwise be required to be disclosed under the rules of the SEC or the NYSE.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Whistleblowing and Whistleblower Protection Policy</w:t>
      </w:r>
    </w:p>
    <w:p>
      <w:pPr>
        <w:spacing w:after="0" w:line="23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Our Audit Committee established procedures for (1) the receipt, retention and treatment of complaints received by the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the Company, you may do so in writing to the Chair of our Audit Committee, c/o Andrew S. Levine, Secretary, SL Green Realty Corp., 420 Lexington Avenue, New York, New York 10170-1881. Any such communications may be made anonymously.</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Additional Information</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You are encouraged to visit the “Investors—Corporate Governance” section of our corporate website at http://www.slgreen.com to view or obtain copies of our committee charters, Code of Ethics, Governance Principles and director independence standards. The information found on, or accessible through, our website is not incorporated into, and does not form a part of, this proxy statement or any other report or document we file with, or furnish to, the SEC. You also may obtain, free of charge, a copy of the respective charters of our committees, Code of Ethics, Governance Principles and director independence standards by directing your request in writing to SL Green Realty Corp., 420 Lexington Avenue, New York, New York 10170-1881, Attention: Investor Relations.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Lobbying, Political Contributions and Trade Associations</w:t>
      </w:r>
    </w:p>
    <w:p>
      <w:pPr>
        <w:spacing w:after="0" w:line="233"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The Company believes that participation in the public policy process is an important and essential means of enhancing stockholder value. Our efforts in this area are directly overseen by Mr. Holliday and reviewed by the full Board on a quarterly basis and by our legal department on an ongoing basis to ensure compliance with applicable laws.</w:t>
      </w:r>
    </w:p>
    <w:p>
      <w:pPr>
        <w:spacing w:after="0" w:line="208"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2020 Proxy Statement </w:t>
      </w:r>
      <w:r>
        <w:rPr>
          <w:rFonts w:ascii="Arial" w:cs="Arial" w:eastAsia="Arial" w:hAnsi="Arial"/>
          <w:sz w:val="16"/>
          <w:szCs w:val="16"/>
          <w:color w:val="355889"/>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OUR BOARD OF DIRECTORS AND CORPORATE GOVERNANCE</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Directors of the Company who are also employees receive no additional compensation for their services as directors. The following table sets forth information regarding the compensation paid to our non-employee directors for their service during the fiscal year ended December 31,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355889"/>
              </w:rPr>
              <w:t>Fees Earned or</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Stock</w:t>
            </w:r>
          </w:p>
        </w:tc>
        <w:tc>
          <w:tcPr>
            <w:tcW w:w="100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355889"/>
              </w:rPr>
              <w:t>Option</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All Other</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59"/>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ind w:left="40"/>
              <w:spacing w:after="0" w:line="159" w:lineRule="exact"/>
              <w:rPr>
                <w:sz w:val="20"/>
                <w:szCs w:val="20"/>
                <w:color w:val="auto"/>
              </w:rPr>
            </w:pPr>
            <w:r>
              <w:rPr>
                <w:rFonts w:ascii="Arial" w:cs="Arial" w:eastAsia="Arial" w:hAnsi="Arial"/>
                <w:sz w:val="11"/>
                <w:szCs w:val="11"/>
                <w:b w:val="1"/>
                <w:bCs w:val="1"/>
                <w:color w:val="355889"/>
              </w:rPr>
              <w:t>Paid in Cash</w:t>
            </w:r>
            <w:r>
              <w:rPr>
                <w:rFonts w:ascii="Arial" w:cs="Arial" w:eastAsia="Arial" w:hAnsi="Arial"/>
                <w:sz w:val="18"/>
                <w:szCs w:val="18"/>
                <w:b w:val="1"/>
                <w:bCs w:val="1"/>
                <w:color w:val="355889"/>
                <w:vertAlign w:val="superscript"/>
              </w:rPr>
              <w:t>(1)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1"/>
                <w:szCs w:val="11"/>
                <w:b w:val="1"/>
                <w:bCs w:val="1"/>
                <w:color w:val="355889"/>
              </w:rPr>
              <w:t>Awards</w:t>
            </w:r>
            <w:r>
              <w:rPr>
                <w:rFonts w:ascii="Arial" w:cs="Arial" w:eastAsia="Arial" w:hAnsi="Arial"/>
                <w:sz w:val="18"/>
                <w:szCs w:val="18"/>
                <w:b w:val="1"/>
                <w:bCs w:val="1"/>
                <w:color w:val="355889"/>
                <w:vertAlign w:val="superscript"/>
              </w:rPr>
              <w:t>(2)</w:t>
            </w:r>
          </w:p>
        </w:tc>
        <w:tc>
          <w:tcPr>
            <w:tcW w:w="1000" w:type="dxa"/>
            <w:vAlign w:val="bottom"/>
            <w:gridSpan w:val="3"/>
          </w:tcPr>
          <w:p>
            <w:pPr>
              <w:jc w:val="right"/>
              <w:ind w:right="360"/>
              <w:spacing w:after="0" w:line="159" w:lineRule="exact"/>
              <w:rPr>
                <w:sz w:val="20"/>
                <w:szCs w:val="20"/>
                <w:color w:val="auto"/>
              </w:rPr>
            </w:pPr>
            <w:r>
              <w:rPr>
                <w:rFonts w:ascii="Arial" w:cs="Arial" w:eastAsia="Arial" w:hAnsi="Arial"/>
                <w:sz w:val="11"/>
                <w:szCs w:val="11"/>
                <w:b w:val="1"/>
                <w:bCs w:val="1"/>
                <w:color w:val="355889"/>
              </w:rPr>
              <w:t>Awards</w:t>
            </w:r>
            <w:r>
              <w:rPr>
                <w:rFonts w:ascii="Arial" w:cs="Arial" w:eastAsia="Arial" w:hAnsi="Arial"/>
                <w:sz w:val="18"/>
                <w:szCs w:val="18"/>
                <w:b w:val="1"/>
                <w:bCs w:val="1"/>
                <w:color w:val="355889"/>
                <w:vertAlign w:val="superscript"/>
              </w:rPr>
              <w:t>(3)</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Compensation</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355889"/>
              </w:rPr>
              <w:t>Total</w:t>
            </w:r>
          </w:p>
        </w:tc>
      </w:tr>
      <w:tr>
        <w:trPr>
          <w:trHeight w:val="185"/>
        </w:trPr>
        <w:tc>
          <w:tcPr>
            <w:tcW w:w="56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355889"/>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w:t>
            </w:r>
          </w:p>
        </w:tc>
        <w:tc>
          <w:tcPr>
            <w:tcW w:w="2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355889"/>
              </w:rPr>
              <w:t>($)</w:t>
            </w:r>
          </w:p>
        </w:tc>
      </w:tr>
      <w:tr>
        <w:trPr>
          <w:trHeight w:val="34"/>
        </w:trPr>
        <w:tc>
          <w:tcPr>
            <w:tcW w:w="562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355989"/>
          </w:tcPr>
          <w:p>
            <w:pPr>
              <w:spacing w:after="0"/>
              <w:rPr>
                <w:sz w:val="2"/>
                <w:szCs w:val="2"/>
                <w:color w:val="auto"/>
              </w:rPr>
            </w:pPr>
          </w:p>
        </w:tc>
        <w:tc>
          <w:tcPr>
            <w:tcW w:w="76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355989"/>
          </w:tcPr>
          <w:p>
            <w:pPr>
              <w:spacing w:after="0"/>
              <w:rPr>
                <w:sz w:val="2"/>
                <w:szCs w:val="2"/>
                <w:color w:val="auto"/>
              </w:rPr>
            </w:pPr>
          </w:p>
        </w:tc>
        <w:tc>
          <w:tcPr>
            <w:tcW w:w="72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355989"/>
          </w:tcPr>
          <w:p>
            <w:pPr>
              <w:spacing w:after="0"/>
              <w:rPr>
                <w:sz w:val="2"/>
                <w:szCs w:val="2"/>
                <w:color w:val="auto"/>
              </w:rPr>
            </w:pPr>
          </w:p>
        </w:tc>
        <w:tc>
          <w:tcPr>
            <w:tcW w:w="104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355989"/>
          </w:tcPr>
          <w:p>
            <w:pPr>
              <w:spacing w:after="0"/>
              <w:rPr>
                <w:sz w:val="2"/>
                <w:szCs w:val="2"/>
                <w:color w:val="auto"/>
              </w:rPr>
            </w:pPr>
          </w:p>
        </w:tc>
        <w:tc>
          <w:tcPr>
            <w:tcW w:w="780" w:type="dxa"/>
            <w:vAlign w:val="bottom"/>
            <w:shd w:val="clear" w:color="auto" w:fill="355989"/>
          </w:tcPr>
          <w:p>
            <w:pPr>
              <w:spacing w:after="0"/>
              <w:rPr>
                <w:sz w:val="2"/>
                <w:szCs w:val="2"/>
                <w:color w:val="auto"/>
              </w:rPr>
            </w:pPr>
          </w:p>
        </w:tc>
      </w:tr>
      <w:tr>
        <w:trPr>
          <w:trHeight w:val="228"/>
        </w:trPr>
        <w:tc>
          <w:tcPr>
            <w:tcW w:w="5620" w:type="dxa"/>
            <w:vAlign w:val="bottom"/>
          </w:tcPr>
          <w:p>
            <w:pPr>
              <w:spacing w:after="0"/>
              <w:rPr>
                <w:sz w:val="20"/>
                <w:szCs w:val="20"/>
                <w:color w:val="auto"/>
              </w:rPr>
            </w:pPr>
            <w:r>
              <w:rPr>
                <w:rFonts w:ascii="Arial" w:cs="Arial" w:eastAsia="Arial" w:hAnsi="Arial"/>
                <w:sz w:val="18"/>
                <w:szCs w:val="18"/>
                <w:color w:val="auto"/>
              </w:rPr>
              <w:t>John H. Alschuler</w:t>
            </w:r>
          </w:p>
        </w:tc>
        <w:tc>
          <w:tcPr>
            <w:tcW w:w="1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133,500</w:t>
            </w:r>
          </w:p>
        </w:tc>
        <w:tc>
          <w:tcPr>
            <w:tcW w:w="8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383,500</w:t>
            </w:r>
          </w:p>
        </w:tc>
      </w:tr>
      <w:tr>
        <w:trPr>
          <w:trHeight w:val="20"/>
        </w:trPr>
        <w:tc>
          <w:tcPr>
            <w:tcW w:w="56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797B7"/>
          </w:tcPr>
          <w:p>
            <w:pPr>
              <w:spacing w:after="0" w:line="20" w:lineRule="exact"/>
              <w:rPr>
                <w:sz w:val="1"/>
                <w:szCs w:val="1"/>
                <w:color w:val="auto"/>
              </w:rPr>
            </w:pPr>
          </w:p>
        </w:tc>
        <w:tc>
          <w:tcPr>
            <w:tcW w:w="76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8797B7"/>
          </w:tcPr>
          <w:p>
            <w:pPr>
              <w:spacing w:after="0" w:line="20" w:lineRule="exact"/>
              <w:rPr>
                <w:sz w:val="1"/>
                <w:szCs w:val="1"/>
                <w:color w:val="auto"/>
              </w:rPr>
            </w:pPr>
          </w:p>
        </w:tc>
        <w:tc>
          <w:tcPr>
            <w:tcW w:w="7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8797B7"/>
          </w:tcPr>
          <w:p>
            <w:pPr>
              <w:spacing w:after="0" w:line="20" w:lineRule="exact"/>
              <w:rPr>
                <w:sz w:val="1"/>
                <w:szCs w:val="1"/>
                <w:color w:val="auto"/>
              </w:rPr>
            </w:pPr>
          </w:p>
        </w:tc>
        <w:tc>
          <w:tcPr>
            <w:tcW w:w="10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797B7"/>
          </w:tcPr>
          <w:p>
            <w:pPr>
              <w:spacing w:after="0" w:line="20" w:lineRule="exact"/>
              <w:rPr>
                <w:sz w:val="1"/>
                <w:szCs w:val="1"/>
                <w:color w:val="auto"/>
              </w:rPr>
            </w:pPr>
          </w:p>
        </w:tc>
        <w:tc>
          <w:tcPr>
            <w:tcW w:w="780" w:type="dxa"/>
            <w:vAlign w:val="bottom"/>
            <w:shd w:val="clear" w:color="auto" w:fill="8797B7"/>
          </w:tcPr>
          <w:p>
            <w:pPr>
              <w:spacing w:after="0" w:line="20" w:lineRule="exact"/>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Betsy Atkins</w:t>
            </w:r>
          </w:p>
        </w:tc>
        <w:tc>
          <w:tcPr>
            <w:tcW w:w="1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71,000</w:t>
            </w:r>
          </w:p>
        </w:tc>
        <w:tc>
          <w:tcPr>
            <w:tcW w:w="8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321,000</w:t>
            </w:r>
          </w:p>
        </w:tc>
      </w:tr>
      <w:tr>
        <w:trPr>
          <w:trHeight w:val="20"/>
        </w:trPr>
        <w:tc>
          <w:tcPr>
            <w:tcW w:w="56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797B7"/>
          </w:tcPr>
          <w:p>
            <w:pPr>
              <w:spacing w:after="0" w:line="20" w:lineRule="exact"/>
              <w:rPr>
                <w:sz w:val="1"/>
                <w:szCs w:val="1"/>
                <w:color w:val="auto"/>
              </w:rPr>
            </w:pPr>
          </w:p>
        </w:tc>
        <w:tc>
          <w:tcPr>
            <w:tcW w:w="76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8797B7"/>
          </w:tcPr>
          <w:p>
            <w:pPr>
              <w:spacing w:after="0" w:line="20" w:lineRule="exact"/>
              <w:rPr>
                <w:sz w:val="1"/>
                <w:szCs w:val="1"/>
                <w:color w:val="auto"/>
              </w:rPr>
            </w:pPr>
          </w:p>
        </w:tc>
        <w:tc>
          <w:tcPr>
            <w:tcW w:w="7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8797B7"/>
          </w:tcPr>
          <w:p>
            <w:pPr>
              <w:spacing w:after="0" w:line="20" w:lineRule="exact"/>
              <w:rPr>
                <w:sz w:val="1"/>
                <w:szCs w:val="1"/>
                <w:color w:val="auto"/>
              </w:rPr>
            </w:pPr>
          </w:p>
        </w:tc>
        <w:tc>
          <w:tcPr>
            <w:tcW w:w="10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797B7"/>
          </w:tcPr>
          <w:p>
            <w:pPr>
              <w:spacing w:after="0" w:line="20" w:lineRule="exact"/>
              <w:rPr>
                <w:sz w:val="1"/>
                <w:szCs w:val="1"/>
                <w:color w:val="auto"/>
              </w:rPr>
            </w:pPr>
          </w:p>
        </w:tc>
        <w:tc>
          <w:tcPr>
            <w:tcW w:w="780" w:type="dxa"/>
            <w:vAlign w:val="bottom"/>
            <w:shd w:val="clear" w:color="auto" w:fill="8797B7"/>
          </w:tcPr>
          <w:p>
            <w:pPr>
              <w:spacing w:after="0" w:line="20" w:lineRule="exact"/>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Edwin T. Burton, III</w:t>
            </w:r>
          </w:p>
        </w:tc>
        <w:tc>
          <w:tcPr>
            <w:tcW w:w="1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103,500</w:t>
            </w:r>
          </w:p>
        </w:tc>
        <w:tc>
          <w:tcPr>
            <w:tcW w:w="8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353,500</w:t>
            </w:r>
          </w:p>
        </w:tc>
      </w:tr>
      <w:tr>
        <w:trPr>
          <w:trHeight w:val="20"/>
        </w:trPr>
        <w:tc>
          <w:tcPr>
            <w:tcW w:w="56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797B7"/>
          </w:tcPr>
          <w:p>
            <w:pPr>
              <w:spacing w:after="0" w:line="20" w:lineRule="exact"/>
              <w:rPr>
                <w:sz w:val="1"/>
                <w:szCs w:val="1"/>
                <w:color w:val="auto"/>
              </w:rPr>
            </w:pPr>
          </w:p>
        </w:tc>
        <w:tc>
          <w:tcPr>
            <w:tcW w:w="76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8797B7"/>
          </w:tcPr>
          <w:p>
            <w:pPr>
              <w:spacing w:after="0" w:line="20" w:lineRule="exact"/>
              <w:rPr>
                <w:sz w:val="1"/>
                <w:szCs w:val="1"/>
                <w:color w:val="auto"/>
              </w:rPr>
            </w:pPr>
          </w:p>
        </w:tc>
        <w:tc>
          <w:tcPr>
            <w:tcW w:w="7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8797B7"/>
          </w:tcPr>
          <w:p>
            <w:pPr>
              <w:spacing w:after="0" w:line="20" w:lineRule="exact"/>
              <w:rPr>
                <w:sz w:val="1"/>
                <w:szCs w:val="1"/>
                <w:color w:val="auto"/>
              </w:rPr>
            </w:pPr>
          </w:p>
        </w:tc>
        <w:tc>
          <w:tcPr>
            <w:tcW w:w="10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797B7"/>
          </w:tcPr>
          <w:p>
            <w:pPr>
              <w:spacing w:after="0" w:line="20" w:lineRule="exact"/>
              <w:rPr>
                <w:sz w:val="1"/>
                <w:szCs w:val="1"/>
                <w:color w:val="auto"/>
              </w:rPr>
            </w:pPr>
          </w:p>
        </w:tc>
        <w:tc>
          <w:tcPr>
            <w:tcW w:w="780" w:type="dxa"/>
            <w:vAlign w:val="bottom"/>
            <w:shd w:val="clear" w:color="auto" w:fill="8797B7"/>
          </w:tcPr>
          <w:p>
            <w:pPr>
              <w:spacing w:after="0" w:line="20" w:lineRule="exact"/>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Lauren B. Dillard</w:t>
            </w:r>
          </w:p>
        </w:tc>
        <w:tc>
          <w:tcPr>
            <w:tcW w:w="1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122,500</w:t>
            </w:r>
          </w:p>
        </w:tc>
        <w:tc>
          <w:tcPr>
            <w:tcW w:w="8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372,500</w:t>
            </w:r>
          </w:p>
        </w:tc>
      </w:tr>
      <w:tr>
        <w:trPr>
          <w:trHeight w:val="20"/>
        </w:trPr>
        <w:tc>
          <w:tcPr>
            <w:tcW w:w="56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797B7"/>
          </w:tcPr>
          <w:p>
            <w:pPr>
              <w:spacing w:after="0" w:line="20" w:lineRule="exact"/>
              <w:rPr>
                <w:sz w:val="1"/>
                <w:szCs w:val="1"/>
                <w:color w:val="auto"/>
              </w:rPr>
            </w:pPr>
          </w:p>
        </w:tc>
        <w:tc>
          <w:tcPr>
            <w:tcW w:w="76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8797B7"/>
          </w:tcPr>
          <w:p>
            <w:pPr>
              <w:spacing w:after="0" w:line="20" w:lineRule="exact"/>
              <w:rPr>
                <w:sz w:val="1"/>
                <w:szCs w:val="1"/>
                <w:color w:val="auto"/>
              </w:rPr>
            </w:pPr>
          </w:p>
        </w:tc>
        <w:tc>
          <w:tcPr>
            <w:tcW w:w="7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8797B7"/>
          </w:tcPr>
          <w:p>
            <w:pPr>
              <w:spacing w:after="0" w:line="20" w:lineRule="exact"/>
              <w:rPr>
                <w:sz w:val="1"/>
                <w:szCs w:val="1"/>
                <w:color w:val="auto"/>
              </w:rPr>
            </w:pPr>
          </w:p>
        </w:tc>
        <w:tc>
          <w:tcPr>
            <w:tcW w:w="10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797B7"/>
          </w:tcPr>
          <w:p>
            <w:pPr>
              <w:spacing w:after="0" w:line="20" w:lineRule="exact"/>
              <w:rPr>
                <w:sz w:val="1"/>
                <w:szCs w:val="1"/>
                <w:color w:val="auto"/>
              </w:rPr>
            </w:pPr>
          </w:p>
        </w:tc>
        <w:tc>
          <w:tcPr>
            <w:tcW w:w="780" w:type="dxa"/>
            <w:vAlign w:val="bottom"/>
            <w:shd w:val="clear" w:color="auto" w:fill="8797B7"/>
          </w:tcPr>
          <w:p>
            <w:pPr>
              <w:spacing w:after="0" w:line="20" w:lineRule="exact"/>
              <w:rPr>
                <w:sz w:val="1"/>
                <w:szCs w:val="1"/>
                <w:color w:val="auto"/>
              </w:rPr>
            </w:pPr>
          </w:p>
        </w:tc>
      </w:tr>
      <w:tr>
        <w:trPr>
          <w:trHeight w:val="278"/>
        </w:trPr>
        <w:tc>
          <w:tcPr>
            <w:tcW w:w="5620" w:type="dxa"/>
            <w:vAlign w:val="bottom"/>
          </w:tcPr>
          <w:p>
            <w:pPr>
              <w:spacing w:after="0"/>
              <w:rPr>
                <w:sz w:val="20"/>
                <w:szCs w:val="20"/>
                <w:color w:val="auto"/>
              </w:rPr>
            </w:pPr>
            <w:r>
              <w:rPr>
                <w:rFonts w:ascii="Arial" w:cs="Arial" w:eastAsia="Arial" w:hAnsi="Arial"/>
                <w:sz w:val="18"/>
                <w:szCs w:val="18"/>
                <w:color w:val="auto"/>
              </w:rPr>
              <w:t>Stephen L. Green</w:t>
            </w:r>
          </w:p>
        </w:tc>
        <w:tc>
          <w:tcPr>
            <w:tcW w:w="1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56,000</w:t>
            </w:r>
          </w:p>
        </w:tc>
        <w:tc>
          <w:tcPr>
            <w:tcW w:w="8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1000" w:type="dxa"/>
            <w:vAlign w:val="bottom"/>
            <w:gridSpan w:val="3"/>
          </w:tcPr>
          <w:p>
            <w:pPr>
              <w:ind w:left="46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line="278" w:lineRule="exact"/>
              <w:rPr>
                <w:sz w:val="20"/>
                <w:szCs w:val="20"/>
                <w:color w:val="auto"/>
              </w:rPr>
            </w:pPr>
            <w:r>
              <w:rPr>
                <w:rFonts w:ascii="Arial" w:cs="Arial" w:eastAsia="Arial" w:hAnsi="Arial"/>
                <w:sz w:val="18"/>
                <w:szCs w:val="18"/>
                <w:color w:val="auto"/>
              </w:rPr>
              <w:t>650,000</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956,000</w:t>
            </w:r>
          </w:p>
        </w:tc>
      </w:tr>
      <w:tr>
        <w:trPr>
          <w:trHeight w:val="20"/>
        </w:trPr>
        <w:tc>
          <w:tcPr>
            <w:tcW w:w="56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797B7"/>
          </w:tcPr>
          <w:p>
            <w:pPr>
              <w:spacing w:after="0" w:line="20" w:lineRule="exact"/>
              <w:rPr>
                <w:sz w:val="1"/>
                <w:szCs w:val="1"/>
                <w:color w:val="auto"/>
              </w:rPr>
            </w:pPr>
          </w:p>
        </w:tc>
        <w:tc>
          <w:tcPr>
            <w:tcW w:w="76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8797B7"/>
          </w:tcPr>
          <w:p>
            <w:pPr>
              <w:spacing w:after="0" w:line="20" w:lineRule="exact"/>
              <w:rPr>
                <w:sz w:val="1"/>
                <w:szCs w:val="1"/>
                <w:color w:val="auto"/>
              </w:rPr>
            </w:pPr>
          </w:p>
        </w:tc>
        <w:tc>
          <w:tcPr>
            <w:tcW w:w="7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8797B7"/>
          </w:tcPr>
          <w:p>
            <w:pPr>
              <w:spacing w:after="0" w:line="20" w:lineRule="exact"/>
              <w:rPr>
                <w:sz w:val="1"/>
                <w:szCs w:val="1"/>
                <w:color w:val="auto"/>
              </w:rPr>
            </w:pPr>
          </w:p>
        </w:tc>
        <w:tc>
          <w:tcPr>
            <w:tcW w:w="10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797B7"/>
          </w:tcPr>
          <w:p>
            <w:pPr>
              <w:spacing w:after="0" w:line="20" w:lineRule="exact"/>
              <w:rPr>
                <w:sz w:val="1"/>
                <w:szCs w:val="1"/>
                <w:color w:val="auto"/>
              </w:rPr>
            </w:pPr>
          </w:p>
        </w:tc>
        <w:tc>
          <w:tcPr>
            <w:tcW w:w="780" w:type="dxa"/>
            <w:vAlign w:val="bottom"/>
            <w:shd w:val="clear" w:color="auto" w:fill="8797B7"/>
          </w:tcPr>
          <w:p>
            <w:pPr>
              <w:spacing w:after="0" w:line="20" w:lineRule="exact"/>
              <w:rPr>
                <w:sz w:val="1"/>
                <w:szCs w:val="1"/>
                <w:color w:val="auto"/>
              </w:rPr>
            </w:pP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Craig M. Hatkoff</w:t>
            </w:r>
          </w:p>
        </w:tc>
        <w:tc>
          <w:tcPr>
            <w:tcW w:w="1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80,500</w:t>
            </w:r>
          </w:p>
        </w:tc>
        <w:tc>
          <w:tcPr>
            <w:tcW w:w="8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330,500</w:t>
            </w:r>
          </w:p>
        </w:tc>
      </w:tr>
      <w:tr>
        <w:trPr>
          <w:trHeight w:val="20"/>
        </w:trPr>
        <w:tc>
          <w:tcPr>
            <w:tcW w:w="56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797B7"/>
          </w:tcPr>
          <w:p>
            <w:pPr>
              <w:spacing w:after="0" w:line="20" w:lineRule="exact"/>
              <w:rPr>
                <w:sz w:val="1"/>
                <w:szCs w:val="1"/>
                <w:color w:val="auto"/>
              </w:rPr>
            </w:pPr>
          </w:p>
        </w:tc>
        <w:tc>
          <w:tcPr>
            <w:tcW w:w="76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8797B7"/>
          </w:tcPr>
          <w:p>
            <w:pPr>
              <w:spacing w:after="0" w:line="20" w:lineRule="exact"/>
              <w:rPr>
                <w:sz w:val="1"/>
                <w:szCs w:val="1"/>
                <w:color w:val="auto"/>
              </w:rPr>
            </w:pPr>
          </w:p>
        </w:tc>
        <w:tc>
          <w:tcPr>
            <w:tcW w:w="7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8797B7"/>
          </w:tcPr>
          <w:p>
            <w:pPr>
              <w:spacing w:after="0" w:line="20" w:lineRule="exact"/>
              <w:rPr>
                <w:sz w:val="1"/>
                <w:szCs w:val="1"/>
                <w:color w:val="auto"/>
              </w:rPr>
            </w:pPr>
          </w:p>
        </w:tc>
        <w:tc>
          <w:tcPr>
            <w:tcW w:w="10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797B7"/>
          </w:tcPr>
          <w:p>
            <w:pPr>
              <w:spacing w:after="0" w:line="20" w:lineRule="exact"/>
              <w:rPr>
                <w:sz w:val="1"/>
                <w:szCs w:val="1"/>
                <w:color w:val="auto"/>
              </w:rPr>
            </w:pPr>
          </w:p>
        </w:tc>
        <w:tc>
          <w:tcPr>
            <w:tcW w:w="780" w:type="dxa"/>
            <w:vAlign w:val="bottom"/>
            <w:shd w:val="clear" w:color="auto" w:fill="8797B7"/>
          </w:tcPr>
          <w:p>
            <w:pPr>
              <w:spacing w:after="0" w:line="20" w:lineRule="exact"/>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John S. Levy</w:t>
            </w:r>
          </w:p>
        </w:tc>
        <w:tc>
          <w:tcPr>
            <w:tcW w:w="1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63,500</w:t>
            </w:r>
          </w:p>
        </w:tc>
        <w:tc>
          <w:tcPr>
            <w:tcW w:w="8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313,500</w:t>
            </w:r>
          </w:p>
        </w:tc>
      </w:tr>
      <w:tr>
        <w:trPr>
          <w:trHeight w:val="28"/>
        </w:trPr>
        <w:tc>
          <w:tcPr>
            <w:tcW w:w="562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355989"/>
          </w:tcPr>
          <w:p>
            <w:pPr>
              <w:spacing w:after="0"/>
              <w:rPr>
                <w:sz w:val="2"/>
                <w:szCs w:val="2"/>
                <w:color w:val="auto"/>
              </w:rPr>
            </w:pPr>
          </w:p>
        </w:tc>
        <w:tc>
          <w:tcPr>
            <w:tcW w:w="76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355989"/>
          </w:tcPr>
          <w:p>
            <w:pPr>
              <w:spacing w:after="0"/>
              <w:rPr>
                <w:sz w:val="2"/>
                <w:szCs w:val="2"/>
                <w:color w:val="auto"/>
              </w:rPr>
            </w:pPr>
          </w:p>
        </w:tc>
        <w:tc>
          <w:tcPr>
            <w:tcW w:w="72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355989"/>
          </w:tcPr>
          <w:p>
            <w:pPr>
              <w:spacing w:after="0"/>
              <w:rPr>
                <w:sz w:val="2"/>
                <w:szCs w:val="2"/>
                <w:color w:val="auto"/>
              </w:rPr>
            </w:pPr>
          </w:p>
        </w:tc>
        <w:tc>
          <w:tcPr>
            <w:tcW w:w="104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355989"/>
          </w:tcPr>
          <w:p>
            <w:pPr>
              <w:spacing w:after="0"/>
              <w:rPr>
                <w:sz w:val="2"/>
                <w:szCs w:val="2"/>
                <w:color w:val="auto"/>
              </w:rPr>
            </w:pPr>
          </w:p>
        </w:tc>
        <w:tc>
          <w:tcPr>
            <w:tcW w:w="780" w:type="dxa"/>
            <w:vAlign w:val="bottom"/>
            <w:shd w:val="clear" w:color="auto" w:fill="355989"/>
          </w:tcPr>
          <w:p>
            <w:pPr>
              <w:spacing w:after="0"/>
              <w:rPr>
                <w:sz w:val="2"/>
                <w:szCs w:val="2"/>
                <w:color w:val="auto"/>
              </w:rPr>
            </w:pPr>
          </w:p>
        </w:tc>
      </w:tr>
    </w:tbl>
    <w:p>
      <w:pPr>
        <w:spacing w:after="0" w:line="107" w:lineRule="exact"/>
        <w:rPr>
          <w:sz w:val="20"/>
          <w:szCs w:val="20"/>
          <w:color w:val="auto"/>
        </w:rPr>
      </w:pPr>
    </w:p>
    <w:p>
      <w:pPr>
        <w:ind w:left="320" w:right="60" w:hanging="312"/>
        <w:spacing w:after="0" w:line="245" w:lineRule="auto"/>
        <w:tabs>
          <w:tab w:leader="none" w:pos="3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Mr. Levy and Ms. Dillard deferred all of their 2019 cash compensation and Mr. Alschuler deferred $60,000 of his 2019 cash compensation pursuant to our Non-Employee Directors’ Deferral Program. Mr. Hatkoff elected to receive $25,000 of his 2019 cash compensation in the form of shares of our common stock. Accordingly, our non-employee directors received the following shares of our common stock or phantom stock units with respect to the portion of their 2019 cash compensation that they elected to defer or receive in stock, as applicable: Mr. Alschuler received 737 units, Ms. Dillard received 1,478 units, Mr. Levy received 774 units and Mr. Hatkoff received 307 shares.</w:t>
      </w:r>
    </w:p>
    <w:p>
      <w:pPr>
        <w:spacing w:after="0" w:line="51" w:lineRule="exact"/>
        <w:rPr>
          <w:rFonts w:ascii="Arial" w:cs="Arial" w:eastAsia="Arial" w:hAnsi="Arial"/>
          <w:sz w:val="13"/>
          <w:szCs w:val="13"/>
          <w:color w:val="auto"/>
        </w:rPr>
      </w:pPr>
    </w:p>
    <w:p>
      <w:pPr>
        <w:ind w:left="320" w:right="20" w:hanging="312"/>
        <w:spacing w:after="0" w:line="258" w:lineRule="auto"/>
        <w:tabs>
          <w:tab w:leader="none" w:pos="3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Amounts shown reflect the full grant date fair value on the date of grant of shares of our common stock or phantom stock units granted to the directors in 2019, excluding shares of our common stock and phantom stock units credited in lieu of annual fees and meeting fees.</w:t>
      </w:r>
    </w:p>
    <w:p>
      <w:pPr>
        <w:spacing w:after="0" w:line="43" w:lineRule="exact"/>
        <w:rPr>
          <w:rFonts w:ascii="Arial" w:cs="Arial" w:eastAsia="Arial" w:hAnsi="Arial"/>
          <w:sz w:val="13"/>
          <w:szCs w:val="13"/>
          <w:color w:val="auto"/>
        </w:rPr>
      </w:pPr>
    </w:p>
    <w:p>
      <w:pPr>
        <w:ind w:left="320" w:right="260" w:hanging="312"/>
        <w:spacing w:after="0" w:line="258" w:lineRule="auto"/>
        <w:tabs>
          <w:tab w:leader="none" w:pos="3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There were no stock options granted to members of the Board in 2019. At December 31, 2019, the aggregate number of option awards held by our non-employee directors was as follows: Mr. Alschuler—14,500; and Mr. Levy—20,500.</w:t>
      </w:r>
    </w:p>
    <w:p>
      <w:pPr>
        <w:spacing w:after="0" w:line="43" w:lineRule="exact"/>
        <w:rPr>
          <w:rFonts w:ascii="Arial" w:cs="Arial" w:eastAsia="Arial" w:hAnsi="Arial"/>
          <w:sz w:val="13"/>
          <w:szCs w:val="13"/>
          <w:color w:val="auto"/>
        </w:rPr>
      </w:pPr>
    </w:p>
    <w:p>
      <w:pPr>
        <w:ind w:left="320" w:right="100" w:hanging="312"/>
        <w:spacing w:after="0" w:line="258" w:lineRule="auto"/>
        <w:tabs>
          <w:tab w:leader="none" w:pos="3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Represents monthly retainer fees paid pursuant to the chairman emeritus agreement we entered into with Mr. Green in connection with his retirement as Chairman of the Company in January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136130" cy="7842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130" cy="784225"/>
                    </a:xfrm>
                    <a:prstGeom prst="rect">
                      <a:avLst/>
                    </a:prstGeom>
                    <a:noFill/>
                  </pic:spPr>
                </pic:pic>
              </a:graphicData>
            </a:graphic>
          </wp:anchor>
        </w:drawing>
      </w:r>
    </w:p>
    <w:p>
      <w:pPr>
        <w:spacing w:after="0" w:line="288" w:lineRule="exact"/>
        <w:rPr>
          <w:sz w:val="20"/>
          <w:szCs w:val="20"/>
          <w:color w:val="auto"/>
        </w:rPr>
      </w:pPr>
    </w:p>
    <w:p>
      <w:pPr>
        <w:jc w:val="center"/>
        <w:ind w:left="340" w:right="1020"/>
        <w:spacing w:after="0"/>
        <w:rPr>
          <w:sz w:val="20"/>
          <w:szCs w:val="20"/>
          <w:color w:val="auto"/>
        </w:rPr>
      </w:pPr>
      <w:r>
        <w:rPr>
          <w:rFonts w:ascii="Arial" w:cs="Arial" w:eastAsia="Arial" w:hAnsi="Arial"/>
          <w:sz w:val="22"/>
          <w:szCs w:val="22"/>
          <w:b w:val="1"/>
          <w:bCs w:val="1"/>
          <w:color w:val="4B6794"/>
        </w:rPr>
        <w:t>Beginning in 2019, we reduced the value of the annual stock grant to directors by $50,000 from $300,000 to $250,000 and reduced the cash retainer paid for serving as our Lead Independent Director by $15,000 from $85,000 to $70,000. For 2020, we further reduced the annual stock grant by an additional $15,000 to $235,000</w:t>
      </w:r>
    </w:p>
    <w:p>
      <w:pPr>
        <w:spacing w:after="0" w:line="347"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Only non-employee Directors are compensated for service on the Board. During the fiscal year ended December 31, 2019, the fees for non-employee Directors were: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140" w:type="dxa"/>
            <w:vAlign w:val="bottom"/>
          </w:tcPr>
          <w:p>
            <w:pPr>
              <w:spacing w:after="0"/>
              <w:rPr>
                <w:sz w:val="20"/>
                <w:szCs w:val="20"/>
                <w:color w:val="auto"/>
              </w:rPr>
            </w:pPr>
            <w:r>
              <w:rPr>
                <w:rFonts w:ascii="Arial" w:cs="Arial" w:eastAsia="Arial" w:hAnsi="Arial"/>
                <w:sz w:val="13"/>
                <w:szCs w:val="13"/>
                <w:b w:val="1"/>
                <w:bCs w:val="1"/>
                <w:color w:val="auto"/>
              </w:rPr>
              <w:t>Annual cash retainers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5"/>
        </w:trPr>
        <w:tc>
          <w:tcPr>
            <w:tcW w:w="10140" w:type="dxa"/>
            <w:vAlign w:val="bottom"/>
            <w:tcBorders>
              <w:bottom w:val="single" w:sz="8" w:color="355989"/>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355989"/>
            </w:tcBorders>
          </w:tcPr>
          <w:p>
            <w:pPr>
              <w:spacing w:after="0"/>
              <w:rPr>
                <w:sz w:val="3"/>
                <w:szCs w:val="3"/>
                <w:color w:val="auto"/>
              </w:rPr>
            </w:pPr>
          </w:p>
        </w:tc>
        <w:tc>
          <w:tcPr>
            <w:tcW w:w="760" w:type="dxa"/>
            <w:vAlign w:val="bottom"/>
            <w:tcBorders>
              <w:bottom w:val="single" w:sz="8" w:color="355989"/>
            </w:tcBorders>
          </w:tcPr>
          <w:p>
            <w:pPr>
              <w:spacing w:after="0"/>
              <w:rPr>
                <w:sz w:val="3"/>
                <w:szCs w:val="3"/>
                <w:color w:val="auto"/>
              </w:rPr>
            </w:pPr>
          </w:p>
        </w:tc>
      </w:tr>
      <w:tr>
        <w:trPr>
          <w:trHeight w:val="228"/>
        </w:trPr>
        <w:tc>
          <w:tcPr>
            <w:tcW w:w="10140" w:type="dxa"/>
            <w:vAlign w:val="bottom"/>
          </w:tcPr>
          <w:p>
            <w:pPr>
              <w:spacing w:after="0"/>
              <w:rPr>
                <w:sz w:val="20"/>
                <w:szCs w:val="20"/>
                <w:color w:val="auto"/>
              </w:rPr>
            </w:pPr>
            <w:r>
              <w:rPr>
                <w:rFonts w:ascii="Arial" w:cs="Arial" w:eastAsia="Arial" w:hAnsi="Arial"/>
                <w:sz w:val="18"/>
                <w:szCs w:val="18"/>
                <w:color w:val="auto"/>
              </w:rPr>
              <w:t>Cash retainer</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0"/>
        </w:trPr>
        <w:tc>
          <w:tcPr>
            <w:tcW w:w="10140" w:type="dxa"/>
            <w:vAlign w:val="bottom"/>
            <w:shd w:val="clear" w:color="auto" w:fill="8797B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8797B7"/>
          </w:tcPr>
          <w:p>
            <w:pPr>
              <w:spacing w:after="0" w:line="20" w:lineRule="exact"/>
              <w:rPr>
                <w:sz w:val="1"/>
                <w:szCs w:val="1"/>
                <w:color w:val="auto"/>
              </w:rPr>
            </w:pPr>
          </w:p>
        </w:tc>
        <w:tc>
          <w:tcPr>
            <w:tcW w:w="760" w:type="dxa"/>
            <w:vAlign w:val="bottom"/>
            <w:shd w:val="clear" w:color="auto" w:fill="8797B7"/>
          </w:tcPr>
          <w:p>
            <w:pPr>
              <w:spacing w:after="0" w:line="20" w:lineRule="exact"/>
              <w:rPr>
                <w:sz w:val="1"/>
                <w:szCs w:val="1"/>
                <w:color w:val="auto"/>
              </w:rPr>
            </w:pPr>
          </w:p>
        </w:tc>
      </w:tr>
      <w:tr>
        <w:trPr>
          <w:trHeight w:val="223"/>
        </w:trPr>
        <w:tc>
          <w:tcPr>
            <w:tcW w:w="10140" w:type="dxa"/>
            <w:vAlign w:val="bottom"/>
          </w:tcPr>
          <w:p>
            <w:pPr>
              <w:spacing w:after="0"/>
              <w:rPr>
                <w:sz w:val="20"/>
                <w:szCs w:val="20"/>
                <w:color w:val="auto"/>
              </w:rPr>
            </w:pPr>
            <w:r>
              <w:rPr>
                <w:rFonts w:ascii="Arial" w:cs="Arial" w:eastAsia="Arial" w:hAnsi="Arial"/>
                <w:sz w:val="18"/>
                <w:szCs w:val="18"/>
                <w:color w:val="auto"/>
              </w:rPr>
              <w:t>Additional cash retainer if serving as the Lead Independent Director</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70,000</w:t>
            </w:r>
          </w:p>
        </w:tc>
      </w:tr>
      <w:tr>
        <w:trPr>
          <w:trHeight w:val="20"/>
        </w:trPr>
        <w:tc>
          <w:tcPr>
            <w:tcW w:w="10140" w:type="dxa"/>
            <w:vAlign w:val="bottom"/>
            <w:shd w:val="clear" w:color="auto" w:fill="8797B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8797B7"/>
          </w:tcPr>
          <w:p>
            <w:pPr>
              <w:spacing w:after="0" w:line="20" w:lineRule="exact"/>
              <w:rPr>
                <w:sz w:val="1"/>
                <w:szCs w:val="1"/>
                <w:color w:val="auto"/>
              </w:rPr>
            </w:pPr>
          </w:p>
        </w:tc>
        <w:tc>
          <w:tcPr>
            <w:tcW w:w="760" w:type="dxa"/>
            <w:vAlign w:val="bottom"/>
            <w:shd w:val="clear" w:color="auto" w:fill="8797B7"/>
          </w:tcPr>
          <w:p>
            <w:pPr>
              <w:spacing w:after="0" w:line="20" w:lineRule="exact"/>
              <w:rPr>
                <w:sz w:val="1"/>
                <w:szCs w:val="1"/>
                <w:color w:val="auto"/>
              </w:rPr>
            </w:pPr>
          </w:p>
        </w:tc>
      </w:tr>
      <w:tr>
        <w:trPr>
          <w:trHeight w:val="223"/>
        </w:trPr>
        <w:tc>
          <w:tcPr>
            <w:tcW w:w="10140" w:type="dxa"/>
            <w:vAlign w:val="bottom"/>
          </w:tcPr>
          <w:p>
            <w:pPr>
              <w:spacing w:after="0"/>
              <w:rPr>
                <w:sz w:val="20"/>
                <w:szCs w:val="20"/>
                <w:color w:val="auto"/>
              </w:rPr>
            </w:pPr>
            <w:r>
              <w:rPr>
                <w:rFonts w:ascii="Arial" w:cs="Arial" w:eastAsia="Arial" w:hAnsi="Arial"/>
                <w:sz w:val="18"/>
                <w:szCs w:val="18"/>
                <w:color w:val="auto"/>
              </w:rPr>
              <w:t>Additional cash retainer if serving as a chair of the Audit Committee</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0"/>
        </w:trPr>
        <w:tc>
          <w:tcPr>
            <w:tcW w:w="10140" w:type="dxa"/>
            <w:vAlign w:val="bottom"/>
            <w:shd w:val="clear" w:color="auto" w:fill="8797B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8797B7"/>
          </w:tcPr>
          <w:p>
            <w:pPr>
              <w:spacing w:after="0" w:line="20" w:lineRule="exact"/>
              <w:rPr>
                <w:sz w:val="1"/>
                <w:szCs w:val="1"/>
                <w:color w:val="auto"/>
              </w:rPr>
            </w:pPr>
          </w:p>
        </w:tc>
        <w:tc>
          <w:tcPr>
            <w:tcW w:w="760" w:type="dxa"/>
            <w:vAlign w:val="bottom"/>
            <w:shd w:val="clear" w:color="auto" w:fill="8797B7"/>
          </w:tcPr>
          <w:p>
            <w:pPr>
              <w:spacing w:after="0" w:line="20" w:lineRule="exact"/>
              <w:rPr>
                <w:sz w:val="1"/>
                <w:szCs w:val="1"/>
                <w:color w:val="auto"/>
              </w:rPr>
            </w:pPr>
          </w:p>
        </w:tc>
      </w:tr>
      <w:tr>
        <w:trPr>
          <w:trHeight w:val="223"/>
        </w:trPr>
        <w:tc>
          <w:tcPr>
            <w:tcW w:w="10140" w:type="dxa"/>
            <w:vAlign w:val="bottom"/>
          </w:tcPr>
          <w:p>
            <w:pPr>
              <w:spacing w:after="0"/>
              <w:rPr>
                <w:sz w:val="20"/>
                <w:szCs w:val="20"/>
                <w:color w:val="auto"/>
              </w:rPr>
            </w:pPr>
            <w:r>
              <w:rPr>
                <w:rFonts w:ascii="Arial" w:cs="Arial" w:eastAsia="Arial" w:hAnsi="Arial"/>
                <w:sz w:val="18"/>
                <w:szCs w:val="18"/>
                <w:color w:val="auto"/>
              </w:rPr>
              <w:t>Additional cash retainer if serving as a chair of the Compensation Committee</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0"/>
        </w:trPr>
        <w:tc>
          <w:tcPr>
            <w:tcW w:w="10140" w:type="dxa"/>
            <w:vAlign w:val="bottom"/>
            <w:shd w:val="clear" w:color="auto" w:fill="8797B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8797B7"/>
          </w:tcPr>
          <w:p>
            <w:pPr>
              <w:spacing w:after="0" w:line="20" w:lineRule="exact"/>
              <w:rPr>
                <w:sz w:val="1"/>
                <w:szCs w:val="1"/>
                <w:color w:val="auto"/>
              </w:rPr>
            </w:pPr>
          </w:p>
        </w:tc>
        <w:tc>
          <w:tcPr>
            <w:tcW w:w="760" w:type="dxa"/>
            <w:vAlign w:val="bottom"/>
            <w:shd w:val="clear" w:color="auto" w:fill="8797B7"/>
          </w:tcPr>
          <w:p>
            <w:pPr>
              <w:spacing w:after="0" w:line="20" w:lineRule="exact"/>
              <w:rPr>
                <w:sz w:val="1"/>
                <w:szCs w:val="1"/>
                <w:color w:val="auto"/>
              </w:rPr>
            </w:pPr>
          </w:p>
        </w:tc>
      </w:tr>
      <w:tr>
        <w:trPr>
          <w:trHeight w:val="223"/>
        </w:trPr>
        <w:tc>
          <w:tcPr>
            <w:tcW w:w="10140" w:type="dxa"/>
            <w:vAlign w:val="bottom"/>
          </w:tcPr>
          <w:p>
            <w:pPr>
              <w:spacing w:after="0"/>
              <w:rPr>
                <w:sz w:val="20"/>
                <w:szCs w:val="20"/>
                <w:color w:val="auto"/>
              </w:rPr>
            </w:pPr>
            <w:r>
              <w:rPr>
                <w:rFonts w:ascii="Arial" w:cs="Arial" w:eastAsia="Arial" w:hAnsi="Arial"/>
                <w:sz w:val="18"/>
                <w:szCs w:val="18"/>
                <w:color w:val="auto"/>
              </w:rPr>
              <w:t>Additional cash retainer if serving as a chair of the Corporate Governance Committee</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197"/>
        </w:trPr>
        <w:tc>
          <w:tcPr>
            <w:tcW w:w="10140" w:type="dxa"/>
            <w:vAlign w:val="bottom"/>
            <w:tcBorders>
              <w:top w:val="single" w:sz="8" w:color="8797B7"/>
            </w:tcBorders>
          </w:tcPr>
          <w:p>
            <w:pPr>
              <w:spacing w:after="0"/>
              <w:rPr>
                <w:sz w:val="20"/>
                <w:szCs w:val="20"/>
                <w:color w:val="auto"/>
              </w:rPr>
            </w:pPr>
            <w:r>
              <w:rPr>
                <w:rFonts w:ascii="Arial" w:cs="Arial" w:eastAsia="Arial" w:hAnsi="Arial"/>
                <w:sz w:val="13"/>
                <w:szCs w:val="13"/>
                <w:b w:val="1"/>
                <w:bCs w:val="1"/>
                <w:color w:val="auto"/>
              </w:rPr>
              <w:t>Meeting fees</w:t>
            </w:r>
          </w:p>
        </w:tc>
        <w:tc>
          <w:tcPr>
            <w:tcW w:w="120" w:type="dxa"/>
            <w:vAlign w:val="bottom"/>
          </w:tcPr>
          <w:p>
            <w:pPr>
              <w:spacing w:after="0"/>
              <w:rPr>
                <w:sz w:val="17"/>
                <w:szCs w:val="17"/>
                <w:color w:val="auto"/>
              </w:rPr>
            </w:pPr>
          </w:p>
        </w:tc>
        <w:tc>
          <w:tcPr>
            <w:tcW w:w="220" w:type="dxa"/>
            <w:vAlign w:val="bottom"/>
            <w:tcBorders>
              <w:top w:val="single" w:sz="8" w:color="8797B7"/>
            </w:tcBorders>
          </w:tcPr>
          <w:p>
            <w:pPr>
              <w:spacing w:after="0"/>
              <w:rPr>
                <w:sz w:val="17"/>
                <w:szCs w:val="17"/>
                <w:color w:val="auto"/>
              </w:rPr>
            </w:pPr>
          </w:p>
        </w:tc>
        <w:tc>
          <w:tcPr>
            <w:tcW w:w="760" w:type="dxa"/>
            <w:vAlign w:val="bottom"/>
            <w:tcBorders>
              <w:top w:val="single" w:sz="8" w:color="8797B7"/>
            </w:tcBorders>
          </w:tcPr>
          <w:p>
            <w:pPr>
              <w:spacing w:after="0"/>
              <w:rPr>
                <w:sz w:val="17"/>
                <w:szCs w:val="17"/>
                <w:color w:val="auto"/>
              </w:rPr>
            </w:pPr>
          </w:p>
        </w:tc>
      </w:tr>
      <w:tr>
        <w:trPr>
          <w:trHeight w:val="28"/>
        </w:trPr>
        <w:tc>
          <w:tcPr>
            <w:tcW w:w="10140" w:type="dxa"/>
            <w:vAlign w:val="bottom"/>
            <w:tcBorders>
              <w:bottom w:val="single" w:sz="8" w:color="8797B7"/>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8797B7"/>
            </w:tcBorders>
          </w:tcPr>
          <w:p>
            <w:pPr>
              <w:spacing w:after="0"/>
              <w:rPr>
                <w:sz w:val="2"/>
                <w:szCs w:val="2"/>
                <w:color w:val="auto"/>
              </w:rPr>
            </w:pPr>
          </w:p>
        </w:tc>
        <w:tc>
          <w:tcPr>
            <w:tcW w:w="760" w:type="dxa"/>
            <w:vAlign w:val="bottom"/>
            <w:tcBorders>
              <w:bottom w:val="single" w:sz="8" w:color="8797B7"/>
            </w:tcBorders>
          </w:tcPr>
          <w:p>
            <w:pPr>
              <w:spacing w:after="0"/>
              <w:rPr>
                <w:sz w:val="2"/>
                <w:szCs w:val="2"/>
                <w:color w:val="auto"/>
              </w:rPr>
            </w:pPr>
          </w:p>
        </w:tc>
      </w:tr>
      <w:tr>
        <w:trPr>
          <w:trHeight w:val="222"/>
        </w:trPr>
        <w:tc>
          <w:tcPr>
            <w:tcW w:w="10140" w:type="dxa"/>
            <w:vAlign w:val="bottom"/>
          </w:tcPr>
          <w:p>
            <w:pPr>
              <w:spacing w:after="0"/>
              <w:rPr>
                <w:sz w:val="20"/>
                <w:szCs w:val="20"/>
                <w:color w:val="auto"/>
              </w:rPr>
            </w:pPr>
            <w:r>
              <w:rPr>
                <w:rFonts w:ascii="Arial" w:cs="Arial" w:eastAsia="Arial" w:hAnsi="Arial"/>
                <w:sz w:val="18"/>
                <w:szCs w:val="18"/>
                <w:color w:val="auto"/>
              </w:rPr>
              <w:t>For each meeting of the Board or a committee of the Board</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0"/>
        </w:trPr>
        <w:tc>
          <w:tcPr>
            <w:tcW w:w="10140" w:type="dxa"/>
            <w:vAlign w:val="bottom"/>
            <w:shd w:val="clear" w:color="auto" w:fill="8797B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8797B7"/>
          </w:tcPr>
          <w:p>
            <w:pPr>
              <w:spacing w:after="0" w:line="20" w:lineRule="exact"/>
              <w:rPr>
                <w:sz w:val="1"/>
                <w:szCs w:val="1"/>
                <w:color w:val="auto"/>
              </w:rPr>
            </w:pPr>
          </w:p>
        </w:tc>
        <w:tc>
          <w:tcPr>
            <w:tcW w:w="760" w:type="dxa"/>
            <w:vAlign w:val="bottom"/>
            <w:shd w:val="clear" w:color="auto" w:fill="8797B7"/>
          </w:tcPr>
          <w:p>
            <w:pPr>
              <w:spacing w:after="0" w:line="20" w:lineRule="exact"/>
              <w:rPr>
                <w:sz w:val="1"/>
                <w:szCs w:val="1"/>
                <w:color w:val="auto"/>
              </w:rPr>
            </w:pPr>
          </w:p>
        </w:tc>
      </w:tr>
      <w:tr>
        <w:trPr>
          <w:trHeight w:val="223"/>
        </w:trPr>
        <w:tc>
          <w:tcPr>
            <w:tcW w:w="10140" w:type="dxa"/>
            <w:vAlign w:val="bottom"/>
          </w:tcPr>
          <w:p>
            <w:pPr>
              <w:spacing w:after="0"/>
              <w:rPr>
                <w:sz w:val="20"/>
                <w:szCs w:val="20"/>
                <w:color w:val="auto"/>
              </w:rPr>
            </w:pPr>
            <w:r>
              <w:rPr>
                <w:rFonts w:ascii="Arial" w:cs="Arial" w:eastAsia="Arial" w:hAnsi="Arial"/>
                <w:sz w:val="18"/>
                <w:szCs w:val="18"/>
                <w:color w:val="auto"/>
              </w:rPr>
              <w:t>For each special meeting of the Audit Committee held independently of Board meetings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197"/>
        </w:trPr>
        <w:tc>
          <w:tcPr>
            <w:tcW w:w="10140" w:type="dxa"/>
            <w:vAlign w:val="bottom"/>
            <w:tcBorders>
              <w:top w:val="single" w:sz="8" w:color="8797B7"/>
            </w:tcBorders>
          </w:tcPr>
          <w:p>
            <w:pPr>
              <w:spacing w:after="0"/>
              <w:rPr>
                <w:sz w:val="20"/>
                <w:szCs w:val="20"/>
                <w:color w:val="auto"/>
              </w:rPr>
            </w:pPr>
            <w:r>
              <w:rPr>
                <w:rFonts w:ascii="Arial" w:cs="Arial" w:eastAsia="Arial" w:hAnsi="Arial"/>
                <w:sz w:val="13"/>
                <w:szCs w:val="13"/>
                <w:b w:val="1"/>
                <w:bCs w:val="1"/>
                <w:color w:val="auto"/>
              </w:rPr>
              <w:t>Stock grant</w:t>
            </w:r>
          </w:p>
        </w:tc>
        <w:tc>
          <w:tcPr>
            <w:tcW w:w="120" w:type="dxa"/>
            <w:vAlign w:val="bottom"/>
          </w:tcPr>
          <w:p>
            <w:pPr>
              <w:spacing w:after="0"/>
              <w:rPr>
                <w:sz w:val="17"/>
                <w:szCs w:val="17"/>
                <w:color w:val="auto"/>
              </w:rPr>
            </w:pPr>
          </w:p>
        </w:tc>
        <w:tc>
          <w:tcPr>
            <w:tcW w:w="220" w:type="dxa"/>
            <w:vAlign w:val="bottom"/>
            <w:tcBorders>
              <w:top w:val="single" w:sz="8" w:color="8797B7"/>
            </w:tcBorders>
          </w:tcPr>
          <w:p>
            <w:pPr>
              <w:spacing w:after="0"/>
              <w:rPr>
                <w:sz w:val="17"/>
                <w:szCs w:val="17"/>
                <w:color w:val="auto"/>
              </w:rPr>
            </w:pPr>
          </w:p>
        </w:tc>
        <w:tc>
          <w:tcPr>
            <w:tcW w:w="760" w:type="dxa"/>
            <w:vAlign w:val="bottom"/>
            <w:tcBorders>
              <w:top w:val="single" w:sz="8" w:color="8797B7"/>
            </w:tcBorders>
          </w:tcPr>
          <w:p>
            <w:pPr>
              <w:spacing w:after="0"/>
              <w:rPr>
                <w:sz w:val="17"/>
                <w:szCs w:val="17"/>
                <w:color w:val="auto"/>
              </w:rPr>
            </w:pPr>
          </w:p>
        </w:tc>
      </w:tr>
      <w:tr>
        <w:trPr>
          <w:trHeight w:val="28"/>
        </w:trPr>
        <w:tc>
          <w:tcPr>
            <w:tcW w:w="10140" w:type="dxa"/>
            <w:vAlign w:val="bottom"/>
            <w:tcBorders>
              <w:bottom w:val="single" w:sz="8" w:color="8797B7"/>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8797B7"/>
            </w:tcBorders>
          </w:tcPr>
          <w:p>
            <w:pPr>
              <w:spacing w:after="0"/>
              <w:rPr>
                <w:sz w:val="2"/>
                <w:szCs w:val="2"/>
                <w:color w:val="auto"/>
              </w:rPr>
            </w:pPr>
          </w:p>
        </w:tc>
        <w:tc>
          <w:tcPr>
            <w:tcW w:w="760" w:type="dxa"/>
            <w:vAlign w:val="bottom"/>
            <w:tcBorders>
              <w:bottom w:val="single" w:sz="8" w:color="8797B7"/>
            </w:tcBorders>
          </w:tcPr>
          <w:p>
            <w:pPr>
              <w:spacing w:after="0"/>
              <w:rPr>
                <w:sz w:val="2"/>
                <w:szCs w:val="2"/>
                <w:color w:val="auto"/>
              </w:rPr>
            </w:pPr>
          </w:p>
        </w:tc>
      </w:tr>
      <w:tr>
        <w:trPr>
          <w:trHeight w:val="222"/>
        </w:trPr>
        <w:tc>
          <w:tcPr>
            <w:tcW w:w="10140" w:type="dxa"/>
            <w:vAlign w:val="bottom"/>
          </w:tcPr>
          <w:p>
            <w:pPr>
              <w:spacing w:after="0"/>
              <w:rPr>
                <w:sz w:val="20"/>
                <w:szCs w:val="20"/>
                <w:color w:val="auto"/>
              </w:rPr>
            </w:pPr>
            <w:r>
              <w:rPr>
                <w:rFonts w:ascii="Arial" w:cs="Arial" w:eastAsia="Arial" w:hAnsi="Arial"/>
                <w:sz w:val="18"/>
                <w:szCs w:val="18"/>
                <w:color w:val="auto"/>
              </w:rPr>
              <w:t>Valued at the grant date with shares fully vested on such grant date.</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28"/>
        </w:trPr>
        <w:tc>
          <w:tcPr>
            <w:tcW w:w="10140" w:type="dxa"/>
            <w:vAlign w:val="bottom"/>
            <w:shd w:val="clear" w:color="auto" w:fill="355989"/>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355989"/>
          </w:tcPr>
          <w:p>
            <w:pPr>
              <w:spacing w:after="0"/>
              <w:rPr>
                <w:sz w:val="2"/>
                <w:szCs w:val="2"/>
                <w:color w:val="auto"/>
              </w:rPr>
            </w:pPr>
          </w:p>
        </w:tc>
        <w:tc>
          <w:tcPr>
            <w:tcW w:w="760" w:type="dxa"/>
            <w:vAlign w:val="bottom"/>
            <w:shd w:val="clear" w:color="auto" w:fill="355989"/>
          </w:tcPr>
          <w:p>
            <w:pPr>
              <w:spacing w:after="0"/>
              <w:rPr>
                <w:sz w:val="2"/>
                <w:szCs w:val="2"/>
                <w:color w:val="auto"/>
              </w:rPr>
            </w:pPr>
          </w:p>
        </w:tc>
      </w:tr>
    </w:tbl>
    <w:p>
      <w:pPr>
        <w:spacing w:after="0" w:line="21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annual fees and meeting fees generally are payable quarterly in cash. Each director may elect to receive some or all of these fees in stock and, as noted below, may elect to defer some or all of these fees.</w:t>
      </w:r>
    </w:p>
    <w:p>
      <w:pPr>
        <w:spacing w:after="0" w:line="20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Under our Non-Employee Directors’ Deferral Program, our non-employee directors were entitled to elect to defer up to 100% of their annual fees, meeting fees and annual stock grant. At each director’s election, cash fees deferred under the program could be credited in the form of either phantom stock units, account credits that accrue earnings or losses based on the 30-day LIBOR rate at the beginning of each month plus 2% (or based on such other rate or the performance of such investments as may be determined in advance by the Board) or measurement fund credits that track the performance of one or more open-ended mutual funds selected by the director. Stock grants deferred under the program are credited in the form of phantom stock units. Subject to limitations contained in the program, on a fixed date each quarter, a director may convert phantom stock units into account credits or measurement fund credits or vice versa or change the mutual funds that some or all of the director’s measurement fund credits track. All cash fees credited as, and conversions of or into, phantom stock units or measurement fund credits are based on the fair market value of our common stock or the applicable mutual fund on the date the cash fees otherwise would have been paid or the date of the conversion, as</w:t>
      </w:r>
    </w:p>
    <w:p>
      <w:pPr>
        <w:spacing w:after="0" w:line="214" w:lineRule="exact"/>
        <w:rPr>
          <w:sz w:val="20"/>
          <w:szCs w:val="20"/>
          <w:color w:val="auto"/>
        </w:rPr>
      </w:pPr>
    </w:p>
    <w:p>
      <w:pPr>
        <w:ind w:left="300" w:hanging="292"/>
        <w:spacing w:after="0"/>
        <w:tabs>
          <w:tab w:leader="none" w:pos="300" w:val="left"/>
        </w:tabs>
        <w:numPr>
          <w:ilvl w:val="0"/>
          <w:numId w:val="56"/>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5940"/>
        <w:spacing w:after="0"/>
        <w:rPr>
          <w:sz w:val="20"/>
          <w:szCs w:val="20"/>
          <w:color w:val="auto"/>
        </w:rPr>
      </w:pPr>
      <w:r>
        <w:rPr>
          <w:rFonts w:ascii="Arial" w:cs="Arial" w:eastAsia="Arial" w:hAnsi="Arial"/>
          <w:sz w:val="16"/>
          <w:szCs w:val="16"/>
          <w:u w:val="single" w:color="auto"/>
          <w:color w:val="355889"/>
        </w:rPr>
        <w:t>OUR BOARD OF DIRECTORS AND CORPORATE GOVERNANCE</w:t>
      </w:r>
    </w:p>
    <w:p>
      <w:pPr>
        <w:spacing w:after="0" w:line="23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applicable. Unless otherwise elected by a director, a director’s phantom stock units, account credits and measurement fund credits are payable on the earlier of the January 1st coincident with or next following the director’s termination of service from the Board, or a change in control of the Company, as defined by the program. Phantom stock units are payable in an equal number of shares of our common stock; provided that we may elect to instead settle a director’s phantom stock units by paying the director cash in an amount equal to the value of such shares of common stock. Account credits and measurement fund credits are payable in cash. Under the program, each director is entitled to receive dividend equivalents that are paid currently on the director’s phantom stock units, unless the director elected to defer payment of such dividend equivalents and have them concurrently reinvested into additional phantom stock units.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Director Compensation Process</w:t>
      </w:r>
    </w:p>
    <w:p>
      <w:pPr>
        <w:spacing w:after="0" w:line="23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Board and/or the Compensation Committee review our director compensation annually. During 2018, the Compensation Committee engaged FTI Consulting to evaluate the structure and competitiveness of our non-employee director compensation and recommend changes, as appropriate. Based on this review, the Compensation Committee recommended the reduction of the annual stock grant by $50,000 and reduced the cash retainer paid for serving as our Lead Independent Director by $15,000, which the Board approved. In December 2019, the Compensation Committee revisited the overall structure of our non-employee director compensation in consultation with FTI Consulting and subsequently recommended the approval of an additional reduction to the annual stock grant by $15,000 to better align with our peers, while continuing to ensure the attraction and retention of qualified directors, which the Board approved.</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biographical information regarding our executive officers who are not also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3689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0"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355889"/>
        </w:rPr>
        <w:t>Matthew J.</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355889"/>
        </w:rPr>
        <w:t>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805815" cy="10801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05815" cy="1080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805815" cy="10801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0581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Since:</w:t>
      </w:r>
    </w:p>
    <w:p>
      <w:pPr>
        <w:spacing w:after="0"/>
        <w:rPr>
          <w:sz w:val="20"/>
          <w:szCs w:val="20"/>
          <w:color w:val="auto"/>
        </w:rPr>
      </w:pPr>
      <w:r>
        <w:rPr>
          <w:rFonts w:ascii="Arial" w:cs="Arial" w:eastAsia="Arial" w:hAnsi="Arial"/>
          <w:sz w:val="18"/>
          <w:szCs w:val="18"/>
          <w:color w:val="auto"/>
        </w:rPr>
        <w:t>January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8058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05815" cy="17145"/>
                    </a:xfrm>
                    <a:prstGeom prst="rect">
                      <a:avLst/>
                    </a:prstGeom>
                    <a:noFill/>
                  </pic:spPr>
                </pic:pic>
              </a:graphicData>
            </a:graphic>
          </wp:anchor>
        </w:drawing>
      </w:r>
    </w:p>
    <w:p>
      <w:pPr>
        <w:spacing w:after="0" w:line="237" w:lineRule="exact"/>
        <w:rPr>
          <w:sz w:val="20"/>
          <w:szCs w:val="20"/>
          <w:color w:val="auto"/>
        </w:rPr>
      </w:pPr>
    </w:p>
    <w:p>
      <w:pPr>
        <w:jc w:val="center"/>
        <w:ind w:left="100"/>
        <w:spacing w:after="0"/>
        <w:rPr>
          <w:sz w:val="20"/>
          <w:szCs w:val="20"/>
          <w:color w:val="auto"/>
        </w:rPr>
      </w:pPr>
      <w:r>
        <w:rPr>
          <w:rFonts w:ascii="Arial" w:cs="Arial" w:eastAsia="Arial" w:hAnsi="Arial"/>
          <w:sz w:val="22"/>
          <w:szCs w:val="22"/>
          <w:b w:val="1"/>
          <w:bCs w:val="1"/>
          <w:color w:val="355889"/>
        </w:rPr>
        <w:t>Andrew S.</w:t>
      </w:r>
    </w:p>
    <w:p>
      <w:pPr>
        <w:spacing w:after="0" w:line="16" w:lineRule="exact"/>
        <w:rPr>
          <w:sz w:val="20"/>
          <w:szCs w:val="20"/>
          <w:color w:val="auto"/>
        </w:rPr>
      </w:pPr>
    </w:p>
    <w:p>
      <w:pPr>
        <w:jc w:val="center"/>
        <w:ind w:left="100"/>
        <w:spacing w:after="0"/>
        <w:rPr>
          <w:sz w:val="20"/>
          <w:szCs w:val="20"/>
          <w:color w:val="auto"/>
        </w:rPr>
      </w:pPr>
      <w:r>
        <w:rPr>
          <w:rFonts w:ascii="Arial" w:cs="Arial" w:eastAsia="Arial" w:hAnsi="Arial"/>
          <w:sz w:val="22"/>
          <w:szCs w:val="22"/>
          <w:b w:val="1"/>
          <w:bCs w:val="1"/>
          <w:color w:val="355889"/>
        </w:rPr>
        <w:t>Levine</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Chief Financial Officer</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color w:val="auto"/>
        </w:rPr>
        <w:t xml:space="preserve">Matthew J. DiLiberto </w:t>
      </w:r>
      <w:r>
        <w:rPr>
          <w:rFonts w:ascii="Arial" w:cs="Arial" w:eastAsia="Arial" w:hAnsi="Arial"/>
          <w:sz w:val="16"/>
          <w:szCs w:val="16"/>
          <w:color w:val="auto"/>
        </w:rPr>
        <w:t>joined the Company in September 2004 and currently serves as the Company’s Chief Financial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overseeing the finance, accounting, tax, investor relations and corporate capital markets functions of the organization. Mr. DiLiberto previously served as the Company’s Chief Accounting Officer &amp; Treasurer from 2007 to 2014. From June 2000 to September 2004, Mr. DiLiberto was with Roseland, New Jersey-based Chelsea Property Group, now a division of Simon Property Group, a REIT focused on the development and ownership of premium outlet centers, where he was a Controller and Director of Information Management. From August 1998 to June 2000, Mr. DiLiberto worked at New York-based Vornado Realty Trust, a diversified REIT with ownership interests in office, retail, and other property types, where he worked as a Senior Financial Analyst focusing on accounting and controls as well as the preparation of high level management reports and SEC filings. Prior to joining Vornado Realty Trust, Mr. DiLiberto worked as a Business Assurance Associate at Coopers and Lybrand, LLP (now PricewaterhouseCoopers LLP). Mr. DiLiberto currently serves on the National Association of Real Estate Investment Trust’s Best Financial Practices Council and is a member of the Board of Directors and treasurer of the FDNY Foundation. Mr. DiLiberto received a B.S. degree in Accounting from The University of Scranton.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443865</wp:posOffset>
            </wp:positionV>
            <wp:extent cx="6223635" cy="3683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2363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General Counsel</w:t>
      </w:r>
    </w:p>
    <w:p>
      <w:pPr>
        <w:spacing w:after="0" w:line="170" w:lineRule="exact"/>
        <w:rPr>
          <w:sz w:val="20"/>
          <w:szCs w:val="20"/>
          <w:color w:val="auto"/>
        </w:rPr>
      </w:pPr>
    </w:p>
    <w:p>
      <w:pPr>
        <w:sectPr>
          <w:pgSz w:w="11900" w:h="16838" w:orient="portrait"/>
          <w:cols w:equalWidth="0" w:num="2">
            <w:col w:w="1200" w:space="240"/>
            <w:col w:w="9800"/>
          </w:cols>
          <w:pgMar w:left="320" w:top="121" w:right="339" w:bottom="1440" w:gutter="0" w:footer="0" w:header="0"/>
          <w:type w:val="continuous"/>
        </w:sectPr>
      </w:pPr>
    </w:p>
    <w:p>
      <w:pPr>
        <w:ind w:left="1440" w:right="100"/>
        <w:spacing w:after="0" w:line="239" w:lineRule="auto"/>
        <w:rPr>
          <w:sz w:val="20"/>
          <w:szCs w:val="20"/>
          <w:color w:val="auto"/>
        </w:rPr>
      </w:pPr>
      <w:r>
        <w:rPr>
          <w:rFonts w:ascii="Arial" w:cs="Arial" w:eastAsia="Arial" w:hAnsi="Arial"/>
          <w:sz w:val="18"/>
          <w:szCs w:val="18"/>
          <w:b w:val="1"/>
          <w:bCs w:val="1"/>
          <w:color w:val="auto"/>
        </w:rPr>
        <w:t xml:space="preserve">Andrew S. Levine </w:t>
      </w:r>
      <w:r>
        <w:rPr>
          <w:rFonts w:ascii="Arial" w:cs="Arial" w:eastAsia="Arial" w:hAnsi="Arial"/>
          <w:sz w:val="18"/>
          <w:szCs w:val="18"/>
          <w:color w:val="auto"/>
        </w:rPr>
        <w:t>has served as our Chief Legal Officer and General Counsel since April 2007 and as our General Counsel,</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Vice President and Secretary since November 2000. Prior to joining the Company, Mr. Levine was a partner in the REIT and Real Estate Transactions and Business groups at the law firm of Pryor, Cashman, Sherman &amp; Flynn, LLP. Prior to joining Pryor, Cashman, Sherman &amp; Flynn, LLP, Mr. Levine was a partner at the law firm of Dreyer &amp; Traub. Mr. Levine received a B.A. degree from the University of Vermont and a J.D. degree from Rutgers School of Law, where Mr. Levine was an Editor of the Law Review. He currently serves as a member of the Advisory Committee for Rutgers Center for Corporate Law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-912495</wp:posOffset>
            </wp:positionV>
            <wp:extent cx="805815" cy="11055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05815" cy="110553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Since:</w:t>
      </w:r>
    </w:p>
    <w:p>
      <w:pPr>
        <w:spacing w:after="0"/>
        <w:rPr>
          <w:sz w:val="20"/>
          <w:szCs w:val="20"/>
          <w:color w:val="auto"/>
        </w:rPr>
      </w:pPr>
      <w:r>
        <w:rPr>
          <w:rFonts w:ascii="Arial" w:cs="Arial" w:eastAsia="Arial" w:hAnsi="Arial"/>
          <w:sz w:val="18"/>
          <w:szCs w:val="18"/>
          <w:color w:val="auto"/>
        </w:rPr>
        <w:t>April 2007</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558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4080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Proposal 2: Advisory Vote on the Compensation of our Named Executive Officers</w:t>
      </w:r>
    </w:p>
    <w:p>
      <w:pPr>
        <w:spacing w:after="0" w:line="31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Section 14A(a)(1) of the Exchange Act generally requires each public company to include in its proxy statement a separate resolution subject to a non-binding stockholder vote to approve the compensation of the company’s named executive officers, as disclosed in its proxy statement pursuant to Item 402 of Regulation S-K, not less frequently than once every three years. This is commonly known as, and is referred to herein as, a “say-on-pay” proposal or resolution.</w:t>
      </w:r>
    </w:p>
    <w:p>
      <w:pPr>
        <w:spacing w:after="0" w:line="208"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At our 2017 annual stockholder meeting, our stockholders advised on a non-binding basis, by an affirmative vote of a majority of all votes cast, that the Company should hold non-binding advisory votes on executive compensation on an annual basis. On June 1, 2017, the Board determined that it will include future advisory votes on the compensation of our named executive officers in the Company’s annual meeting proxy materials every year until the next advisory vote on the frequency of stockholder votes on executive compensation, which will occur no later than the Company’s annual meeting of stockholders in 2023.</w:t>
      </w:r>
    </w:p>
    <w:p>
      <w:pPr>
        <w:spacing w:after="0" w:line="211"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Accordingly, pursuant to Section 14A(a)(1) of the Exchange Act, the Company is providing stockholders with the opportunity to approve the following non-binding, advisory resolution:</w:t>
      </w:r>
    </w:p>
    <w:p>
      <w:pPr>
        <w:spacing w:after="0" w:line="209"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Item 402 of Regulation S-K, including the Compensation Discussion and Analysis, compensation tables and narrative discussion, is hereby APPROVED.”</w:t>
      </w:r>
    </w:p>
    <w:p>
      <w:pPr>
        <w:spacing w:after="0" w:line="298" w:lineRule="exact"/>
        <w:rPr>
          <w:sz w:val="20"/>
          <w:szCs w:val="20"/>
          <w:color w:val="auto"/>
        </w:rPr>
      </w:pPr>
    </w:p>
    <w:p>
      <w:pPr>
        <w:jc w:val="center"/>
        <w:ind w:left="500" w:right="360"/>
        <w:spacing w:after="0" w:line="241" w:lineRule="auto"/>
        <w:rPr>
          <w:sz w:val="20"/>
          <w:szCs w:val="20"/>
          <w:color w:val="auto"/>
        </w:rPr>
      </w:pPr>
      <w:r>
        <w:rPr>
          <w:rFonts w:ascii="Arial" w:cs="Arial" w:eastAsia="Arial" w:hAnsi="Arial"/>
          <w:sz w:val="20"/>
          <w:szCs w:val="20"/>
          <w:b w:val="1"/>
          <w:bCs w:val="1"/>
          <w:color w:val="355889"/>
        </w:rPr>
        <w:t xml:space="preserve">The Board unanimously recommends a vote </w:t>
      </w:r>
      <w:r>
        <w:rPr>
          <w:rFonts w:ascii="Arial" w:cs="Arial" w:eastAsia="Arial" w:hAnsi="Arial"/>
          <w:sz w:val="20"/>
          <w:szCs w:val="20"/>
          <w:b w:val="1"/>
          <w:bCs w:val="1"/>
          <w:color w:val="000000"/>
        </w:rPr>
        <w:t>“FOR”</w:t>
      </w:r>
      <w:r>
        <w:rPr>
          <w:rFonts w:ascii="Arial" w:cs="Arial" w:eastAsia="Arial" w:hAnsi="Arial"/>
          <w:sz w:val="20"/>
          <w:szCs w:val="20"/>
          <w:b w:val="1"/>
          <w:bCs w:val="1"/>
          <w:color w:val="355889"/>
        </w:rPr>
        <w:t xml:space="preserve"> the above resolution regarding the compensation of our named executive officers, as disclosed in the Compensation Discussion and Analysis section and the accompanying compensation tables in this Proxy Statement.</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affirmative vote of a majority of all the votes cast with respect to this proposal will be required to approve this proposal.</w:t>
      </w:r>
    </w:p>
    <w:p>
      <w:pPr>
        <w:spacing w:after="0" w:line="212" w:lineRule="exact"/>
        <w:rPr>
          <w:sz w:val="20"/>
          <w:szCs w:val="20"/>
          <w:color w:val="auto"/>
        </w:rPr>
      </w:pPr>
    </w:p>
    <w:p>
      <w:pPr>
        <w:jc w:val="both"/>
        <w:ind w:left="120" w:right="160"/>
        <w:spacing w:after="0" w:line="299" w:lineRule="auto"/>
        <w:rPr>
          <w:sz w:val="20"/>
          <w:szCs w:val="20"/>
          <w:color w:val="auto"/>
        </w:rPr>
      </w:pPr>
      <w:r>
        <w:rPr>
          <w:rFonts w:ascii="Arial" w:cs="Arial" w:eastAsia="Arial" w:hAnsi="Arial"/>
          <w:sz w:val="16"/>
          <w:szCs w:val="16"/>
          <w:color w:val="auto"/>
        </w:rPr>
        <w:t>The results of this advisory vote are not binding on the Compensation Committee, the Company or the Board. Nevertheless, we value input from our stockholders and will consider carefully the results of this vote when making future decisions concerning executive compensation.</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Compensation Committee of the Board of Directors of SL Green Realty Corp. has reviewed and discussed the Compensation Discussion and Analysis required by Item 402(b) of Regulation S-K with management and, based on such review and discussions, our Compensation Committee recommended to the Board that the Compensation Discussion and Analysis be included in this annual proxy statement and incorporated by reference in the Company’s Annual Report on Form 10-K for the year ended December 31, 2019.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Submitted by our Compensation Committee</w:t>
      </w:r>
    </w:p>
    <w:p>
      <w:pPr>
        <w:spacing w:after="0" w:line="234" w:lineRule="auto"/>
        <w:rPr>
          <w:sz w:val="20"/>
          <w:szCs w:val="20"/>
          <w:color w:val="auto"/>
        </w:rPr>
      </w:pPr>
      <w:r>
        <w:rPr>
          <w:rFonts w:ascii="Arial" w:cs="Arial" w:eastAsia="Arial" w:hAnsi="Arial"/>
          <w:sz w:val="18"/>
          <w:szCs w:val="18"/>
          <w:color w:val="auto"/>
        </w:rPr>
        <w:t>Lauren B. Dillard (Chair)</w:t>
      </w:r>
    </w:p>
    <w:p>
      <w:pPr>
        <w:spacing w:after="0" w:line="235" w:lineRule="auto"/>
        <w:rPr>
          <w:sz w:val="20"/>
          <w:szCs w:val="20"/>
          <w:color w:val="auto"/>
        </w:rPr>
      </w:pPr>
      <w:r>
        <w:rPr>
          <w:rFonts w:ascii="Arial" w:cs="Arial" w:eastAsia="Arial" w:hAnsi="Arial"/>
          <w:sz w:val="18"/>
          <w:szCs w:val="18"/>
          <w:color w:val="auto"/>
        </w:rPr>
        <w:t>John H. Alschuler</w:t>
      </w:r>
    </w:p>
    <w:p>
      <w:pPr>
        <w:spacing w:after="0" w:line="235" w:lineRule="auto"/>
        <w:rPr>
          <w:sz w:val="20"/>
          <w:szCs w:val="20"/>
          <w:color w:val="auto"/>
        </w:rPr>
      </w:pPr>
      <w:r>
        <w:rPr>
          <w:rFonts w:ascii="Arial" w:cs="Arial" w:eastAsia="Arial" w:hAnsi="Arial"/>
          <w:sz w:val="18"/>
          <w:szCs w:val="18"/>
          <w:color w:val="auto"/>
        </w:rPr>
        <w:t>Edwin T. Burton, III</w:t>
      </w:r>
    </w:p>
    <w:p>
      <w:pPr>
        <w:spacing w:after="0"/>
        <w:rPr>
          <w:sz w:val="20"/>
          <w:szCs w:val="20"/>
          <w:color w:val="auto"/>
        </w:rPr>
      </w:pPr>
      <w:r>
        <w:rPr>
          <w:rFonts w:ascii="Arial" w:cs="Arial" w:eastAsia="Arial" w:hAnsi="Arial"/>
          <w:sz w:val="18"/>
          <w:szCs w:val="18"/>
          <w:color w:val="auto"/>
        </w:rPr>
        <w:t>John S. Levy</w:t>
      </w:r>
    </w:p>
    <w:p>
      <w:pPr>
        <w:spacing w:after="0" w:line="212" w:lineRule="exact"/>
        <w:rPr>
          <w:sz w:val="20"/>
          <w:szCs w:val="20"/>
          <w:color w:val="auto"/>
        </w:rPr>
      </w:pPr>
    </w:p>
    <w:p>
      <w:pPr>
        <w:ind w:left="300" w:hanging="292"/>
        <w:spacing w:after="0"/>
        <w:tabs>
          <w:tab w:leader="none" w:pos="300" w:val="left"/>
        </w:tabs>
        <w:numPr>
          <w:ilvl w:val="0"/>
          <w:numId w:val="57"/>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ind w:right="20"/>
        <w:spacing w:after="0"/>
        <w:rPr>
          <w:sz w:val="20"/>
          <w:szCs w:val="20"/>
          <w:color w:val="auto"/>
        </w:rPr>
      </w:pPr>
      <w:r>
        <w:rPr>
          <w:rFonts w:ascii="Arial" w:cs="Arial" w:eastAsia="Arial" w:hAnsi="Arial"/>
          <w:sz w:val="18"/>
          <w:szCs w:val="18"/>
          <w:u w:val="single" w:color="auto"/>
          <w:color w:val="355889"/>
        </w:rPr>
        <w:t>EXECUTIVE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section of our proxy statement discusses the principles underlying our executive compensation policies and decisions and the most important factors relevant to an analysis of these policies and decisions. It provides qualitative and quantitative information regarding the manner and context in which compensation is awarded to, and earned by, our named executive officers and places in perspective the data presented in the tables and narrative that follow.</w:t>
      </w:r>
    </w:p>
    <w:p>
      <w:pPr>
        <w:spacing w:after="0" w:line="208"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Throughout this proxy statement, the individuals who served as our Chief Executive Officer, President, Chief Financial Officer and General Counsel during our 2019 fiscal year are referred to as the “named executive officers” or our “executives.”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Executive Summary</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Business Overview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b w:val="1"/>
                <w:bCs w:val="1"/>
                <w:color w:val="auto"/>
              </w:rPr>
              <w:t>Our Mission</w:t>
            </w:r>
          </w:p>
        </w:tc>
        <w:tc>
          <w:tcPr>
            <w:tcW w:w="10080" w:type="dxa"/>
            <w:vAlign w:val="bottom"/>
          </w:tcPr>
          <w:p>
            <w:pPr>
              <w:ind w:left="100"/>
              <w:spacing w:after="0"/>
              <w:rPr>
                <w:sz w:val="20"/>
                <w:szCs w:val="20"/>
                <w:color w:val="auto"/>
              </w:rPr>
            </w:pPr>
            <w:r>
              <w:rPr>
                <w:rFonts w:ascii="Arial" w:cs="Arial" w:eastAsia="Arial" w:hAnsi="Arial"/>
                <w:sz w:val="13"/>
                <w:szCs w:val="13"/>
                <w:color w:val="auto"/>
              </w:rPr>
              <w:t>SL Green Realty Corp., an S&amp;P 500 company and Manhattan’s largest office landlord, is a fully integrated real estate investment trust, or REIT, that is focused primarily</w:t>
            </w:r>
          </w:p>
        </w:tc>
      </w:tr>
      <w:tr>
        <w:trPr>
          <w:trHeight w:val="162"/>
        </w:trPr>
        <w:tc>
          <w:tcPr>
            <w:tcW w:w="1120" w:type="dxa"/>
            <w:vAlign w:val="bottom"/>
          </w:tcPr>
          <w:p>
            <w:pPr>
              <w:spacing w:after="0"/>
              <w:rPr>
                <w:sz w:val="14"/>
                <w:szCs w:val="14"/>
                <w:color w:val="auto"/>
              </w:rPr>
            </w:pPr>
          </w:p>
        </w:tc>
        <w:tc>
          <w:tcPr>
            <w:tcW w:w="10080" w:type="dxa"/>
            <w:vAlign w:val="bottom"/>
          </w:tcPr>
          <w:p>
            <w:pPr>
              <w:ind w:left="100"/>
              <w:spacing w:after="0"/>
              <w:rPr>
                <w:sz w:val="20"/>
                <w:szCs w:val="20"/>
                <w:color w:val="auto"/>
              </w:rPr>
            </w:pPr>
            <w:r>
              <w:rPr>
                <w:rFonts w:ascii="Arial" w:cs="Arial" w:eastAsia="Arial" w:hAnsi="Arial"/>
                <w:sz w:val="13"/>
                <w:szCs w:val="13"/>
                <w:color w:val="auto"/>
              </w:rPr>
              <w:t>on acquiring, developing, managing, and maximizing the value of Manhattan commercial properties.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25400</wp:posOffset>
            </wp:positionV>
            <wp:extent cx="17145" cy="548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 cy="54864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25400</wp:posOffset>
            </wp:positionV>
            <wp:extent cx="17145" cy="548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 cy="54864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17145" cy="548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 cy="548640"/>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1220" w:type="dxa"/>
            <w:vAlign w:val="bottom"/>
          </w:tcPr>
          <w:p>
            <w:pPr>
              <w:spacing w:after="0"/>
              <w:rPr>
                <w:sz w:val="20"/>
                <w:szCs w:val="20"/>
                <w:color w:val="auto"/>
              </w:rPr>
            </w:pPr>
            <w:r>
              <w:rPr>
                <w:rFonts w:ascii="Arial" w:cs="Arial" w:eastAsia="Arial" w:hAnsi="Arial"/>
                <w:sz w:val="18"/>
                <w:szCs w:val="18"/>
                <w:b w:val="1"/>
                <w:bCs w:val="1"/>
                <w:color w:val="auto"/>
              </w:rPr>
              <w:t>Who We Are</w:t>
            </w:r>
          </w:p>
        </w:tc>
        <w:tc>
          <w:tcPr>
            <w:tcW w:w="2480" w:type="dxa"/>
            <w:vAlign w:val="bottom"/>
            <w:shd w:val="clear" w:color="auto" w:fill="9BA8C3"/>
          </w:tcPr>
          <w:p>
            <w:pPr>
              <w:jc w:val="center"/>
              <w:spacing w:after="0"/>
              <w:rPr>
                <w:sz w:val="20"/>
                <w:szCs w:val="20"/>
                <w:color w:val="auto"/>
              </w:rPr>
            </w:pPr>
            <w:r>
              <w:rPr>
                <w:rFonts w:ascii="Arial" w:cs="Arial" w:eastAsia="Arial" w:hAnsi="Arial"/>
                <w:sz w:val="22"/>
                <w:szCs w:val="22"/>
                <w:b w:val="1"/>
                <w:bCs w:val="1"/>
                <w:color w:val="FFFFFF"/>
                <w:w w:val="98"/>
              </w:rPr>
              <w:t>$1.7 Billion</w:t>
            </w:r>
          </w:p>
        </w:tc>
        <w:tc>
          <w:tcPr>
            <w:tcW w:w="2660" w:type="dxa"/>
            <w:vAlign w:val="bottom"/>
            <w:shd w:val="clear" w:color="auto" w:fill="9BA8C3"/>
          </w:tcPr>
          <w:p>
            <w:pPr>
              <w:jc w:val="center"/>
              <w:spacing w:after="0"/>
              <w:rPr>
                <w:sz w:val="20"/>
                <w:szCs w:val="20"/>
                <w:color w:val="auto"/>
              </w:rPr>
            </w:pPr>
            <w:r>
              <w:rPr>
                <w:rFonts w:ascii="Arial" w:cs="Arial" w:eastAsia="Arial" w:hAnsi="Arial"/>
                <w:sz w:val="22"/>
                <w:szCs w:val="22"/>
                <w:b w:val="1"/>
                <w:bCs w:val="1"/>
                <w:color w:val="FFFFFF"/>
                <w:w w:val="97"/>
              </w:rPr>
              <w:t>#1</w:t>
            </w:r>
          </w:p>
        </w:tc>
        <w:tc>
          <w:tcPr>
            <w:tcW w:w="2440" w:type="dxa"/>
            <w:vAlign w:val="bottom"/>
            <w:shd w:val="clear" w:color="auto" w:fill="9BA8C3"/>
          </w:tcPr>
          <w:p>
            <w:pPr>
              <w:jc w:val="center"/>
              <w:ind w:right="22"/>
              <w:spacing w:after="0"/>
              <w:rPr>
                <w:sz w:val="20"/>
                <w:szCs w:val="20"/>
                <w:color w:val="auto"/>
              </w:rPr>
            </w:pPr>
            <w:r>
              <w:rPr>
                <w:rFonts w:ascii="Arial" w:cs="Arial" w:eastAsia="Arial" w:hAnsi="Arial"/>
                <w:sz w:val="22"/>
                <w:szCs w:val="22"/>
                <w:b w:val="1"/>
                <w:bCs w:val="1"/>
                <w:color w:val="FFFFFF"/>
                <w:w w:val="97"/>
              </w:rPr>
              <w:t>46.5 Million</w:t>
            </w:r>
          </w:p>
        </w:tc>
        <w:tc>
          <w:tcPr>
            <w:tcW w:w="2440" w:type="dxa"/>
            <w:vAlign w:val="bottom"/>
            <w:shd w:val="clear" w:color="auto" w:fill="9BA8C3"/>
          </w:tcPr>
          <w:p>
            <w:pPr>
              <w:jc w:val="center"/>
              <w:spacing w:after="0"/>
              <w:rPr>
                <w:sz w:val="20"/>
                <w:szCs w:val="20"/>
                <w:color w:val="auto"/>
              </w:rPr>
            </w:pPr>
            <w:r>
              <w:rPr>
                <w:rFonts w:ascii="Arial" w:cs="Arial" w:eastAsia="Arial" w:hAnsi="Arial"/>
                <w:sz w:val="22"/>
                <w:szCs w:val="22"/>
                <w:b w:val="1"/>
                <w:bCs w:val="1"/>
                <w:color w:val="FFFFFF"/>
                <w:w w:val="98"/>
              </w:rPr>
              <w:t>$17.8 Billion</w:t>
            </w:r>
          </w:p>
        </w:tc>
      </w:tr>
      <w:tr>
        <w:trPr>
          <w:trHeight w:val="203"/>
        </w:trPr>
        <w:tc>
          <w:tcPr>
            <w:tcW w:w="1220" w:type="dxa"/>
            <w:vAlign w:val="bottom"/>
          </w:tcPr>
          <w:p>
            <w:pPr>
              <w:spacing w:after="0"/>
              <w:rPr>
                <w:sz w:val="17"/>
                <w:szCs w:val="17"/>
                <w:color w:val="auto"/>
              </w:rPr>
            </w:pPr>
          </w:p>
        </w:tc>
        <w:tc>
          <w:tcPr>
            <w:tcW w:w="2480" w:type="dxa"/>
            <w:vAlign w:val="bottom"/>
            <w:shd w:val="clear" w:color="auto" w:fill="9BA8C3"/>
          </w:tcPr>
          <w:p>
            <w:pPr>
              <w:jc w:val="center"/>
              <w:spacing w:after="0" w:line="202" w:lineRule="exact"/>
              <w:rPr>
                <w:sz w:val="20"/>
                <w:szCs w:val="20"/>
                <w:color w:val="auto"/>
              </w:rPr>
            </w:pPr>
            <w:r>
              <w:rPr>
                <w:rFonts w:ascii="Arial" w:cs="Arial" w:eastAsia="Arial" w:hAnsi="Arial"/>
                <w:sz w:val="18"/>
                <w:szCs w:val="18"/>
                <w:b w:val="1"/>
                <w:bCs w:val="1"/>
                <w:color w:val="355889"/>
                <w:w w:val="97"/>
              </w:rPr>
              <w:t>Combined Revenues</w:t>
            </w:r>
          </w:p>
        </w:tc>
        <w:tc>
          <w:tcPr>
            <w:tcW w:w="2660" w:type="dxa"/>
            <w:vAlign w:val="bottom"/>
            <w:shd w:val="clear" w:color="auto" w:fill="9BA8C3"/>
          </w:tcPr>
          <w:p>
            <w:pPr>
              <w:jc w:val="center"/>
              <w:spacing w:after="0" w:line="202" w:lineRule="exact"/>
              <w:rPr>
                <w:sz w:val="20"/>
                <w:szCs w:val="20"/>
                <w:color w:val="auto"/>
              </w:rPr>
            </w:pPr>
            <w:r>
              <w:rPr>
                <w:rFonts w:ascii="Arial" w:cs="Arial" w:eastAsia="Arial" w:hAnsi="Arial"/>
                <w:sz w:val="18"/>
                <w:szCs w:val="18"/>
                <w:b w:val="1"/>
                <w:bCs w:val="1"/>
                <w:color w:val="355889"/>
                <w:w w:val="98"/>
              </w:rPr>
              <w:t>Owner of Office</w:t>
            </w:r>
          </w:p>
        </w:tc>
        <w:tc>
          <w:tcPr>
            <w:tcW w:w="2440" w:type="dxa"/>
            <w:vAlign w:val="bottom"/>
            <w:shd w:val="clear" w:color="auto" w:fill="9BA8C3"/>
          </w:tcPr>
          <w:p>
            <w:pPr>
              <w:jc w:val="center"/>
              <w:ind w:right="2"/>
              <w:spacing w:after="0" w:line="202" w:lineRule="exact"/>
              <w:rPr>
                <w:sz w:val="20"/>
                <w:szCs w:val="20"/>
                <w:color w:val="auto"/>
              </w:rPr>
            </w:pPr>
            <w:r>
              <w:rPr>
                <w:rFonts w:ascii="Arial" w:cs="Arial" w:eastAsia="Arial" w:hAnsi="Arial"/>
                <w:sz w:val="18"/>
                <w:szCs w:val="18"/>
                <w:b w:val="1"/>
                <w:bCs w:val="1"/>
                <w:color w:val="355889"/>
                <w:w w:val="96"/>
              </w:rPr>
              <w:t>Total Square Feet</w:t>
            </w:r>
          </w:p>
        </w:tc>
        <w:tc>
          <w:tcPr>
            <w:tcW w:w="2440" w:type="dxa"/>
            <w:vAlign w:val="bottom"/>
            <w:shd w:val="clear" w:color="auto" w:fill="9BA8C3"/>
          </w:tcPr>
          <w:p>
            <w:pPr>
              <w:jc w:val="center"/>
              <w:spacing w:after="0" w:line="202" w:lineRule="exact"/>
              <w:rPr>
                <w:sz w:val="20"/>
                <w:szCs w:val="20"/>
                <w:color w:val="auto"/>
              </w:rPr>
            </w:pPr>
            <w:r>
              <w:rPr>
                <w:rFonts w:ascii="Arial" w:cs="Arial" w:eastAsia="Arial" w:hAnsi="Arial"/>
                <w:sz w:val="18"/>
                <w:szCs w:val="18"/>
                <w:b w:val="1"/>
                <w:bCs w:val="1"/>
                <w:color w:val="355889"/>
                <w:w w:val="95"/>
              </w:rPr>
              <w:t>Enterprise Value</w:t>
            </w:r>
          </w:p>
        </w:tc>
      </w:tr>
      <w:tr>
        <w:trPr>
          <w:trHeight w:val="233"/>
        </w:trPr>
        <w:tc>
          <w:tcPr>
            <w:tcW w:w="1220" w:type="dxa"/>
            <w:vAlign w:val="bottom"/>
          </w:tcPr>
          <w:p>
            <w:pPr>
              <w:spacing w:after="0"/>
              <w:rPr>
                <w:sz w:val="20"/>
                <w:szCs w:val="20"/>
                <w:color w:val="auto"/>
              </w:rPr>
            </w:pPr>
          </w:p>
        </w:tc>
        <w:tc>
          <w:tcPr>
            <w:tcW w:w="2480" w:type="dxa"/>
            <w:vAlign w:val="bottom"/>
            <w:shd w:val="clear" w:color="auto" w:fill="9BA8C3"/>
          </w:tcPr>
          <w:p>
            <w:pPr>
              <w:spacing w:after="0"/>
              <w:rPr>
                <w:sz w:val="20"/>
                <w:szCs w:val="20"/>
                <w:color w:val="auto"/>
              </w:rPr>
            </w:pPr>
          </w:p>
        </w:tc>
        <w:tc>
          <w:tcPr>
            <w:tcW w:w="2660" w:type="dxa"/>
            <w:vAlign w:val="bottom"/>
            <w:shd w:val="clear" w:color="auto" w:fill="9BA8C3"/>
          </w:tcPr>
          <w:p>
            <w:pPr>
              <w:jc w:val="center"/>
              <w:spacing w:after="0"/>
              <w:rPr>
                <w:sz w:val="20"/>
                <w:szCs w:val="20"/>
                <w:color w:val="auto"/>
              </w:rPr>
            </w:pPr>
            <w:r>
              <w:rPr>
                <w:rFonts w:ascii="Arial" w:cs="Arial" w:eastAsia="Arial" w:hAnsi="Arial"/>
                <w:sz w:val="18"/>
                <w:szCs w:val="18"/>
                <w:b w:val="1"/>
                <w:bCs w:val="1"/>
                <w:color w:val="355889"/>
                <w:w w:val="96"/>
              </w:rPr>
              <w:t>Property in Manhattan</w:t>
            </w:r>
          </w:p>
        </w:tc>
        <w:tc>
          <w:tcPr>
            <w:tcW w:w="2440" w:type="dxa"/>
            <w:vAlign w:val="bottom"/>
            <w:shd w:val="clear" w:color="auto" w:fill="9BA8C3"/>
          </w:tcPr>
          <w:p>
            <w:pPr>
              <w:spacing w:after="0"/>
              <w:rPr>
                <w:sz w:val="20"/>
                <w:szCs w:val="20"/>
                <w:color w:val="auto"/>
              </w:rPr>
            </w:pPr>
          </w:p>
        </w:tc>
        <w:tc>
          <w:tcPr>
            <w:tcW w:w="2440" w:type="dxa"/>
            <w:vAlign w:val="bottom"/>
            <w:shd w:val="clear" w:color="auto" w:fill="9BA8C3"/>
          </w:tcPr>
          <w:p>
            <w:pPr>
              <w:spacing w:after="0"/>
              <w:rPr>
                <w:sz w:val="20"/>
                <w:szCs w:val="20"/>
                <w:color w:val="auto"/>
              </w:rPr>
            </w:pPr>
          </w:p>
        </w:tc>
      </w:tr>
      <w:tr>
        <w:trPr>
          <w:trHeight w:val="97"/>
        </w:trPr>
        <w:tc>
          <w:tcPr>
            <w:tcW w:w="1220" w:type="dxa"/>
            <w:vAlign w:val="bottom"/>
          </w:tcPr>
          <w:p>
            <w:pPr>
              <w:spacing w:after="0"/>
              <w:rPr>
                <w:sz w:val="8"/>
                <w:szCs w:val="8"/>
                <w:color w:val="auto"/>
              </w:rPr>
            </w:pPr>
          </w:p>
        </w:tc>
        <w:tc>
          <w:tcPr>
            <w:tcW w:w="2480" w:type="dxa"/>
            <w:vAlign w:val="bottom"/>
            <w:shd w:val="clear" w:color="auto" w:fill="9BA8C3"/>
          </w:tcPr>
          <w:p>
            <w:pPr>
              <w:spacing w:after="0"/>
              <w:rPr>
                <w:sz w:val="8"/>
                <w:szCs w:val="8"/>
                <w:color w:val="auto"/>
              </w:rPr>
            </w:pPr>
          </w:p>
        </w:tc>
        <w:tc>
          <w:tcPr>
            <w:tcW w:w="2660" w:type="dxa"/>
            <w:vAlign w:val="bottom"/>
            <w:shd w:val="clear" w:color="auto" w:fill="9BA8C3"/>
          </w:tcPr>
          <w:p>
            <w:pPr>
              <w:spacing w:after="0"/>
              <w:rPr>
                <w:sz w:val="8"/>
                <w:szCs w:val="8"/>
                <w:color w:val="auto"/>
              </w:rPr>
            </w:pPr>
          </w:p>
        </w:tc>
        <w:tc>
          <w:tcPr>
            <w:tcW w:w="2440" w:type="dxa"/>
            <w:vAlign w:val="bottom"/>
            <w:shd w:val="clear" w:color="auto" w:fill="9BA8C3"/>
          </w:tcPr>
          <w:p>
            <w:pPr>
              <w:spacing w:after="0"/>
              <w:rPr>
                <w:sz w:val="8"/>
                <w:szCs w:val="8"/>
                <w:color w:val="auto"/>
              </w:rPr>
            </w:pPr>
          </w:p>
        </w:tc>
        <w:tc>
          <w:tcPr>
            <w:tcW w:w="2440" w:type="dxa"/>
            <w:vAlign w:val="bottom"/>
            <w:shd w:val="clear" w:color="auto" w:fill="9BA8C3"/>
          </w:tcPr>
          <w:p>
            <w:pPr>
              <w:spacing w:after="0"/>
              <w:rPr>
                <w:sz w:val="8"/>
                <w:szCs w:val="8"/>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differentiate ourselves from our peers and competitors in four key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36861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368617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p>
      <w:pPr>
        <w:spacing w:after="0" w:line="235" w:lineRule="exact"/>
        <w:rPr>
          <w:sz w:val="20"/>
          <w:szCs w:val="20"/>
          <w:color w:val="auto"/>
        </w:rPr>
      </w:pPr>
    </w:p>
    <w:p>
      <w:pPr>
        <w:ind w:left="80"/>
        <w:spacing w:after="0" w:line="241" w:lineRule="auto"/>
        <w:rPr>
          <w:sz w:val="20"/>
          <w:szCs w:val="20"/>
          <w:color w:val="auto"/>
        </w:rPr>
      </w:pPr>
      <w:r>
        <w:rPr>
          <w:rFonts w:ascii="Arial" w:cs="Arial" w:eastAsia="Arial" w:hAnsi="Arial"/>
          <w:sz w:val="20"/>
          <w:szCs w:val="20"/>
          <w:b w:val="1"/>
          <w:bCs w:val="1"/>
          <w:color w:val="355889"/>
        </w:rPr>
        <w:t>Active and Engaged Business Strategy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238" w:hanging="238"/>
        <w:spacing w:after="0"/>
        <w:tabs>
          <w:tab w:leader="none" w:pos="238" w:val="left"/>
        </w:tabs>
        <w:numPr>
          <w:ilvl w:val="0"/>
          <w:numId w:val="58"/>
        </w:numPr>
        <w:rPr>
          <w:rFonts w:ascii="Arial" w:cs="Arial" w:eastAsia="Arial" w:hAnsi="Arial"/>
          <w:sz w:val="16"/>
          <w:szCs w:val="16"/>
          <w:color w:val="355889"/>
        </w:rPr>
      </w:pPr>
      <w:r>
        <w:rPr>
          <w:rFonts w:ascii="Arial" w:cs="Arial" w:eastAsia="Arial" w:hAnsi="Arial"/>
          <w:sz w:val="16"/>
          <w:szCs w:val="16"/>
          <w:color w:val="auto"/>
        </w:rPr>
        <w:t>SLG does not subscribe to a traditional “buy and hold” strategy and is a very active transaction-oriented company</w:t>
      </w:r>
    </w:p>
    <w:p>
      <w:pPr>
        <w:spacing w:after="0" w:line="99" w:lineRule="exact"/>
        <w:rPr>
          <w:rFonts w:ascii="Arial" w:cs="Arial" w:eastAsia="Arial" w:hAnsi="Arial"/>
          <w:sz w:val="16"/>
          <w:szCs w:val="16"/>
          <w:color w:val="355889"/>
        </w:rPr>
      </w:pPr>
    </w:p>
    <w:p>
      <w:pPr>
        <w:ind w:left="258" w:right="240" w:hanging="258"/>
        <w:spacing w:after="0" w:line="254" w:lineRule="auto"/>
        <w:tabs>
          <w:tab w:leader="none" w:pos="235" w:val="left"/>
        </w:tabs>
        <w:numPr>
          <w:ilvl w:val="0"/>
          <w:numId w:val="58"/>
        </w:numPr>
        <w:rPr>
          <w:rFonts w:ascii="Arial" w:cs="Arial" w:eastAsia="Arial" w:hAnsi="Arial"/>
          <w:sz w:val="17"/>
          <w:szCs w:val="17"/>
          <w:color w:val="355889"/>
        </w:rPr>
      </w:pPr>
      <w:r>
        <w:rPr>
          <w:rFonts w:ascii="Arial" w:cs="Arial" w:eastAsia="Arial" w:hAnsi="Arial"/>
          <w:sz w:val="18"/>
          <w:szCs w:val="18"/>
          <w:color w:val="auto"/>
        </w:rPr>
        <w:t>In any given year, we execute more transactions than many of our competitors do over a much longer, multi-year period</w:t>
      </w:r>
    </w:p>
    <w:p>
      <w:pPr>
        <w:spacing w:after="0" w:line="61" w:lineRule="exact"/>
        <w:rPr>
          <w:rFonts w:ascii="Arial" w:cs="Arial" w:eastAsia="Arial" w:hAnsi="Arial"/>
          <w:sz w:val="17"/>
          <w:szCs w:val="17"/>
          <w:color w:val="355889"/>
        </w:rPr>
      </w:pPr>
    </w:p>
    <w:p>
      <w:pPr>
        <w:ind w:left="238" w:hanging="238"/>
        <w:spacing w:after="0"/>
        <w:tabs>
          <w:tab w:leader="none" w:pos="238" w:val="left"/>
        </w:tabs>
        <w:numPr>
          <w:ilvl w:val="0"/>
          <w:numId w:val="58"/>
        </w:numPr>
        <w:rPr>
          <w:rFonts w:ascii="Arial" w:cs="Arial" w:eastAsia="Arial" w:hAnsi="Arial"/>
          <w:sz w:val="17"/>
          <w:szCs w:val="17"/>
          <w:color w:val="355889"/>
        </w:rPr>
      </w:pPr>
      <w:r>
        <w:rPr>
          <w:rFonts w:ascii="Arial" w:cs="Arial" w:eastAsia="Arial" w:hAnsi="Arial"/>
          <w:sz w:val="18"/>
          <w:szCs w:val="18"/>
          <w:color w:val="auto"/>
        </w:rPr>
        <w:t>Accordingly, we frequently capitalize on opportunities in the market, maximizing returns</w:t>
      </w:r>
    </w:p>
    <w:p>
      <w:pPr>
        <w:spacing w:after="0" w:line="32" w:lineRule="exact"/>
        <w:rPr>
          <w:sz w:val="20"/>
          <w:szCs w:val="20"/>
          <w:color w:val="auto"/>
        </w:rPr>
      </w:pPr>
    </w:p>
    <w:p>
      <w:pPr>
        <w:sectPr>
          <w:pgSz w:w="11900" w:h="16838" w:orient="portrait"/>
          <w:cols w:equalWidth="0" w:num="2">
            <w:col w:w="1860" w:space="182"/>
            <w:col w:w="9218"/>
          </w:cols>
          <w:pgMar w:left="320" w:top="121" w:right="31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920" w:type="dxa"/>
            <w:vAlign w:val="bottom"/>
          </w:tcPr>
          <w:p>
            <w:pPr>
              <w:ind w:left="80"/>
              <w:spacing w:after="0"/>
              <w:rPr>
                <w:sz w:val="20"/>
                <w:szCs w:val="20"/>
                <w:color w:val="auto"/>
              </w:rPr>
            </w:pPr>
            <w:r>
              <w:rPr>
                <w:rFonts w:ascii="Arial" w:cs="Arial" w:eastAsia="Arial" w:hAnsi="Arial"/>
                <w:sz w:val="20"/>
                <w:szCs w:val="20"/>
                <w:b w:val="1"/>
                <w:bCs w:val="1"/>
                <w:color w:val="355889"/>
              </w:rPr>
              <w:t>Operations on</w:t>
            </w:r>
          </w:p>
        </w:tc>
        <w:tc>
          <w:tcPr>
            <w:tcW w:w="9340" w:type="dxa"/>
            <w:vAlign w:val="bottom"/>
            <w:gridSpan w:val="2"/>
          </w:tcPr>
          <w:p>
            <w:pPr>
              <w:ind w:left="12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Buy and sell properties independently and collaborate with other organizations through joint ventures when</w:t>
            </w:r>
          </w:p>
        </w:tc>
      </w:tr>
      <w:tr>
        <w:trPr>
          <w:trHeight w:val="261"/>
        </w:trPr>
        <w:tc>
          <w:tcPr>
            <w:tcW w:w="1920" w:type="dxa"/>
            <w:vAlign w:val="bottom"/>
          </w:tcPr>
          <w:p>
            <w:pPr>
              <w:ind w:left="80"/>
              <w:spacing w:after="0"/>
              <w:rPr>
                <w:sz w:val="20"/>
                <w:szCs w:val="20"/>
                <w:color w:val="auto"/>
              </w:rPr>
            </w:pPr>
            <w:r>
              <w:rPr>
                <w:rFonts w:ascii="Arial" w:cs="Arial" w:eastAsia="Arial" w:hAnsi="Arial"/>
                <w:sz w:val="20"/>
                <w:szCs w:val="20"/>
                <w:b w:val="1"/>
                <w:bCs w:val="1"/>
                <w:color w:val="355889"/>
              </w:rPr>
              <w:t>Multiple Platforms</w:t>
            </w:r>
          </w:p>
        </w:tc>
        <w:tc>
          <w:tcPr>
            <w:tcW w:w="9340" w:type="dxa"/>
            <w:vAlign w:val="bottom"/>
            <w:gridSpan w:val="2"/>
          </w:tcPr>
          <w:p>
            <w:pPr>
              <w:ind w:left="380"/>
              <w:spacing w:after="0"/>
              <w:rPr>
                <w:sz w:val="20"/>
                <w:szCs w:val="20"/>
                <w:color w:val="auto"/>
              </w:rPr>
            </w:pPr>
            <w:r>
              <w:rPr>
                <w:rFonts w:ascii="Arial" w:cs="Arial" w:eastAsia="Arial" w:hAnsi="Arial"/>
                <w:sz w:val="18"/>
                <w:szCs w:val="18"/>
                <w:color w:val="auto"/>
              </w:rPr>
              <w:t>advantageous</w:t>
            </w:r>
          </w:p>
        </w:tc>
      </w:tr>
      <w:tr>
        <w:trPr>
          <w:trHeight w:val="250"/>
        </w:trPr>
        <w:tc>
          <w:tcPr>
            <w:tcW w:w="1920" w:type="dxa"/>
            <w:vAlign w:val="bottom"/>
          </w:tcPr>
          <w:p>
            <w:pPr>
              <w:spacing w:after="0"/>
              <w:rPr>
                <w:sz w:val="21"/>
                <w:szCs w:val="21"/>
                <w:color w:val="auto"/>
              </w:rPr>
            </w:pPr>
          </w:p>
        </w:tc>
        <w:tc>
          <w:tcPr>
            <w:tcW w:w="9340" w:type="dxa"/>
            <w:vAlign w:val="bottom"/>
            <w:gridSpan w:val="2"/>
          </w:tcPr>
          <w:p>
            <w:pPr>
              <w:ind w:left="12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Invest in redeveloping existing assets (e.g. One Madison and 410 Tenth Avenue) and developing projects from the</w:t>
            </w:r>
          </w:p>
        </w:tc>
      </w:tr>
      <w:tr>
        <w:trPr>
          <w:trHeight w:val="216"/>
        </w:trPr>
        <w:tc>
          <w:tcPr>
            <w:tcW w:w="1920" w:type="dxa"/>
            <w:vAlign w:val="bottom"/>
          </w:tcPr>
          <w:p>
            <w:pPr>
              <w:spacing w:after="0"/>
              <w:rPr>
                <w:sz w:val="18"/>
                <w:szCs w:val="18"/>
                <w:color w:val="auto"/>
              </w:rPr>
            </w:pPr>
          </w:p>
        </w:tc>
        <w:tc>
          <w:tcPr>
            <w:tcW w:w="9340" w:type="dxa"/>
            <w:vAlign w:val="bottom"/>
            <w:gridSpan w:val="2"/>
          </w:tcPr>
          <w:p>
            <w:pPr>
              <w:ind w:left="380"/>
              <w:spacing w:after="0"/>
              <w:rPr>
                <w:sz w:val="20"/>
                <w:szCs w:val="20"/>
                <w:color w:val="auto"/>
              </w:rPr>
            </w:pPr>
            <w:r>
              <w:rPr>
                <w:rFonts w:ascii="Arial" w:cs="Arial" w:eastAsia="Arial" w:hAnsi="Arial"/>
                <w:sz w:val="18"/>
                <w:szCs w:val="18"/>
                <w:color w:val="auto"/>
              </w:rPr>
              <w:t>ground up (e.g. One Vanderbilt and 185 Broadway)</w:t>
            </w:r>
          </w:p>
        </w:tc>
      </w:tr>
      <w:tr>
        <w:trPr>
          <w:trHeight w:val="283"/>
        </w:trPr>
        <w:tc>
          <w:tcPr>
            <w:tcW w:w="1920" w:type="dxa"/>
            <w:vAlign w:val="bottom"/>
          </w:tcPr>
          <w:p>
            <w:pPr>
              <w:spacing w:after="0"/>
              <w:rPr>
                <w:sz w:val="24"/>
                <w:szCs w:val="24"/>
                <w:color w:val="auto"/>
              </w:rPr>
            </w:pPr>
          </w:p>
        </w:tc>
        <w:tc>
          <w:tcPr>
            <w:tcW w:w="9340" w:type="dxa"/>
            <w:vAlign w:val="bottom"/>
            <w:gridSpan w:val="2"/>
          </w:tcPr>
          <w:p>
            <w:pPr>
              <w:ind w:left="12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Provide financing for other real estate related entities through our debt and preferred equity platform – a unique</w:t>
            </w:r>
          </w:p>
        </w:tc>
      </w:tr>
      <w:tr>
        <w:trPr>
          <w:trHeight w:val="208"/>
        </w:trPr>
        <w:tc>
          <w:tcPr>
            <w:tcW w:w="1920" w:type="dxa"/>
            <w:vAlign w:val="bottom"/>
          </w:tcPr>
          <w:p>
            <w:pPr>
              <w:spacing w:after="0"/>
              <w:rPr>
                <w:sz w:val="18"/>
                <w:szCs w:val="18"/>
                <w:color w:val="auto"/>
              </w:rPr>
            </w:pPr>
          </w:p>
        </w:tc>
        <w:tc>
          <w:tcPr>
            <w:tcW w:w="9340" w:type="dxa"/>
            <w:vAlign w:val="bottom"/>
            <w:gridSpan w:val="2"/>
          </w:tcPr>
          <w:p>
            <w:pPr>
              <w:ind w:left="380"/>
              <w:spacing w:after="0"/>
              <w:rPr>
                <w:sz w:val="20"/>
                <w:szCs w:val="20"/>
                <w:color w:val="auto"/>
              </w:rPr>
            </w:pPr>
            <w:r>
              <w:rPr>
                <w:rFonts w:ascii="Arial" w:cs="Arial" w:eastAsia="Arial" w:hAnsi="Arial"/>
                <w:sz w:val="18"/>
                <w:szCs w:val="18"/>
                <w:color w:val="auto"/>
                <w:w w:val="99"/>
              </w:rPr>
              <w:t>business that we operate at a scale unmatched by our peers and that provides us a diversified source of revenue</w:t>
            </w:r>
          </w:p>
        </w:tc>
      </w:tr>
      <w:tr>
        <w:trPr>
          <w:trHeight w:val="220"/>
        </w:trPr>
        <w:tc>
          <w:tcPr>
            <w:tcW w:w="1920" w:type="dxa"/>
            <w:vAlign w:val="bottom"/>
            <w:tcBorders>
              <w:bottom w:val="single" w:sz="8" w:color="8797B7"/>
            </w:tcBorders>
          </w:tcPr>
          <w:p>
            <w:pPr>
              <w:spacing w:after="0"/>
              <w:rPr>
                <w:sz w:val="19"/>
                <w:szCs w:val="19"/>
                <w:color w:val="auto"/>
              </w:rPr>
            </w:pPr>
          </w:p>
        </w:tc>
        <w:tc>
          <w:tcPr>
            <w:tcW w:w="9320" w:type="dxa"/>
            <w:vAlign w:val="bottom"/>
            <w:tcBorders>
              <w:bottom w:val="single" w:sz="8" w:color="8797B7"/>
            </w:tcBorders>
          </w:tcPr>
          <w:p>
            <w:pPr>
              <w:ind w:left="380"/>
              <w:spacing w:after="0"/>
              <w:rPr>
                <w:sz w:val="20"/>
                <w:szCs w:val="20"/>
                <w:color w:val="auto"/>
              </w:rPr>
            </w:pPr>
            <w:r>
              <w:rPr>
                <w:rFonts w:ascii="Arial" w:cs="Arial" w:eastAsia="Arial" w:hAnsi="Arial"/>
                <w:sz w:val="18"/>
                <w:szCs w:val="18"/>
                <w:color w:val="auto"/>
              </w:rPr>
              <w:t>and market intelligence</w:t>
            </w:r>
          </w:p>
        </w:tc>
        <w:tc>
          <w:tcPr>
            <w:tcW w:w="20" w:type="dxa"/>
            <w:vAlign w:val="bottom"/>
          </w:tcPr>
          <w:p>
            <w:pPr>
              <w:spacing w:after="0"/>
              <w:rPr>
                <w:sz w:val="19"/>
                <w:szCs w:val="19"/>
                <w:color w:val="auto"/>
              </w:rPr>
            </w:pPr>
          </w:p>
        </w:tc>
      </w:tr>
      <w:tr>
        <w:trPr>
          <w:trHeight w:val="215"/>
        </w:trPr>
        <w:tc>
          <w:tcPr>
            <w:tcW w:w="1920" w:type="dxa"/>
            <w:vAlign w:val="bottom"/>
          </w:tcPr>
          <w:p>
            <w:pPr>
              <w:ind w:left="80"/>
              <w:spacing w:after="0" w:line="215" w:lineRule="exact"/>
              <w:rPr>
                <w:sz w:val="20"/>
                <w:szCs w:val="20"/>
                <w:color w:val="auto"/>
              </w:rPr>
            </w:pPr>
            <w:r>
              <w:rPr>
                <w:rFonts w:ascii="Arial" w:cs="Arial" w:eastAsia="Arial" w:hAnsi="Arial"/>
                <w:sz w:val="20"/>
                <w:szCs w:val="20"/>
                <w:b w:val="1"/>
                <w:bCs w:val="1"/>
                <w:color w:val="355889"/>
              </w:rPr>
              <w:t>NYC-Focused</w:t>
            </w:r>
          </w:p>
        </w:tc>
        <w:tc>
          <w:tcPr>
            <w:tcW w:w="9340" w:type="dxa"/>
            <w:vAlign w:val="bottom"/>
            <w:gridSpan w:val="2"/>
          </w:tcPr>
          <w:p>
            <w:pPr>
              <w:ind w:left="12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Singularly focused on New York City real estate – one of the most liquid and resilient markets through business</w:t>
            </w:r>
          </w:p>
        </w:tc>
      </w:tr>
      <w:tr>
        <w:trPr>
          <w:trHeight w:val="261"/>
        </w:trPr>
        <w:tc>
          <w:tcPr>
            <w:tcW w:w="1920" w:type="dxa"/>
            <w:vAlign w:val="bottom"/>
          </w:tcPr>
          <w:p>
            <w:pPr>
              <w:ind w:left="80"/>
              <w:spacing w:after="0"/>
              <w:rPr>
                <w:sz w:val="20"/>
                <w:szCs w:val="20"/>
                <w:color w:val="auto"/>
              </w:rPr>
            </w:pPr>
            <w:r>
              <w:rPr>
                <w:rFonts w:ascii="Arial" w:cs="Arial" w:eastAsia="Arial" w:hAnsi="Arial"/>
                <w:sz w:val="20"/>
                <w:szCs w:val="20"/>
                <w:b w:val="1"/>
                <w:bCs w:val="1"/>
                <w:color w:val="355889"/>
              </w:rPr>
              <w:t>Business Model</w:t>
            </w:r>
          </w:p>
        </w:tc>
        <w:tc>
          <w:tcPr>
            <w:tcW w:w="9340" w:type="dxa"/>
            <w:vAlign w:val="bottom"/>
            <w:gridSpan w:val="2"/>
          </w:tcPr>
          <w:p>
            <w:pPr>
              <w:ind w:left="380"/>
              <w:spacing w:after="0"/>
              <w:rPr>
                <w:sz w:val="20"/>
                <w:szCs w:val="20"/>
                <w:color w:val="auto"/>
              </w:rPr>
            </w:pPr>
            <w:r>
              <w:rPr>
                <w:rFonts w:ascii="Arial" w:cs="Arial" w:eastAsia="Arial" w:hAnsi="Arial"/>
                <w:sz w:val="18"/>
                <w:szCs w:val="18"/>
                <w:color w:val="auto"/>
              </w:rPr>
              <w:t>cycles, and also one of the most complex and competitive</w:t>
            </w:r>
          </w:p>
        </w:tc>
      </w:tr>
      <w:tr>
        <w:trPr>
          <w:trHeight w:val="251"/>
        </w:trPr>
        <w:tc>
          <w:tcPr>
            <w:tcW w:w="1920" w:type="dxa"/>
            <w:vAlign w:val="bottom"/>
          </w:tcPr>
          <w:p>
            <w:pPr>
              <w:spacing w:after="0"/>
              <w:rPr>
                <w:sz w:val="21"/>
                <w:szCs w:val="21"/>
                <w:color w:val="auto"/>
              </w:rPr>
            </w:pPr>
          </w:p>
        </w:tc>
        <w:tc>
          <w:tcPr>
            <w:tcW w:w="9340" w:type="dxa"/>
            <w:vAlign w:val="bottom"/>
            <w:gridSpan w:val="2"/>
          </w:tcPr>
          <w:p>
            <w:pPr>
              <w:ind w:left="12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Presence and operations in this complex and highly competitive market necessitate a top level of talent in our</w:t>
            </w:r>
          </w:p>
        </w:tc>
      </w:tr>
      <w:tr>
        <w:trPr>
          <w:trHeight w:val="216"/>
        </w:trPr>
        <w:tc>
          <w:tcPr>
            <w:tcW w:w="1920" w:type="dxa"/>
            <w:vAlign w:val="bottom"/>
          </w:tcPr>
          <w:p>
            <w:pPr>
              <w:spacing w:after="0"/>
              <w:rPr>
                <w:sz w:val="18"/>
                <w:szCs w:val="18"/>
                <w:color w:val="auto"/>
              </w:rPr>
            </w:pPr>
          </w:p>
        </w:tc>
        <w:tc>
          <w:tcPr>
            <w:tcW w:w="9340" w:type="dxa"/>
            <w:vAlign w:val="bottom"/>
            <w:gridSpan w:val="2"/>
          </w:tcPr>
          <w:p>
            <w:pPr>
              <w:ind w:left="380"/>
              <w:spacing w:after="0"/>
              <w:rPr>
                <w:sz w:val="20"/>
                <w:szCs w:val="20"/>
                <w:color w:val="auto"/>
              </w:rPr>
            </w:pPr>
            <w:r>
              <w:rPr>
                <w:rFonts w:ascii="Arial" w:cs="Arial" w:eastAsia="Arial" w:hAnsi="Arial"/>
                <w:sz w:val="18"/>
                <w:szCs w:val="18"/>
                <w:color w:val="auto"/>
              </w:rPr>
              <w:t>executive ranks</w:t>
            </w:r>
          </w:p>
        </w:tc>
      </w:tr>
      <w:tr>
        <w:trPr>
          <w:trHeight w:val="283"/>
        </w:trPr>
        <w:tc>
          <w:tcPr>
            <w:tcW w:w="1920" w:type="dxa"/>
            <w:vAlign w:val="bottom"/>
          </w:tcPr>
          <w:p>
            <w:pPr>
              <w:spacing w:after="0"/>
              <w:rPr>
                <w:sz w:val="24"/>
                <w:szCs w:val="24"/>
                <w:color w:val="auto"/>
              </w:rPr>
            </w:pPr>
          </w:p>
        </w:tc>
        <w:tc>
          <w:tcPr>
            <w:tcW w:w="9340" w:type="dxa"/>
            <w:vAlign w:val="bottom"/>
            <w:gridSpan w:val="2"/>
          </w:tcPr>
          <w:p>
            <w:pPr>
              <w:ind w:left="12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Our leadership team actively manages our company, allowing us to be very efficient, with an employee base much</w:t>
            </w:r>
          </w:p>
        </w:tc>
      </w:tr>
      <w:tr>
        <w:trPr>
          <w:trHeight w:val="225"/>
        </w:trPr>
        <w:tc>
          <w:tcPr>
            <w:tcW w:w="1920" w:type="dxa"/>
            <w:vAlign w:val="bottom"/>
            <w:tcBorders>
              <w:bottom w:val="single" w:sz="8" w:color="8797B7"/>
            </w:tcBorders>
          </w:tcPr>
          <w:p>
            <w:pPr>
              <w:spacing w:after="0"/>
              <w:rPr>
                <w:sz w:val="19"/>
                <w:szCs w:val="19"/>
                <w:color w:val="auto"/>
              </w:rPr>
            </w:pPr>
          </w:p>
        </w:tc>
        <w:tc>
          <w:tcPr>
            <w:tcW w:w="9320" w:type="dxa"/>
            <w:vAlign w:val="bottom"/>
            <w:tcBorders>
              <w:bottom w:val="single" w:sz="8" w:color="8797B7"/>
            </w:tcBorders>
          </w:tcPr>
          <w:p>
            <w:pPr>
              <w:ind w:left="380"/>
              <w:spacing w:after="0"/>
              <w:rPr>
                <w:sz w:val="20"/>
                <w:szCs w:val="20"/>
                <w:color w:val="auto"/>
              </w:rPr>
            </w:pPr>
            <w:r>
              <w:rPr>
                <w:rFonts w:ascii="Arial" w:cs="Arial" w:eastAsia="Arial" w:hAnsi="Arial"/>
                <w:sz w:val="18"/>
                <w:szCs w:val="18"/>
                <w:color w:val="auto"/>
              </w:rPr>
              <w:t>smaller than other fully-integrated “gateway city” real estate companies that transact far less business than SLG</w:t>
            </w:r>
          </w:p>
        </w:tc>
        <w:tc>
          <w:tcPr>
            <w:tcW w:w="20" w:type="dxa"/>
            <w:vAlign w:val="bottom"/>
          </w:tcPr>
          <w:p>
            <w:pPr>
              <w:spacing w:after="0"/>
              <w:rPr>
                <w:sz w:val="19"/>
                <w:szCs w:val="19"/>
                <w:color w:val="auto"/>
              </w:rPr>
            </w:pPr>
          </w:p>
        </w:tc>
      </w:tr>
      <w:tr>
        <w:trPr>
          <w:trHeight w:val="215"/>
        </w:trPr>
        <w:tc>
          <w:tcPr>
            <w:tcW w:w="1920" w:type="dxa"/>
            <w:vAlign w:val="bottom"/>
          </w:tcPr>
          <w:p>
            <w:pPr>
              <w:ind w:left="80"/>
              <w:spacing w:after="0" w:line="215" w:lineRule="exact"/>
              <w:rPr>
                <w:sz w:val="20"/>
                <w:szCs w:val="20"/>
                <w:color w:val="auto"/>
              </w:rPr>
            </w:pPr>
            <w:r>
              <w:rPr>
                <w:rFonts w:ascii="Arial" w:cs="Arial" w:eastAsia="Arial" w:hAnsi="Arial"/>
                <w:sz w:val="20"/>
                <w:szCs w:val="20"/>
                <w:b w:val="1"/>
                <w:bCs w:val="1"/>
                <w:color w:val="355889"/>
              </w:rPr>
              <w:t>Shareholder Value</w:t>
            </w:r>
          </w:p>
        </w:tc>
        <w:tc>
          <w:tcPr>
            <w:tcW w:w="9340" w:type="dxa"/>
            <w:vAlign w:val="bottom"/>
            <w:gridSpan w:val="2"/>
          </w:tcPr>
          <w:p>
            <w:pPr>
              <w:ind w:left="12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SLG’s platform has enormous market share and establishes the company as a leader in the NYC market</w:t>
            </w:r>
          </w:p>
        </w:tc>
      </w:tr>
      <w:tr>
        <w:trPr>
          <w:trHeight w:val="309"/>
        </w:trPr>
        <w:tc>
          <w:tcPr>
            <w:tcW w:w="1920" w:type="dxa"/>
            <w:vAlign w:val="bottom"/>
          </w:tcPr>
          <w:p>
            <w:pPr>
              <w:ind w:left="80"/>
              <w:spacing w:after="0"/>
              <w:rPr>
                <w:sz w:val="20"/>
                <w:szCs w:val="20"/>
                <w:color w:val="auto"/>
              </w:rPr>
            </w:pPr>
            <w:r>
              <w:rPr>
                <w:rFonts w:ascii="Arial" w:cs="Arial" w:eastAsia="Arial" w:hAnsi="Arial"/>
                <w:sz w:val="20"/>
                <w:szCs w:val="20"/>
                <w:b w:val="1"/>
                <w:bCs w:val="1"/>
                <w:color w:val="355889"/>
              </w:rPr>
              <w:t>Creation</w:t>
            </w:r>
          </w:p>
        </w:tc>
        <w:tc>
          <w:tcPr>
            <w:tcW w:w="9340" w:type="dxa"/>
            <w:vAlign w:val="bottom"/>
            <w:gridSpan w:val="2"/>
          </w:tcPr>
          <w:p>
            <w:pPr>
              <w:ind w:left="12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The Company’s development activities provide the seeds for significant future growth and value creation</w:t>
            </w:r>
          </w:p>
        </w:tc>
      </w:tr>
      <w:tr>
        <w:trPr>
          <w:trHeight w:val="297"/>
        </w:trPr>
        <w:tc>
          <w:tcPr>
            <w:tcW w:w="1920" w:type="dxa"/>
            <w:vAlign w:val="bottom"/>
          </w:tcPr>
          <w:p>
            <w:pPr>
              <w:spacing w:after="0"/>
              <w:rPr>
                <w:sz w:val="24"/>
                <w:szCs w:val="24"/>
                <w:color w:val="auto"/>
              </w:rPr>
            </w:pPr>
          </w:p>
        </w:tc>
        <w:tc>
          <w:tcPr>
            <w:tcW w:w="9340" w:type="dxa"/>
            <w:vAlign w:val="bottom"/>
            <w:gridSpan w:val="2"/>
          </w:tcPr>
          <w:p>
            <w:pPr>
              <w:ind w:left="12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SLG views repurchase of shares as the single-most compelling investment opportunity in our market – In</w:t>
            </w:r>
          </w:p>
        </w:tc>
      </w:tr>
      <w:tr>
        <w:trPr>
          <w:trHeight w:val="208"/>
        </w:trPr>
        <w:tc>
          <w:tcPr>
            <w:tcW w:w="1920" w:type="dxa"/>
            <w:vAlign w:val="bottom"/>
          </w:tcPr>
          <w:p>
            <w:pPr>
              <w:spacing w:after="0"/>
              <w:rPr>
                <w:sz w:val="18"/>
                <w:szCs w:val="18"/>
                <w:color w:val="auto"/>
              </w:rPr>
            </w:pPr>
          </w:p>
        </w:tc>
        <w:tc>
          <w:tcPr>
            <w:tcW w:w="9340" w:type="dxa"/>
            <w:vAlign w:val="bottom"/>
            <w:gridSpan w:val="2"/>
          </w:tcPr>
          <w:p>
            <w:pPr>
              <w:ind w:left="380"/>
              <w:spacing w:after="0"/>
              <w:rPr>
                <w:sz w:val="20"/>
                <w:szCs w:val="20"/>
                <w:color w:val="auto"/>
              </w:rPr>
            </w:pPr>
            <w:r>
              <w:rPr>
                <w:rFonts w:ascii="Arial" w:cs="Arial" w:eastAsia="Arial" w:hAnsi="Arial"/>
                <w:sz w:val="18"/>
                <w:szCs w:val="18"/>
                <w:color w:val="auto"/>
                <w:w w:val="98"/>
              </w:rPr>
              <w:t>aggregate, $2.5 billion share repurchase representing 26 million shares, 25% of outstanding shares, and resulting</w:t>
            </w:r>
          </w:p>
        </w:tc>
      </w:tr>
      <w:tr>
        <w:trPr>
          <w:trHeight w:val="211"/>
        </w:trPr>
        <w:tc>
          <w:tcPr>
            <w:tcW w:w="1920" w:type="dxa"/>
            <w:vAlign w:val="bottom"/>
          </w:tcPr>
          <w:p>
            <w:pPr>
              <w:spacing w:after="0"/>
              <w:rPr>
                <w:sz w:val="18"/>
                <w:szCs w:val="18"/>
                <w:color w:val="auto"/>
              </w:rPr>
            </w:pPr>
          </w:p>
        </w:tc>
        <w:tc>
          <w:tcPr>
            <w:tcW w:w="9340" w:type="dxa"/>
            <w:vAlign w:val="bottom"/>
            <w:gridSpan w:val="2"/>
          </w:tcPr>
          <w:p>
            <w:pPr>
              <w:ind w:left="380"/>
              <w:spacing w:after="0"/>
              <w:rPr>
                <w:sz w:val="20"/>
                <w:szCs w:val="20"/>
                <w:color w:val="auto"/>
              </w:rPr>
            </w:pPr>
            <w:r>
              <w:rPr>
                <w:rFonts w:ascii="Arial" w:cs="Arial" w:eastAsia="Arial" w:hAnsi="Arial"/>
                <w:sz w:val="18"/>
                <w:szCs w:val="18"/>
                <w:color w:val="auto"/>
              </w:rPr>
              <w:t>in $93 million in annual dividend savings</w:t>
            </w:r>
          </w:p>
        </w:tc>
      </w:tr>
      <w:tr>
        <w:trPr>
          <w:trHeight w:val="270"/>
        </w:trPr>
        <w:tc>
          <w:tcPr>
            <w:tcW w:w="1920" w:type="dxa"/>
            <w:vAlign w:val="bottom"/>
          </w:tcPr>
          <w:p>
            <w:pPr>
              <w:spacing w:after="0"/>
              <w:rPr>
                <w:sz w:val="23"/>
                <w:szCs w:val="23"/>
                <w:color w:val="auto"/>
              </w:rPr>
            </w:pPr>
          </w:p>
        </w:tc>
        <w:tc>
          <w:tcPr>
            <w:tcW w:w="9340" w:type="dxa"/>
            <w:vAlign w:val="bottom"/>
            <w:gridSpan w:val="2"/>
          </w:tcPr>
          <w:p>
            <w:pPr>
              <w:ind w:left="12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2019 TSR of 20.9%</w:t>
            </w:r>
          </w:p>
        </w:tc>
      </w:tr>
      <w:tr>
        <w:trPr>
          <w:trHeight w:val="36"/>
        </w:trPr>
        <w:tc>
          <w:tcPr>
            <w:tcW w:w="1920" w:type="dxa"/>
            <w:vAlign w:val="bottom"/>
            <w:tcBorders>
              <w:bottom w:val="single" w:sz="8" w:color="355889"/>
            </w:tcBorders>
          </w:tcPr>
          <w:p>
            <w:pPr>
              <w:spacing w:after="0"/>
              <w:rPr>
                <w:sz w:val="3"/>
                <w:szCs w:val="3"/>
                <w:color w:val="auto"/>
              </w:rPr>
            </w:pPr>
          </w:p>
        </w:tc>
        <w:tc>
          <w:tcPr>
            <w:tcW w:w="9320" w:type="dxa"/>
            <w:vAlign w:val="bottom"/>
            <w:tcBorders>
              <w:bottom w:val="single" w:sz="8" w:color="355889"/>
            </w:tcBorders>
          </w:tcPr>
          <w:p>
            <w:pPr>
              <w:spacing w:after="0"/>
              <w:rPr>
                <w:sz w:val="3"/>
                <w:szCs w:val="3"/>
                <w:color w:val="auto"/>
              </w:rPr>
            </w:pPr>
          </w:p>
        </w:tc>
        <w:tc>
          <w:tcPr>
            <w:tcW w:w="20" w:type="dxa"/>
            <w:vAlign w:val="bottom"/>
          </w:tcPr>
          <w:p>
            <w:pPr>
              <w:spacing w:after="0"/>
              <w:rPr>
                <w:sz w:val="3"/>
                <w:szCs w:val="3"/>
                <w:color w:val="auto"/>
              </w:rPr>
            </w:pPr>
          </w:p>
        </w:tc>
      </w:tr>
      <w:tr>
        <w:trPr>
          <w:trHeight w:val="430"/>
        </w:trPr>
        <w:tc>
          <w:tcPr>
            <w:tcW w:w="1920" w:type="dxa"/>
            <w:vAlign w:val="bottom"/>
          </w:tcPr>
          <w:p>
            <w:pPr>
              <w:spacing w:after="0"/>
              <w:rPr>
                <w:sz w:val="24"/>
                <w:szCs w:val="24"/>
                <w:color w:val="auto"/>
              </w:rPr>
            </w:pPr>
          </w:p>
        </w:tc>
        <w:tc>
          <w:tcPr>
            <w:tcW w:w="9340" w:type="dxa"/>
            <w:vAlign w:val="bottom"/>
            <w:gridSpan w:val="2"/>
          </w:tcPr>
          <w:p>
            <w:pPr>
              <w:ind w:left="7300"/>
              <w:spacing w:after="0"/>
              <w:rPr>
                <w:sz w:val="20"/>
                <w:szCs w:val="20"/>
                <w:color w:val="auto"/>
              </w:rPr>
            </w:pPr>
            <w:r>
              <w:rPr>
                <w:rFonts w:ascii="Arial" w:cs="Arial" w:eastAsia="Arial" w:hAnsi="Arial"/>
                <w:sz w:val="18"/>
                <w:szCs w:val="18"/>
                <w:color w:val="auto"/>
                <w:w w:val="99"/>
              </w:rPr>
              <w:t xml:space="preserve">2020 Proxy Statement </w:t>
            </w:r>
            <w:r>
              <w:rPr>
                <w:rFonts w:ascii="Arial" w:cs="Arial" w:eastAsia="Arial" w:hAnsi="Arial"/>
                <w:sz w:val="18"/>
                <w:szCs w:val="18"/>
                <w:color w:val="355889"/>
                <w:w w:val="99"/>
              </w:rPr>
              <w:t>31</w:t>
            </w:r>
          </w:p>
        </w:tc>
      </w:tr>
      <w:tr>
        <w:trPr>
          <w:trHeight w:val="215"/>
        </w:trPr>
        <w:tc>
          <w:tcPr>
            <w:tcW w:w="1920" w:type="dxa"/>
            <w:vAlign w:val="bottom"/>
            <w:tcBorders>
              <w:bottom w:val="single" w:sz="8" w:color="808080"/>
            </w:tcBorders>
          </w:tcPr>
          <w:p>
            <w:pPr>
              <w:spacing w:after="0"/>
              <w:rPr>
                <w:sz w:val="18"/>
                <w:szCs w:val="18"/>
                <w:color w:val="auto"/>
              </w:rPr>
            </w:pPr>
          </w:p>
        </w:tc>
        <w:tc>
          <w:tcPr>
            <w:tcW w:w="93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-14605</wp:posOffset>
            </wp:positionV>
            <wp:extent cx="12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ESG Excellence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We are committed to corporate social responsibility initiatives that deliver efficiency, value and health for our business, tenants and community.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Our commitment to these initiatives is evidenced through the following industry leading ESG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9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327"/>
        </w:trPr>
        <w:tc>
          <w:tcPr>
            <w:tcW w:w="300" w:type="dxa"/>
            <w:vAlign w:val="bottom"/>
            <w:tcBorders>
              <w:left w:val="single" w:sz="8" w:color="8797B7"/>
            </w:tcBorders>
          </w:tcPr>
          <w:p>
            <w:pPr>
              <w:spacing w:after="0"/>
              <w:rPr>
                <w:sz w:val="24"/>
                <w:szCs w:val="24"/>
                <w:color w:val="auto"/>
              </w:rPr>
            </w:pPr>
          </w:p>
        </w:tc>
        <w:tc>
          <w:tcPr>
            <w:tcW w:w="5540" w:type="dxa"/>
            <w:vAlign w:val="bottom"/>
            <w:tcBorders>
              <w:right w:val="single" w:sz="8" w:color="8797B7"/>
            </w:tcBorders>
          </w:tcPr>
          <w:p>
            <w:pPr>
              <w:spacing w:after="0"/>
              <w:rPr>
                <w:sz w:val="20"/>
                <w:szCs w:val="20"/>
                <w:color w:val="auto"/>
              </w:rPr>
            </w:pPr>
            <w:r>
              <w:rPr>
                <w:rFonts w:ascii="Arial" w:cs="Arial" w:eastAsia="Arial" w:hAnsi="Arial"/>
                <w:sz w:val="23"/>
                <w:szCs w:val="23"/>
                <w:b w:val="1"/>
                <w:bCs w:val="1"/>
                <w:color w:val="355889"/>
              </w:rPr>
              <w:t>#1</w:t>
            </w:r>
          </w:p>
        </w:tc>
        <w:tc>
          <w:tcPr>
            <w:tcW w:w="5100" w:type="dxa"/>
            <w:vAlign w:val="bottom"/>
          </w:tcPr>
          <w:p>
            <w:pPr>
              <w:ind w:left="260"/>
              <w:spacing w:after="0"/>
              <w:rPr>
                <w:sz w:val="20"/>
                <w:szCs w:val="20"/>
                <w:color w:val="auto"/>
              </w:rPr>
            </w:pPr>
            <w:r>
              <w:rPr>
                <w:rFonts w:ascii="Arial" w:cs="Arial" w:eastAsia="Arial" w:hAnsi="Arial"/>
                <w:sz w:val="23"/>
                <w:szCs w:val="23"/>
                <w:b w:val="1"/>
                <w:bCs w:val="1"/>
                <w:color w:val="355889"/>
              </w:rPr>
              <w:t>S&amp;P 500 AND S&amp;P GLOBAL</w:t>
            </w:r>
          </w:p>
        </w:tc>
        <w:tc>
          <w:tcPr>
            <w:tcW w:w="300" w:type="dxa"/>
            <w:vAlign w:val="bottom"/>
            <w:tcBorders>
              <w:right w:val="single" w:sz="8" w:color="8797B7"/>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Borders>
              <w:left w:val="single" w:sz="8" w:color="8797B7"/>
            </w:tcBorders>
          </w:tcPr>
          <w:p>
            <w:pPr>
              <w:spacing w:after="0"/>
              <w:rPr>
                <w:sz w:val="24"/>
                <w:szCs w:val="24"/>
                <w:color w:val="auto"/>
              </w:rPr>
            </w:pPr>
          </w:p>
        </w:tc>
        <w:tc>
          <w:tcPr>
            <w:tcW w:w="5540" w:type="dxa"/>
            <w:vAlign w:val="bottom"/>
            <w:tcBorders>
              <w:right w:val="single" w:sz="8" w:color="8797B7"/>
            </w:tcBorders>
          </w:tcPr>
          <w:p>
            <w:pPr>
              <w:spacing w:after="0"/>
              <w:rPr>
                <w:sz w:val="20"/>
                <w:szCs w:val="20"/>
                <w:color w:val="auto"/>
              </w:rPr>
            </w:pPr>
            <w:r>
              <w:rPr>
                <w:rFonts w:ascii="Arial" w:cs="Arial" w:eastAsia="Arial" w:hAnsi="Arial"/>
                <w:sz w:val="18"/>
                <w:szCs w:val="18"/>
                <w:color w:val="auto"/>
              </w:rPr>
              <w:t>Scoring Office REIT for ESG Disclosures on</w:t>
            </w:r>
          </w:p>
        </w:tc>
        <w:tc>
          <w:tcPr>
            <w:tcW w:w="5100" w:type="dxa"/>
            <w:vAlign w:val="bottom"/>
          </w:tcPr>
          <w:p>
            <w:pPr>
              <w:ind w:left="260"/>
              <w:spacing w:after="0"/>
              <w:rPr>
                <w:sz w:val="20"/>
                <w:szCs w:val="20"/>
                <w:color w:val="auto"/>
              </w:rPr>
            </w:pPr>
            <w:r>
              <w:rPr>
                <w:rFonts w:ascii="Arial" w:cs="Arial" w:eastAsia="Arial" w:hAnsi="Arial"/>
                <w:sz w:val="23"/>
                <w:szCs w:val="23"/>
                <w:b w:val="1"/>
                <w:bCs w:val="1"/>
                <w:color w:val="355889"/>
              </w:rPr>
              <w:t>1200 ESG</w:t>
            </w:r>
          </w:p>
        </w:tc>
        <w:tc>
          <w:tcPr>
            <w:tcW w:w="300" w:type="dxa"/>
            <w:vAlign w:val="bottom"/>
            <w:tcBorders>
              <w:right w:val="single" w:sz="8" w:color="8797B7"/>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00" w:type="dxa"/>
            <w:vAlign w:val="bottom"/>
            <w:tcBorders>
              <w:left w:val="single" w:sz="8" w:color="8797B7"/>
            </w:tcBorders>
          </w:tcPr>
          <w:p>
            <w:pPr>
              <w:spacing w:after="0"/>
              <w:rPr>
                <w:sz w:val="18"/>
                <w:szCs w:val="18"/>
                <w:color w:val="auto"/>
              </w:rPr>
            </w:pPr>
          </w:p>
        </w:tc>
        <w:tc>
          <w:tcPr>
            <w:tcW w:w="5540" w:type="dxa"/>
            <w:vAlign w:val="bottom"/>
            <w:tcBorders>
              <w:right w:val="single" w:sz="8" w:color="8797B7"/>
            </w:tcBorders>
          </w:tcPr>
          <w:p>
            <w:pPr>
              <w:spacing w:after="0"/>
              <w:rPr>
                <w:sz w:val="20"/>
                <w:szCs w:val="20"/>
                <w:color w:val="auto"/>
              </w:rPr>
            </w:pPr>
            <w:r>
              <w:rPr>
                <w:rFonts w:ascii="Arial" w:cs="Arial" w:eastAsia="Arial" w:hAnsi="Arial"/>
                <w:sz w:val="18"/>
                <w:szCs w:val="18"/>
                <w:color w:val="auto"/>
              </w:rPr>
              <w:t>Bloomberg World Index</w:t>
            </w:r>
          </w:p>
        </w:tc>
        <w:tc>
          <w:tcPr>
            <w:tcW w:w="5100" w:type="dxa"/>
            <w:vAlign w:val="bottom"/>
            <w:vMerge w:val="restart"/>
          </w:tcPr>
          <w:p>
            <w:pPr>
              <w:ind w:left="260"/>
              <w:spacing w:after="0"/>
              <w:rPr>
                <w:sz w:val="20"/>
                <w:szCs w:val="20"/>
                <w:color w:val="auto"/>
              </w:rPr>
            </w:pPr>
            <w:r>
              <w:rPr>
                <w:rFonts w:ascii="Arial" w:cs="Arial" w:eastAsia="Arial" w:hAnsi="Arial"/>
                <w:sz w:val="18"/>
                <w:szCs w:val="18"/>
                <w:color w:val="auto"/>
              </w:rPr>
              <w:t>Included on the S&amp;P 500 and S&amp;P</w:t>
            </w:r>
          </w:p>
        </w:tc>
        <w:tc>
          <w:tcPr>
            <w:tcW w:w="300" w:type="dxa"/>
            <w:vAlign w:val="bottom"/>
            <w:tcBorders>
              <w:right w:val="single" w:sz="8" w:color="8797B7"/>
            </w:tcBorders>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00" w:type="dxa"/>
            <w:vAlign w:val="bottom"/>
            <w:tcBorders>
              <w:left w:val="single" w:sz="8" w:color="8797B7"/>
            </w:tcBorders>
          </w:tcPr>
          <w:p>
            <w:pPr>
              <w:spacing w:after="0"/>
              <w:rPr>
                <w:sz w:val="6"/>
                <w:szCs w:val="6"/>
                <w:color w:val="auto"/>
              </w:rPr>
            </w:pPr>
          </w:p>
        </w:tc>
        <w:tc>
          <w:tcPr>
            <w:tcW w:w="5540" w:type="dxa"/>
            <w:vAlign w:val="bottom"/>
            <w:tcBorders>
              <w:right w:val="single" w:sz="8" w:color="8797B7"/>
            </w:tcBorders>
          </w:tcPr>
          <w:p>
            <w:pPr>
              <w:spacing w:after="0"/>
              <w:rPr>
                <w:sz w:val="6"/>
                <w:szCs w:val="6"/>
                <w:color w:val="auto"/>
              </w:rPr>
            </w:pPr>
          </w:p>
        </w:tc>
        <w:tc>
          <w:tcPr>
            <w:tcW w:w="5100" w:type="dxa"/>
            <w:vAlign w:val="bottom"/>
            <w:vMerge w:val="continue"/>
          </w:tcPr>
          <w:p>
            <w:pPr>
              <w:spacing w:after="0"/>
              <w:rPr>
                <w:sz w:val="6"/>
                <w:szCs w:val="6"/>
                <w:color w:val="auto"/>
              </w:rPr>
            </w:pPr>
          </w:p>
        </w:tc>
        <w:tc>
          <w:tcPr>
            <w:tcW w:w="300" w:type="dxa"/>
            <w:vAlign w:val="bottom"/>
            <w:tcBorders>
              <w:right w:val="single" w:sz="8" w:color="8797B7"/>
            </w:tcBorders>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300" w:type="dxa"/>
            <w:vAlign w:val="bottom"/>
            <w:tcBorders>
              <w:left w:val="single" w:sz="8" w:color="8797B7"/>
            </w:tcBorders>
          </w:tcPr>
          <w:p>
            <w:pPr>
              <w:spacing w:after="0"/>
              <w:rPr>
                <w:sz w:val="18"/>
                <w:szCs w:val="18"/>
                <w:color w:val="auto"/>
              </w:rPr>
            </w:pPr>
          </w:p>
        </w:tc>
        <w:tc>
          <w:tcPr>
            <w:tcW w:w="5540" w:type="dxa"/>
            <w:vAlign w:val="bottom"/>
            <w:tcBorders>
              <w:right w:val="single" w:sz="8" w:color="8797B7"/>
            </w:tcBorders>
          </w:tcPr>
          <w:p>
            <w:pPr>
              <w:spacing w:after="0"/>
              <w:rPr>
                <w:sz w:val="18"/>
                <w:szCs w:val="18"/>
                <w:color w:val="auto"/>
              </w:rPr>
            </w:pPr>
          </w:p>
        </w:tc>
        <w:tc>
          <w:tcPr>
            <w:tcW w:w="5100" w:type="dxa"/>
            <w:vAlign w:val="bottom"/>
          </w:tcPr>
          <w:p>
            <w:pPr>
              <w:ind w:left="260"/>
              <w:spacing w:after="0"/>
              <w:rPr>
                <w:sz w:val="20"/>
                <w:szCs w:val="20"/>
                <w:color w:val="auto"/>
              </w:rPr>
            </w:pPr>
            <w:r>
              <w:rPr>
                <w:rFonts w:ascii="Arial" w:cs="Arial" w:eastAsia="Arial" w:hAnsi="Arial"/>
                <w:sz w:val="18"/>
                <w:szCs w:val="18"/>
                <w:color w:val="auto"/>
              </w:rPr>
              <w:t>Global 1200 ESG Indexes</w:t>
            </w:r>
          </w:p>
        </w:tc>
        <w:tc>
          <w:tcPr>
            <w:tcW w:w="300" w:type="dxa"/>
            <w:vAlign w:val="bottom"/>
            <w:tcBorders>
              <w:right w:val="single" w:sz="8" w:color="8797B7"/>
            </w:tcBorders>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300" w:type="dxa"/>
            <w:vAlign w:val="bottom"/>
            <w:tcBorders>
              <w:left w:val="single" w:sz="8" w:color="8797B7"/>
            </w:tcBorders>
          </w:tcPr>
          <w:p>
            <w:pPr>
              <w:spacing w:after="0"/>
              <w:rPr>
                <w:sz w:val="6"/>
                <w:szCs w:val="6"/>
                <w:color w:val="auto"/>
              </w:rPr>
            </w:pPr>
          </w:p>
        </w:tc>
        <w:tc>
          <w:tcPr>
            <w:tcW w:w="5540" w:type="dxa"/>
            <w:vAlign w:val="bottom"/>
            <w:tcBorders>
              <w:bottom w:val="single" w:sz="8" w:color="8797B7"/>
              <w:right w:val="single" w:sz="8" w:color="8797B7"/>
            </w:tcBorders>
          </w:tcPr>
          <w:p>
            <w:pPr>
              <w:spacing w:after="0"/>
              <w:rPr>
                <w:sz w:val="6"/>
                <w:szCs w:val="6"/>
                <w:color w:val="auto"/>
              </w:rPr>
            </w:pPr>
          </w:p>
        </w:tc>
        <w:tc>
          <w:tcPr>
            <w:tcW w:w="5100" w:type="dxa"/>
            <w:vAlign w:val="bottom"/>
            <w:tcBorders>
              <w:bottom w:val="single" w:sz="8" w:color="8797B7"/>
            </w:tcBorders>
          </w:tcPr>
          <w:p>
            <w:pPr>
              <w:spacing w:after="0"/>
              <w:rPr>
                <w:sz w:val="6"/>
                <w:szCs w:val="6"/>
                <w:color w:val="auto"/>
              </w:rPr>
            </w:pPr>
          </w:p>
        </w:tc>
        <w:tc>
          <w:tcPr>
            <w:tcW w:w="300" w:type="dxa"/>
            <w:vAlign w:val="bottom"/>
            <w:tcBorders>
              <w:right w:val="single" w:sz="8" w:color="8797B7"/>
            </w:tcBorders>
          </w:tcPr>
          <w:p>
            <w:pPr>
              <w:spacing w:after="0"/>
              <w:rPr>
                <w:sz w:val="6"/>
                <w:szCs w:val="6"/>
                <w:color w:val="auto"/>
              </w:rPr>
            </w:pPr>
          </w:p>
        </w:tc>
        <w:tc>
          <w:tcPr>
            <w:tcW w:w="0" w:type="dxa"/>
            <w:vAlign w:val="bottom"/>
          </w:tcPr>
          <w:p>
            <w:pPr>
              <w:spacing w:after="0"/>
              <w:rPr>
                <w:sz w:val="1"/>
                <w:szCs w:val="1"/>
                <w:color w:val="auto"/>
              </w:rPr>
            </w:pPr>
          </w:p>
        </w:tc>
      </w:tr>
      <w:tr>
        <w:trPr>
          <w:trHeight w:val="321"/>
        </w:trPr>
        <w:tc>
          <w:tcPr>
            <w:tcW w:w="300" w:type="dxa"/>
            <w:vAlign w:val="bottom"/>
            <w:tcBorders>
              <w:left w:val="single" w:sz="8" w:color="8797B7"/>
            </w:tcBorders>
          </w:tcPr>
          <w:p>
            <w:pPr>
              <w:spacing w:after="0"/>
              <w:rPr>
                <w:sz w:val="24"/>
                <w:szCs w:val="24"/>
                <w:color w:val="auto"/>
              </w:rPr>
            </w:pPr>
          </w:p>
        </w:tc>
        <w:tc>
          <w:tcPr>
            <w:tcW w:w="5540" w:type="dxa"/>
            <w:vAlign w:val="bottom"/>
            <w:tcBorders>
              <w:right w:val="single" w:sz="8" w:color="8797B7"/>
            </w:tcBorders>
          </w:tcPr>
          <w:p>
            <w:pPr>
              <w:spacing w:after="0"/>
              <w:rPr>
                <w:sz w:val="20"/>
                <w:szCs w:val="20"/>
                <w:color w:val="auto"/>
              </w:rPr>
            </w:pPr>
            <w:r>
              <w:rPr>
                <w:rFonts w:ascii="Arial" w:cs="Arial" w:eastAsia="Arial" w:hAnsi="Arial"/>
                <w:sz w:val="23"/>
                <w:szCs w:val="23"/>
                <w:b w:val="1"/>
                <w:bCs w:val="1"/>
                <w:color w:val="355889"/>
              </w:rPr>
              <w:t>HIGHEST SCORING OFFICE</w:t>
            </w:r>
          </w:p>
        </w:tc>
        <w:tc>
          <w:tcPr>
            <w:tcW w:w="5100" w:type="dxa"/>
            <w:vAlign w:val="bottom"/>
            <w:vMerge w:val="restart"/>
          </w:tcPr>
          <w:p>
            <w:pPr>
              <w:ind w:left="260"/>
              <w:spacing w:after="0"/>
              <w:rPr>
                <w:sz w:val="20"/>
                <w:szCs w:val="20"/>
                <w:color w:val="auto"/>
              </w:rPr>
            </w:pPr>
            <w:r>
              <w:rPr>
                <w:rFonts w:ascii="Arial" w:cs="Arial" w:eastAsia="Arial" w:hAnsi="Arial"/>
                <w:sz w:val="23"/>
                <w:szCs w:val="23"/>
                <w:b w:val="1"/>
                <w:bCs w:val="1"/>
                <w:color w:val="355889"/>
              </w:rPr>
              <w:t>REPORTING STANDARDS</w:t>
            </w:r>
          </w:p>
        </w:tc>
        <w:tc>
          <w:tcPr>
            <w:tcW w:w="300" w:type="dxa"/>
            <w:vAlign w:val="bottom"/>
            <w:tcBorders>
              <w:right w:val="single" w:sz="8" w:color="8797B7"/>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00" w:type="dxa"/>
            <w:vAlign w:val="bottom"/>
            <w:tcBorders>
              <w:left w:val="single" w:sz="8" w:color="8797B7"/>
            </w:tcBorders>
          </w:tcPr>
          <w:p>
            <w:pPr>
              <w:spacing w:after="0"/>
              <w:rPr>
                <w:sz w:val="24"/>
                <w:szCs w:val="24"/>
                <w:color w:val="auto"/>
              </w:rPr>
            </w:pPr>
          </w:p>
        </w:tc>
        <w:tc>
          <w:tcPr>
            <w:tcW w:w="5540" w:type="dxa"/>
            <w:vAlign w:val="bottom"/>
            <w:tcBorders>
              <w:right w:val="single" w:sz="8" w:color="8797B7"/>
            </w:tcBorders>
          </w:tcPr>
          <w:p>
            <w:pPr>
              <w:spacing w:after="0"/>
              <w:rPr>
                <w:sz w:val="20"/>
                <w:szCs w:val="20"/>
                <w:color w:val="auto"/>
              </w:rPr>
            </w:pPr>
            <w:r>
              <w:rPr>
                <w:rFonts w:ascii="Arial" w:cs="Arial" w:eastAsia="Arial" w:hAnsi="Arial"/>
                <w:sz w:val="23"/>
                <w:szCs w:val="23"/>
                <w:b w:val="1"/>
                <w:bCs w:val="1"/>
                <w:color w:val="355889"/>
              </w:rPr>
              <w:t>REIT</w:t>
            </w:r>
          </w:p>
        </w:tc>
        <w:tc>
          <w:tcPr>
            <w:tcW w:w="5100" w:type="dxa"/>
            <w:vAlign w:val="bottom"/>
            <w:vMerge w:val="continue"/>
          </w:tcPr>
          <w:p>
            <w:pPr>
              <w:spacing w:after="0"/>
              <w:rPr>
                <w:sz w:val="24"/>
                <w:szCs w:val="24"/>
                <w:color w:val="auto"/>
              </w:rPr>
            </w:pPr>
          </w:p>
        </w:tc>
        <w:tc>
          <w:tcPr>
            <w:tcW w:w="300" w:type="dxa"/>
            <w:vAlign w:val="bottom"/>
            <w:tcBorders>
              <w:right w:val="single" w:sz="8" w:color="8797B7"/>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8797B7"/>
            </w:tcBorders>
          </w:tcPr>
          <w:p>
            <w:pPr>
              <w:spacing w:after="0"/>
              <w:rPr>
                <w:sz w:val="20"/>
                <w:szCs w:val="20"/>
                <w:color w:val="auto"/>
              </w:rPr>
            </w:pPr>
          </w:p>
        </w:tc>
        <w:tc>
          <w:tcPr>
            <w:tcW w:w="5540" w:type="dxa"/>
            <w:vAlign w:val="bottom"/>
            <w:tcBorders>
              <w:right w:val="single" w:sz="8" w:color="8797B7"/>
            </w:tcBorders>
          </w:tcPr>
          <w:p>
            <w:pPr>
              <w:spacing w:after="0"/>
              <w:rPr>
                <w:sz w:val="20"/>
                <w:szCs w:val="20"/>
                <w:color w:val="auto"/>
              </w:rPr>
            </w:pPr>
            <w:r>
              <w:rPr>
                <w:rFonts w:ascii="Arial" w:cs="Arial" w:eastAsia="Arial" w:hAnsi="Arial"/>
                <w:sz w:val="18"/>
                <w:szCs w:val="18"/>
                <w:color w:val="auto"/>
              </w:rPr>
              <w:t>Highest score in 2019 on the CDP’s Climate</w:t>
            </w:r>
          </w:p>
        </w:tc>
        <w:tc>
          <w:tcPr>
            <w:tcW w:w="5100" w:type="dxa"/>
            <w:vAlign w:val="bottom"/>
          </w:tcPr>
          <w:p>
            <w:pPr>
              <w:ind w:left="260"/>
              <w:spacing w:after="0"/>
              <w:rPr>
                <w:sz w:val="20"/>
                <w:szCs w:val="20"/>
                <w:color w:val="auto"/>
              </w:rPr>
            </w:pPr>
            <w:r>
              <w:rPr>
                <w:rFonts w:ascii="Arial" w:cs="Arial" w:eastAsia="Arial" w:hAnsi="Arial"/>
                <w:sz w:val="18"/>
                <w:szCs w:val="18"/>
                <w:color w:val="auto"/>
              </w:rPr>
              <w:t>Adherance to GRI “Core” reporting</w:t>
            </w:r>
          </w:p>
        </w:tc>
        <w:tc>
          <w:tcPr>
            <w:tcW w:w="300" w:type="dxa"/>
            <w:vAlign w:val="bottom"/>
            <w:tcBorders>
              <w:right w:val="single" w:sz="8" w:color="8797B7"/>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8797B7"/>
            </w:tcBorders>
          </w:tcPr>
          <w:p>
            <w:pPr>
              <w:spacing w:after="0"/>
              <w:rPr>
                <w:sz w:val="21"/>
                <w:szCs w:val="21"/>
                <w:color w:val="auto"/>
              </w:rPr>
            </w:pPr>
          </w:p>
        </w:tc>
        <w:tc>
          <w:tcPr>
            <w:tcW w:w="5540" w:type="dxa"/>
            <w:vAlign w:val="bottom"/>
            <w:tcBorders>
              <w:right w:val="single" w:sz="8" w:color="8797B7"/>
            </w:tcBorders>
          </w:tcPr>
          <w:p>
            <w:pPr>
              <w:spacing w:after="0"/>
              <w:rPr>
                <w:sz w:val="20"/>
                <w:szCs w:val="20"/>
                <w:color w:val="auto"/>
              </w:rPr>
            </w:pPr>
            <w:r>
              <w:rPr>
                <w:rFonts w:ascii="Arial" w:cs="Arial" w:eastAsia="Arial" w:hAnsi="Arial"/>
                <w:sz w:val="18"/>
                <w:szCs w:val="18"/>
                <w:color w:val="auto"/>
              </w:rPr>
              <w:t>Change Questionnaire among U.S. REITs on</w:t>
            </w:r>
          </w:p>
        </w:tc>
        <w:tc>
          <w:tcPr>
            <w:tcW w:w="5100" w:type="dxa"/>
            <w:vAlign w:val="bottom"/>
          </w:tcPr>
          <w:p>
            <w:pPr>
              <w:ind w:left="260"/>
              <w:spacing w:after="0"/>
              <w:rPr>
                <w:sz w:val="20"/>
                <w:szCs w:val="20"/>
                <w:color w:val="auto"/>
              </w:rPr>
            </w:pPr>
            <w:r>
              <w:rPr>
                <w:rFonts w:ascii="Arial" w:cs="Arial" w:eastAsia="Arial" w:hAnsi="Arial"/>
                <w:sz w:val="18"/>
                <w:szCs w:val="18"/>
                <w:color w:val="auto"/>
              </w:rPr>
              <w:t>standards for seven consecutive years</w:t>
            </w:r>
          </w:p>
        </w:tc>
        <w:tc>
          <w:tcPr>
            <w:tcW w:w="300" w:type="dxa"/>
            <w:vAlign w:val="bottom"/>
            <w:tcBorders>
              <w:right w:val="single" w:sz="8" w:color="8797B7"/>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00" w:type="dxa"/>
            <w:vAlign w:val="bottom"/>
            <w:tcBorders>
              <w:left w:val="single" w:sz="8" w:color="8797B7"/>
            </w:tcBorders>
          </w:tcPr>
          <w:p>
            <w:pPr>
              <w:spacing w:after="0"/>
              <w:rPr>
                <w:sz w:val="18"/>
                <w:szCs w:val="18"/>
                <w:color w:val="auto"/>
              </w:rPr>
            </w:pPr>
          </w:p>
        </w:tc>
        <w:tc>
          <w:tcPr>
            <w:tcW w:w="5540" w:type="dxa"/>
            <w:vAlign w:val="bottom"/>
            <w:tcBorders>
              <w:right w:val="single" w:sz="8" w:color="8797B7"/>
            </w:tcBorders>
          </w:tcPr>
          <w:p>
            <w:pPr>
              <w:spacing w:after="0"/>
              <w:rPr>
                <w:sz w:val="20"/>
                <w:szCs w:val="20"/>
                <w:color w:val="auto"/>
              </w:rPr>
            </w:pPr>
            <w:r>
              <w:rPr>
                <w:rFonts w:ascii="Arial" w:cs="Arial" w:eastAsia="Arial" w:hAnsi="Arial"/>
                <w:sz w:val="18"/>
                <w:szCs w:val="18"/>
                <w:color w:val="auto"/>
              </w:rPr>
              <w:t>the S&amp;P 500</w:t>
            </w:r>
          </w:p>
        </w:tc>
        <w:tc>
          <w:tcPr>
            <w:tcW w:w="5100" w:type="dxa"/>
            <w:vAlign w:val="bottom"/>
          </w:tcPr>
          <w:p>
            <w:pPr>
              <w:spacing w:after="0"/>
              <w:rPr>
                <w:sz w:val="18"/>
                <w:szCs w:val="18"/>
                <w:color w:val="auto"/>
              </w:rPr>
            </w:pPr>
          </w:p>
        </w:tc>
        <w:tc>
          <w:tcPr>
            <w:tcW w:w="300" w:type="dxa"/>
            <w:vAlign w:val="bottom"/>
            <w:tcBorders>
              <w:right w:val="single" w:sz="8" w:color="8797B7"/>
            </w:tcBorders>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300" w:type="dxa"/>
            <w:vAlign w:val="bottom"/>
            <w:tcBorders>
              <w:left w:val="single" w:sz="8" w:color="8797B7"/>
            </w:tcBorders>
          </w:tcPr>
          <w:p>
            <w:pPr>
              <w:spacing w:after="0"/>
              <w:rPr>
                <w:sz w:val="6"/>
                <w:szCs w:val="6"/>
                <w:color w:val="auto"/>
              </w:rPr>
            </w:pPr>
          </w:p>
        </w:tc>
        <w:tc>
          <w:tcPr>
            <w:tcW w:w="5540" w:type="dxa"/>
            <w:vAlign w:val="bottom"/>
            <w:tcBorders>
              <w:bottom w:val="single" w:sz="8" w:color="8797B7"/>
              <w:right w:val="single" w:sz="8" w:color="8797B7"/>
            </w:tcBorders>
          </w:tcPr>
          <w:p>
            <w:pPr>
              <w:spacing w:after="0"/>
              <w:rPr>
                <w:sz w:val="6"/>
                <w:szCs w:val="6"/>
                <w:color w:val="auto"/>
              </w:rPr>
            </w:pPr>
          </w:p>
        </w:tc>
        <w:tc>
          <w:tcPr>
            <w:tcW w:w="5100" w:type="dxa"/>
            <w:vAlign w:val="bottom"/>
            <w:tcBorders>
              <w:bottom w:val="single" w:sz="8" w:color="8797B7"/>
            </w:tcBorders>
          </w:tcPr>
          <w:p>
            <w:pPr>
              <w:spacing w:after="0"/>
              <w:rPr>
                <w:sz w:val="6"/>
                <w:szCs w:val="6"/>
                <w:color w:val="auto"/>
              </w:rPr>
            </w:pPr>
          </w:p>
        </w:tc>
        <w:tc>
          <w:tcPr>
            <w:tcW w:w="300" w:type="dxa"/>
            <w:vAlign w:val="bottom"/>
            <w:tcBorders>
              <w:right w:val="single" w:sz="8" w:color="8797B7"/>
            </w:tcBorders>
          </w:tcPr>
          <w:p>
            <w:pPr>
              <w:spacing w:after="0"/>
              <w:rPr>
                <w:sz w:val="6"/>
                <w:szCs w:val="6"/>
                <w:color w:val="auto"/>
              </w:rPr>
            </w:pPr>
          </w:p>
        </w:tc>
        <w:tc>
          <w:tcPr>
            <w:tcW w:w="0" w:type="dxa"/>
            <w:vAlign w:val="bottom"/>
          </w:tcPr>
          <w:p>
            <w:pPr>
              <w:spacing w:after="0"/>
              <w:rPr>
                <w:sz w:val="1"/>
                <w:szCs w:val="1"/>
                <w:color w:val="auto"/>
              </w:rPr>
            </w:pPr>
          </w:p>
        </w:tc>
      </w:tr>
      <w:tr>
        <w:trPr>
          <w:trHeight w:val="347"/>
        </w:trPr>
        <w:tc>
          <w:tcPr>
            <w:tcW w:w="300" w:type="dxa"/>
            <w:vAlign w:val="bottom"/>
            <w:tcBorders>
              <w:left w:val="single" w:sz="8" w:color="8797B7"/>
            </w:tcBorders>
          </w:tcPr>
          <w:p>
            <w:pPr>
              <w:spacing w:after="0"/>
              <w:rPr>
                <w:sz w:val="24"/>
                <w:szCs w:val="24"/>
                <w:color w:val="auto"/>
              </w:rPr>
            </w:pPr>
          </w:p>
        </w:tc>
        <w:tc>
          <w:tcPr>
            <w:tcW w:w="5540" w:type="dxa"/>
            <w:vAlign w:val="bottom"/>
            <w:tcBorders>
              <w:right w:val="single" w:sz="8" w:color="8797B7"/>
            </w:tcBorders>
          </w:tcPr>
          <w:p>
            <w:pPr>
              <w:spacing w:after="0"/>
              <w:rPr>
                <w:sz w:val="20"/>
                <w:szCs w:val="20"/>
                <w:color w:val="auto"/>
              </w:rPr>
            </w:pPr>
            <w:r>
              <w:rPr>
                <w:rFonts w:ascii="Arial" w:cs="Arial" w:eastAsia="Arial" w:hAnsi="Arial"/>
                <w:sz w:val="23"/>
                <w:szCs w:val="23"/>
                <w:b w:val="1"/>
                <w:bCs w:val="1"/>
                <w:color w:val="355889"/>
              </w:rPr>
              <w:t>GREEN STAR</w:t>
            </w:r>
          </w:p>
        </w:tc>
        <w:tc>
          <w:tcPr>
            <w:tcW w:w="5100" w:type="dxa"/>
            <w:vAlign w:val="bottom"/>
          </w:tcPr>
          <w:p>
            <w:pPr>
              <w:spacing w:after="0"/>
              <w:rPr>
                <w:sz w:val="24"/>
                <w:szCs w:val="24"/>
                <w:color w:val="auto"/>
              </w:rPr>
            </w:pPr>
          </w:p>
        </w:tc>
        <w:tc>
          <w:tcPr>
            <w:tcW w:w="300" w:type="dxa"/>
            <w:vAlign w:val="bottom"/>
            <w:tcBorders>
              <w:right w:val="single" w:sz="8" w:color="8797B7"/>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00" w:type="dxa"/>
            <w:vAlign w:val="bottom"/>
            <w:tcBorders>
              <w:left w:val="single" w:sz="8" w:color="8797B7"/>
            </w:tcBorders>
          </w:tcPr>
          <w:p>
            <w:pPr>
              <w:spacing w:after="0"/>
              <w:rPr>
                <w:sz w:val="24"/>
                <w:szCs w:val="24"/>
                <w:color w:val="auto"/>
              </w:rPr>
            </w:pPr>
          </w:p>
        </w:tc>
        <w:tc>
          <w:tcPr>
            <w:tcW w:w="5540" w:type="dxa"/>
            <w:vAlign w:val="bottom"/>
            <w:tcBorders>
              <w:right w:val="single" w:sz="8" w:color="8797B7"/>
            </w:tcBorders>
          </w:tcPr>
          <w:p>
            <w:pPr>
              <w:ind w:left="2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Achieved a 2019 GRESB Green Star, with a</w:t>
            </w:r>
          </w:p>
        </w:tc>
        <w:tc>
          <w:tcPr>
            <w:tcW w:w="5100" w:type="dxa"/>
            <w:vAlign w:val="bottom"/>
            <w:vMerge w:val="restart"/>
          </w:tcPr>
          <w:p>
            <w:pPr>
              <w:ind w:left="260"/>
              <w:spacing w:after="0"/>
              <w:rPr>
                <w:sz w:val="20"/>
                <w:szCs w:val="20"/>
                <w:color w:val="auto"/>
              </w:rPr>
            </w:pPr>
            <w:r>
              <w:rPr>
                <w:rFonts w:ascii="Arial" w:cs="Arial" w:eastAsia="Arial" w:hAnsi="Arial"/>
                <w:sz w:val="23"/>
                <w:szCs w:val="23"/>
                <w:b w:val="1"/>
                <w:bCs w:val="1"/>
                <w:color w:val="355889"/>
              </w:rPr>
              <w:t>TOP THREE</w:t>
            </w:r>
          </w:p>
        </w:tc>
        <w:tc>
          <w:tcPr>
            <w:tcW w:w="300" w:type="dxa"/>
            <w:vAlign w:val="bottom"/>
            <w:tcBorders>
              <w:right w:val="single" w:sz="8" w:color="8797B7"/>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00" w:type="dxa"/>
            <w:vAlign w:val="bottom"/>
            <w:tcBorders>
              <w:left w:val="single" w:sz="8" w:color="8797B7"/>
            </w:tcBorders>
          </w:tcPr>
          <w:p>
            <w:pPr>
              <w:spacing w:after="0"/>
              <w:rPr>
                <w:sz w:val="18"/>
                <w:szCs w:val="18"/>
                <w:color w:val="auto"/>
              </w:rPr>
            </w:pPr>
          </w:p>
        </w:tc>
        <w:tc>
          <w:tcPr>
            <w:tcW w:w="5540" w:type="dxa"/>
            <w:vAlign w:val="bottom"/>
            <w:tcBorders>
              <w:right w:val="single" w:sz="8" w:color="8797B7"/>
            </w:tcBorders>
          </w:tcPr>
          <w:p>
            <w:pPr>
              <w:ind w:left="280"/>
              <w:spacing w:after="0"/>
              <w:rPr>
                <w:sz w:val="20"/>
                <w:szCs w:val="20"/>
                <w:color w:val="auto"/>
              </w:rPr>
            </w:pPr>
            <w:r>
              <w:rPr>
                <w:rFonts w:ascii="Arial" w:cs="Arial" w:eastAsia="Arial" w:hAnsi="Arial"/>
                <w:sz w:val="18"/>
                <w:szCs w:val="18"/>
                <w:color w:val="auto"/>
              </w:rPr>
              <w:t>score 40% higher than the average first-</w:t>
            </w:r>
          </w:p>
        </w:tc>
        <w:tc>
          <w:tcPr>
            <w:tcW w:w="5100" w:type="dxa"/>
            <w:vAlign w:val="bottom"/>
            <w:vMerge w:val="continue"/>
          </w:tcPr>
          <w:p>
            <w:pPr>
              <w:spacing w:after="0"/>
              <w:rPr>
                <w:sz w:val="18"/>
                <w:szCs w:val="18"/>
                <w:color w:val="auto"/>
              </w:rPr>
            </w:pPr>
          </w:p>
        </w:tc>
        <w:tc>
          <w:tcPr>
            <w:tcW w:w="300" w:type="dxa"/>
            <w:vAlign w:val="bottom"/>
            <w:tcBorders>
              <w:right w:val="single" w:sz="8" w:color="8797B7"/>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 w:type="dxa"/>
            <w:vAlign w:val="bottom"/>
            <w:tcBorders>
              <w:left w:val="single" w:sz="8" w:color="8797B7"/>
            </w:tcBorders>
          </w:tcPr>
          <w:p>
            <w:pPr>
              <w:spacing w:after="0"/>
              <w:rPr>
                <w:sz w:val="18"/>
                <w:szCs w:val="18"/>
                <w:color w:val="auto"/>
              </w:rPr>
            </w:pPr>
          </w:p>
        </w:tc>
        <w:tc>
          <w:tcPr>
            <w:tcW w:w="5540" w:type="dxa"/>
            <w:vAlign w:val="bottom"/>
            <w:tcBorders>
              <w:right w:val="single" w:sz="8" w:color="8797B7"/>
            </w:tcBorders>
          </w:tcPr>
          <w:p>
            <w:pPr>
              <w:ind w:left="280"/>
              <w:spacing w:after="0"/>
              <w:rPr>
                <w:sz w:val="20"/>
                <w:szCs w:val="20"/>
                <w:color w:val="auto"/>
              </w:rPr>
            </w:pPr>
            <w:r>
              <w:rPr>
                <w:rFonts w:ascii="Arial" w:cs="Arial" w:eastAsia="Arial" w:hAnsi="Arial"/>
                <w:sz w:val="18"/>
                <w:szCs w:val="18"/>
                <w:color w:val="auto"/>
              </w:rPr>
              <w:t>time responder</w:t>
            </w:r>
          </w:p>
        </w:tc>
        <w:tc>
          <w:tcPr>
            <w:tcW w:w="5100" w:type="dxa"/>
            <w:vAlign w:val="bottom"/>
            <w:vMerge w:val="restart"/>
          </w:tcPr>
          <w:p>
            <w:pPr>
              <w:ind w:left="260"/>
              <w:spacing w:after="0"/>
              <w:rPr>
                <w:sz w:val="20"/>
                <w:szCs w:val="20"/>
                <w:color w:val="auto"/>
              </w:rPr>
            </w:pPr>
            <w:r>
              <w:rPr>
                <w:rFonts w:ascii="Arial" w:cs="Arial" w:eastAsia="Arial" w:hAnsi="Arial"/>
                <w:sz w:val="18"/>
                <w:szCs w:val="18"/>
                <w:color w:val="auto"/>
              </w:rPr>
              <w:t>Top Three Ranking in MSCI’s</w:t>
            </w:r>
          </w:p>
        </w:tc>
        <w:tc>
          <w:tcPr>
            <w:tcW w:w="300" w:type="dxa"/>
            <w:vAlign w:val="bottom"/>
            <w:tcBorders>
              <w:right w:val="single" w:sz="8" w:color="8797B7"/>
            </w:tcBorders>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00" w:type="dxa"/>
            <w:vAlign w:val="bottom"/>
            <w:tcBorders>
              <w:left w:val="single" w:sz="8" w:color="8797B7"/>
            </w:tcBorders>
          </w:tcPr>
          <w:p>
            <w:pPr>
              <w:spacing w:after="0"/>
              <w:rPr>
                <w:sz w:val="6"/>
                <w:szCs w:val="6"/>
                <w:color w:val="auto"/>
              </w:rPr>
            </w:pPr>
          </w:p>
        </w:tc>
        <w:tc>
          <w:tcPr>
            <w:tcW w:w="5540" w:type="dxa"/>
            <w:vAlign w:val="bottom"/>
            <w:tcBorders>
              <w:right w:val="single" w:sz="8" w:color="8797B7"/>
            </w:tcBorders>
            <w:vMerge w:val="restart"/>
          </w:tcPr>
          <w:p>
            <w:pPr>
              <w:ind w:left="2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Scored an “A” on GRESB’s Public</w:t>
            </w:r>
          </w:p>
        </w:tc>
        <w:tc>
          <w:tcPr>
            <w:tcW w:w="5100" w:type="dxa"/>
            <w:vAlign w:val="bottom"/>
            <w:vMerge w:val="continue"/>
          </w:tcPr>
          <w:p>
            <w:pPr>
              <w:spacing w:after="0"/>
              <w:rPr>
                <w:sz w:val="6"/>
                <w:szCs w:val="6"/>
                <w:color w:val="auto"/>
              </w:rPr>
            </w:pPr>
          </w:p>
        </w:tc>
        <w:tc>
          <w:tcPr>
            <w:tcW w:w="300" w:type="dxa"/>
            <w:vAlign w:val="bottom"/>
            <w:tcBorders>
              <w:right w:val="single" w:sz="8" w:color="8797B7"/>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8797B7"/>
            </w:tcBorders>
          </w:tcPr>
          <w:p>
            <w:pPr>
              <w:spacing w:after="0"/>
              <w:rPr>
                <w:sz w:val="17"/>
                <w:szCs w:val="17"/>
                <w:color w:val="auto"/>
              </w:rPr>
            </w:pPr>
          </w:p>
        </w:tc>
        <w:tc>
          <w:tcPr>
            <w:tcW w:w="5540" w:type="dxa"/>
            <w:vAlign w:val="bottom"/>
            <w:tcBorders>
              <w:right w:val="single" w:sz="8" w:color="8797B7"/>
            </w:tcBorders>
            <w:vMerge w:val="continue"/>
          </w:tcPr>
          <w:p>
            <w:pPr>
              <w:spacing w:after="0"/>
              <w:rPr>
                <w:sz w:val="17"/>
                <w:szCs w:val="17"/>
                <w:color w:val="auto"/>
              </w:rPr>
            </w:pPr>
          </w:p>
        </w:tc>
        <w:tc>
          <w:tcPr>
            <w:tcW w:w="5100" w:type="dxa"/>
            <w:vAlign w:val="bottom"/>
          </w:tcPr>
          <w:p>
            <w:pPr>
              <w:ind w:left="260"/>
              <w:spacing w:after="0" w:line="202" w:lineRule="exact"/>
              <w:rPr>
                <w:sz w:val="20"/>
                <w:szCs w:val="20"/>
                <w:color w:val="auto"/>
              </w:rPr>
            </w:pPr>
            <w:r>
              <w:rPr>
                <w:rFonts w:ascii="Arial" w:cs="Arial" w:eastAsia="Arial" w:hAnsi="Arial"/>
                <w:sz w:val="18"/>
                <w:szCs w:val="18"/>
                <w:color w:val="auto"/>
              </w:rPr>
              <w:t>Environmental Category (Opportunities</w:t>
            </w:r>
          </w:p>
        </w:tc>
        <w:tc>
          <w:tcPr>
            <w:tcW w:w="300" w:type="dxa"/>
            <w:vAlign w:val="bottom"/>
            <w:tcBorders>
              <w:right w:val="single" w:sz="8" w:color="8797B7"/>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0" w:type="dxa"/>
            <w:vAlign w:val="bottom"/>
            <w:tcBorders>
              <w:left w:val="single" w:sz="8" w:color="8797B7"/>
            </w:tcBorders>
          </w:tcPr>
          <w:p>
            <w:pPr>
              <w:spacing w:after="0"/>
              <w:rPr>
                <w:sz w:val="19"/>
                <w:szCs w:val="19"/>
                <w:color w:val="auto"/>
              </w:rPr>
            </w:pPr>
          </w:p>
        </w:tc>
        <w:tc>
          <w:tcPr>
            <w:tcW w:w="5540" w:type="dxa"/>
            <w:vAlign w:val="bottom"/>
            <w:tcBorders>
              <w:right w:val="single" w:sz="8" w:color="8797B7"/>
            </w:tcBorders>
          </w:tcPr>
          <w:p>
            <w:pPr>
              <w:ind w:left="280"/>
              <w:spacing w:after="0"/>
              <w:rPr>
                <w:sz w:val="20"/>
                <w:szCs w:val="20"/>
                <w:color w:val="auto"/>
              </w:rPr>
            </w:pPr>
            <w:r>
              <w:rPr>
                <w:rFonts w:ascii="Arial" w:cs="Arial" w:eastAsia="Arial" w:hAnsi="Arial"/>
                <w:sz w:val="18"/>
                <w:szCs w:val="18"/>
                <w:color w:val="auto"/>
              </w:rPr>
              <w:t>Disclosure Report</w:t>
            </w:r>
          </w:p>
        </w:tc>
        <w:tc>
          <w:tcPr>
            <w:tcW w:w="5100" w:type="dxa"/>
            <w:vAlign w:val="bottom"/>
          </w:tcPr>
          <w:p>
            <w:pPr>
              <w:ind w:left="260"/>
              <w:spacing w:after="0"/>
              <w:rPr>
                <w:sz w:val="20"/>
                <w:szCs w:val="20"/>
                <w:color w:val="auto"/>
              </w:rPr>
            </w:pPr>
            <w:r>
              <w:rPr>
                <w:rFonts w:ascii="Arial" w:cs="Arial" w:eastAsia="Arial" w:hAnsi="Arial"/>
                <w:sz w:val="18"/>
                <w:szCs w:val="18"/>
                <w:color w:val="auto"/>
              </w:rPr>
              <w:t>in Green Buildings)</w:t>
            </w:r>
          </w:p>
        </w:tc>
        <w:tc>
          <w:tcPr>
            <w:tcW w:w="300" w:type="dxa"/>
            <w:vAlign w:val="bottom"/>
            <w:tcBorders>
              <w:right w:val="single" w:sz="8" w:color="8797B7"/>
            </w:tcBorders>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300" w:type="dxa"/>
            <w:vAlign w:val="bottom"/>
            <w:tcBorders>
              <w:left w:val="single" w:sz="8" w:color="8797B7"/>
            </w:tcBorders>
          </w:tcPr>
          <w:p>
            <w:pPr>
              <w:spacing w:after="0"/>
              <w:rPr>
                <w:sz w:val="4"/>
                <w:szCs w:val="4"/>
                <w:color w:val="auto"/>
              </w:rPr>
            </w:pPr>
          </w:p>
        </w:tc>
        <w:tc>
          <w:tcPr>
            <w:tcW w:w="5540" w:type="dxa"/>
            <w:vAlign w:val="bottom"/>
            <w:tcBorders>
              <w:bottom w:val="single" w:sz="8" w:color="8797B7"/>
              <w:right w:val="single" w:sz="8" w:color="8797B7"/>
            </w:tcBorders>
          </w:tcPr>
          <w:p>
            <w:pPr>
              <w:spacing w:after="0"/>
              <w:rPr>
                <w:sz w:val="4"/>
                <w:szCs w:val="4"/>
                <w:color w:val="auto"/>
              </w:rPr>
            </w:pPr>
          </w:p>
        </w:tc>
        <w:tc>
          <w:tcPr>
            <w:tcW w:w="5100" w:type="dxa"/>
            <w:vAlign w:val="bottom"/>
            <w:tcBorders>
              <w:bottom w:val="single" w:sz="8" w:color="8797B7"/>
            </w:tcBorders>
          </w:tcPr>
          <w:p>
            <w:pPr>
              <w:spacing w:after="0"/>
              <w:rPr>
                <w:sz w:val="4"/>
                <w:szCs w:val="4"/>
                <w:color w:val="auto"/>
              </w:rPr>
            </w:pPr>
          </w:p>
        </w:tc>
        <w:tc>
          <w:tcPr>
            <w:tcW w:w="300" w:type="dxa"/>
            <w:vAlign w:val="bottom"/>
            <w:tcBorders>
              <w:right w:val="single" w:sz="8" w:color="8797B7"/>
            </w:tcBorders>
          </w:tcPr>
          <w:p>
            <w:pPr>
              <w:spacing w:after="0"/>
              <w:rPr>
                <w:sz w:val="4"/>
                <w:szCs w:val="4"/>
                <w:color w:val="auto"/>
              </w:rPr>
            </w:pPr>
          </w:p>
        </w:tc>
        <w:tc>
          <w:tcPr>
            <w:tcW w:w="0" w:type="dxa"/>
            <w:vAlign w:val="bottom"/>
          </w:tcPr>
          <w:p>
            <w:pPr>
              <w:spacing w:after="0"/>
              <w:rPr>
                <w:sz w:val="1"/>
                <w:szCs w:val="1"/>
                <w:color w:val="auto"/>
              </w:rPr>
            </w:pPr>
          </w:p>
        </w:tc>
      </w:tr>
      <w:tr>
        <w:trPr>
          <w:trHeight w:val="347"/>
        </w:trPr>
        <w:tc>
          <w:tcPr>
            <w:tcW w:w="300" w:type="dxa"/>
            <w:vAlign w:val="bottom"/>
            <w:tcBorders>
              <w:left w:val="single" w:sz="8" w:color="8797B7"/>
            </w:tcBorders>
          </w:tcPr>
          <w:p>
            <w:pPr>
              <w:spacing w:after="0"/>
              <w:rPr>
                <w:sz w:val="24"/>
                <w:szCs w:val="24"/>
                <w:color w:val="auto"/>
              </w:rPr>
            </w:pPr>
          </w:p>
        </w:tc>
        <w:tc>
          <w:tcPr>
            <w:tcW w:w="5540" w:type="dxa"/>
            <w:vAlign w:val="bottom"/>
            <w:tcBorders>
              <w:right w:val="single" w:sz="8" w:color="8797B7"/>
            </w:tcBorders>
            <w:vMerge w:val="restart"/>
          </w:tcPr>
          <w:p>
            <w:pPr>
              <w:spacing w:after="0"/>
              <w:rPr>
                <w:sz w:val="20"/>
                <w:szCs w:val="20"/>
                <w:color w:val="auto"/>
              </w:rPr>
            </w:pPr>
            <w:r>
              <w:rPr>
                <w:rFonts w:ascii="Arial" w:cs="Arial" w:eastAsia="Arial" w:hAnsi="Arial"/>
                <w:sz w:val="23"/>
                <w:szCs w:val="23"/>
                <w:b w:val="1"/>
                <w:bCs w:val="1"/>
                <w:color w:val="355889"/>
              </w:rPr>
              <w:t>OUTPERFORMER</w:t>
            </w:r>
          </w:p>
        </w:tc>
        <w:tc>
          <w:tcPr>
            <w:tcW w:w="5100" w:type="dxa"/>
            <w:vAlign w:val="bottom"/>
          </w:tcPr>
          <w:p>
            <w:pPr>
              <w:ind w:left="260"/>
              <w:spacing w:after="0"/>
              <w:rPr>
                <w:sz w:val="20"/>
                <w:szCs w:val="20"/>
                <w:color w:val="auto"/>
              </w:rPr>
            </w:pPr>
            <w:r>
              <w:rPr>
                <w:rFonts w:ascii="Arial" w:cs="Arial" w:eastAsia="Arial" w:hAnsi="Arial"/>
                <w:sz w:val="23"/>
                <w:szCs w:val="23"/>
                <w:b w:val="1"/>
                <w:bCs w:val="1"/>
                <w:color w:val="355889"/>
              </w:rPr>
              <w:t>“A” SCORE</w:t>
            </w:r>
          </w:p>
        </w:tc>
        <w:tc>
          <w:tcPr>
            <w:tcW w:w="300" w:type="dxa"/>
            <w:vAlign w:val="bottom"/>
            <w:tcBorders>
              <w:right w:val="single" w:sz="8" w:color="8797B7"/>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8797B7"/>
            </w:tcBorders>
          </w:tcPr>
          <w:p>
            <w:pPr>
              <w:spacing w:after="0"/>
              <w:rPr>
                <w:sz w:val="17"/>
                <w:szCs w:val="17"/>
                <w:color w:val="auto"/>
              </w:rPr>
            </w:pPr>
          </w:p>
        </w:tc>
        <w:tc>
          <w:tcPr>
            <w:tcW w:w="5540" w:type="dxa"/>
            <w:vAlign w:val="bottom"/>
            <w:tcBorders>
              <w:right w:val="single" w:sz="8" w:color="8797B7"/>
            </w:tcBorders>
            <w:vMerge w:val="continue"/>
          </w:tcPr>
          <w:p>
            <w:pPr>
              <w:spacing w:after="0"/>
              <w:rPr>
                <w:sz w:val="17"/>
                <w:szCs w:val="17"/>
                <w:color w:val="auto"/>
              </w:rPr>
            </w:pPr>
          </w:p>
        </w:tc>
        <w:tc>
          <w:tcPr>
            <w:tcW w:w="5100" w:type="dxa"/>
            <w:vAlign w:val="bottom"/>
            <w:vMerge w:val="restart"/>
          </w:tcPr>
          <w:p>
            <w:pPr>
              <w:ind w:left="260"/>
              <w:spacing w:after="0"/>
              <w:rPr>
                <w:sz w:val="20"/>
                <w:szCs w:val="20"/>
                <w:color w:val="auto"/>
              </w:rPr>
            </w:pPr>
            <w:r>
              <w:rPr>
                <w:rFonts w:ascii="Arial" w:cs="Arial" w:eastAsia="Arial" w:hAnsi="Arial"/>
                <w:sz w:val="18"/>
                <w:szCs w:val="18"/>
                <w:color w:val="auto"/>
              </w:rPr>
              <w:t>Ranking SL Green within the top 10</w:t>
            </w:r>
          </w:p>
        </w:tc>
        <w:tc>
          <w:tcPr>
            <w:tcW w:w="300" w:type="dxa"/>
            <w:vAlign w:val="bottom"/>
            <w:tcBorders>
              <w:right w:val="single" w:sz="8" w:color="8797B7"/>
            </w:tcBorders>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8797B7"/>
            </w:tcBorders>
          </w:tcPr>
          <w:p>
            <w:pPr>
              <w:spacing w:after="0"/>
              <w:rPr>
                <w:sz w:val="5"/>
                <w:szCs w:val="5"/>
                <w:color w:val="auto"/>
              </w:rPr>
            </w:pPr>
          </w:p>
        </w:tc>
        <w:tc>
          <w:tcPr>
            <w:tcW w:w="5540" w:type="dxa"/>
            <w:vAlign w:val="bottom"/>
            <w:tcBorders>
              <w:right w:val="single" w:sz="8" w:color="8797B7"/>
            </w:tcBorders>
          </w:tcPr>
          <w:p>
            <w:pPr>
              <w:spacing w:after="0"/>
              <w:rPr>
                <w:sz w:val="5"/>
                <w:szCs w:val="5"/>
                <w:color w:val="auto"/>
              </w:rPr>
            </w:pPr>
          </w:p>
        </w:tc>
        <w:tc>
          <w:tcPr>
            <w:tcW w:w="5100" w:type="dxa"/>
            <w:vAlign w:val="bottom"/>
            <w:vMerge w:val="continue"/>
          </w:tcPr>
          <w:p>
            <w:pPr>
              <w:spacing w:after="0"/>
              <w:rPr>
                <w:sz w:val="5"/>
                <w:szCs w:val="5"/>
                <w:color w:val="auto"/>
              </w:rPr>
            </w:pPr>
          </w:p>
        </w:tc>
        <w:tc>
          <w:tcPr>
            <w:tcW w:w="300" w:type="dxa"/>
            <w:vAlign w:val="bottom"/>
            <w:tcBorders>
              <w:right w:val="single" w:sz="8" w:color="8797B7"/>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8797B7"/>
            </w:tcBorders>
          </w:tcPr>
          <w:p>
            <w:pPr>
              <w:spacing w:after="0"/>
              <w:rPr>
                <w:sz w:val="17"/>
                <w:szCs w:val="17"/>
                <w:color w:val="auto"/>
              </w:rPr>
            </w:pPr>
          </w:p>
        </w:tc>
        <w:tc>
          <w:tcPr>
            <w:tcW w:w="5540" w:type="dxa"/>
            <w:vAlign w:val="bottom"/>
            <w:tcBorders>
              <w:right w:val="single" w:sz="8" w:color="8797B7"/>
            </w:tcBorders>
          </w:tcPr>
          <w:p>
            <w:pPr>
              <w:spacing w:after="0" w:line="202" w:lineRule="exact"/>
              <w:rPr>
                <w:sz w:val="20"/>
                <w:szCs w:val="20"/>
                <w:color w:val="auto"/>
              </w:rPr>
            </w:pPr>
            <w:r>
              <w:rPr>
                <w:rFonts w:ascii="Arial" w:cs="Arial" w:eastAsia="Arial" w:hAnsi="Arial"/>
                <w:sz w:val="18"/>
                <w:szCs w:val="18"/>
                <w:color w:val="auto"/>
              </w:rPr>
              <w:t>Designation on the Sustainalytics ESG Rating</w:t>
            </w:r>
          </w:p>
        </w:tc>
        <w:tc>
          <w:tcPr>
            <w:tcW w:w="5100" w:type="dxa"/>
            <w:vAlign w:val="bottom"/>
          </w:tcPr>
          <w:p>
            <w:pPr>
              <w:ind w:left="260"/>
              <w:spacing w:after="0" w:line="202" w:lineRule="exact"/>
              <w:rPr>
                <w:sz w:val="20"/>
                <w:szCs w:val="20"/>
                <w:color w:val="auto"/>
              </w:rPr>
            </w:pPr>
            <w:r>
              <w:rPr>
                <w:rFonts w:ascii="Arial" w:cs="Arial" w:eastAsia="Arial" w:hAnsi="Arial"/>
                <w:sz w:val="18"/>
                <w:szCs w:val="18"/>
                <w:color w:val="auto"/>
              </w:rPr>
              <w:t>percentile of Residential &amp; Commercial</w:t>
            </w:r>
          </w:p>
        </w:tc>
        <w:tc>
          <w:tcPr>
            <w:tcW w:w="300" w:type="dxa"/>
            <w:vAlign w:val="bottom"/>
            <w:tcBorders>
              <w:right w:val="single" w:sz="8" w:color="8797B7"/>
            </w:tcBorders>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00" w:type="dxa"/>
            <w:vAlign w:val="bottom"/>
            <w:tcBorders>
              <w:left w:val="single" w:sz="8" w:color="8797B7"/>
            </w:tcBorders>
          </w:tcPr>
          <w:p>
            <w:pPr>
              <w:spacing w:after="0"/>
              <w:rPr>
                <w:sz w:val="23"/>
                <w:szCs w:val="23"/>
                <w:color w:val="auto"/>
              </w:rPr>
            </w:pPr>
          </w:p>
        </w:tc>
        <w:tc>
          <w:tcPr>
            <w:tcW w:w="5540" w:type="dxa"/>
            <w:vAlign w:val="bottom"/>
            <w:tcBorders>
              <w:right w:val="single" w:sz="8" w:color="8797B7"/>
            </w:tcBorders>
          </w:tcPr>
          <w:p>
            <w:pPr>
              <w:spacing w:after="0"/>
              <w:rPr>
                <w:sz w:val="23"/>
                <w:szCs w:val="23"/>
                <w:color w:val="auto"/>
              </w:rPr>
            </w:pPr>
          </w:p>
        </w:tc>
        <w:tc>
          <w:tcPr>
            <w:tcW w:w="5100" w:type="dxa"/>
            <w:vAlign w:val="bottom"/>
          </w:tcPr>
          <w:p>
            <w:pPr>
              <w:ind w:left="260"/>
              <w:spacing w:after="0"/>
              <w:rPr>
                <w:sz w:val="20"/>
                <w:szCs w:val="20"/>
                <w:color w:val="auto"/>
              </w:rPr>
            </w:pPr>
            <w:r>
              <w:rPr>
                <w:rFonts w:ascii="Arial" w:cs="Arial" w:eastAsia="Arial" w:hAnsi="Arial"/>
                <w:sz w:val="18"/>
                <w:szCs w:val="18"/>
                <w:color w:val="auto"/>
              </w:rPr>
              <w:t>REITs</w:t>
            </w:r>
          </w:p>
        </w:tc>
        <w:tc>
          <w:tcPr>
            <w:tcW w:w="300" w:type="dxa"/>
            <w:vAlign w:val="bottom"/>
            <w:tcBorders>
              <w:right w:val="single" w:sz="8" w:color="8797B7"/>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8797B7"/>
              <w:bottom w:val="single" w:sz="8" w:color="8797B7"/>
            </w:tcBorders>
          </w:tcPr>
          <w:p>
            <w:pPr>
              <w:spacing w:after="0"/>
              <w:rPr>
                <w:sz w:val="21"/>
                <w:szCs w:val="21"/>
                <w:color w:val="auto"/>
              </w:rPr>
            </w:pPr>
          </w:p>
        </w:tc>
        <w:tc>
          <w:tcPr>
            <w:tcW w:w="5540" w:type="dxa"/>
            <w:vAlign w:val="bottom"/>
            <w:tcBorders>
              <w:bottom w:val="single" w:sz="8" w:color="8797B7"/>
            </w:tcBorders>
          </w:tcPr>
          <w:p>
            <w:pPr>
              <w:spacing w:after="0"/>
              <w:rPr>
                <w:sz w:val="21"/>
                <w:szCs w:val="21"/>
                <w:color w:val="auto"/>
              </w:rPr>
            </w:pPr>
          </w:p>
        </w:tc>
        <w:tc>
          <w:tcPr>
            <w:tcW w:w="5100" w:type="dxa"/>
            <w:vAlign w:val="bottom"/>
            <w:tcBorders>
              <w:bottom w:val="single" w:sz="8" w:color="8797B7"/>
            </w:tcBorders>
          </w:tcPr>
          <w:p>
            <w:pPr>
              <w:spacing w:after="0"/>
              <w:rPr>
                <w:sz w:val="21"/>
                <w:szCs w:val="21"/>
                <w:color w:val="auto"/>
              </w:rPr>
            </w:pPr>
          </w:p>
        </w:tc>
        <w:tc>
          <w:tcPr>
            <w:tcW w:w="300" w:type="dxa"/>
            <w:vAlign w:val="bottom"/>
            <w:tcBorders>
              <w:bottom w:val="single" w:sz="8" w:color="8797B7"/>
              <w:right w:val="single" w:sz="8" w:color="8797B7"/>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-2236470</wp:posOffset>
            </wp:positionV>
            <wp:extent cx="857250" cy="3003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0" cy="3003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-2313940</wp:posOffset>
            </wp:positionV>
            <wp:extent cx="891540" cy="3771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91540" cy="3771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-1422400</wp:posOffset>
            </wp:positionV>
            <wp:extent cx="788670" cy="514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88670" cy="5143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-1104900</wp:posOffset>
            </wp:positionV>
            <wp:extent cx="720090" cy="1968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090" cy="19685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-453390</wp:posOffset>
            </wp:positionV>
            <wp:extent cx="977265" cy="2228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77265" cy="22288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-624840</wp:posOffset>
            </wp:positionV>
            <wp:extent cx="368935" cy="419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8935" cy="419735"/>
                    </a:xfrm>
                    <a:prstGeom prst="rect">
                      <a:avLst/>
                    </a:prstGeom>
                    <a:noFill/>
                  </pic:spPr>
                </pic:pic>
              </a:graphicData>
            </a:graphic>
          </wp:anchor>
        </w:drawing>
      </w:r>
    </w:p>
    <w:p>
      <w:pPr>
        <w:spacing w:after="0" w:line="199" w:lineRule="exact"/>
        <w:rPr>
          <w:sz w:val="20"/>
          <w:szCs w:val="20"/>
          <w:color w:val="auto"/>
        </w:rPr>
      </w:pPr>
    </w:p>
    <w:p>
      <w:pPr>
        <w:ind w:right="1680"/>
        <w:spacing w:after="0" w:line="239" w:lineRule="auto"/>
        <w:rPr>
          <w:sz w:val="20"/>
          <w:szCs w:val="20"/>
          <w:color w:val="auto"/>
        </w:rPr>
      </w:pPr>
      <w:r>
        <w:rPr>
          <w:rFonts w:ascii="Arial" w:cs="Arial" w:eastAsia="Arial" w:hAnsi="Arial"/>
          <w:sz w:val="18"/>
          <w:szCs w:val="18"/>
          <w:color w:val="auto"/>
        </w:rPr>
        <w:t>Our GRI compliant sustainability reports and other information relating to our ESG initiatives are available on our website at http://www.slgreen.com/sustainability.</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Long-Term Stockholder Value Creation</w:t>
      </w:r>
    </w:p>
    <w:p>
      <w:pPr>
        <w:spacing w:after="0" w:line="235"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We have demonstrated strong operational and financial performance since our IPO and have created tremendous value for our stockholders over the long-term as we’ve positioned the Company for sustainable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29780" cy="1431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29780" cy="1431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06"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355889"/>
        </w:rPr>
        <w:t>Normalized FFO Per Share</w:t>
      </w:r>
      <w:r>
        <w:rPr>
          <w:rFonts w:ascii="Arial" w:cs="Arial" w:eastAsia="Arial" w:hAnsi="Arial"/>
          <w:sz w:val="22"/>
          <w:szCs w:val="22"/>
          <w:b w:val="1"/>
          <w:bCs w:val="1"/>
          <w:color w:val="355889"/>
          <w:vertAlign w:val="superscript"/>
        </w:rPr>
        <w:t>(1)</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Strategic, Financial and Operational Achievements</w:t>
      </w:r>
    </w:p>
    <w:p>
      <w:pPr>
        <w:spacing w:after="0" w:line="234" w:lineRule="exact"/>
        <w:rPr>
          <w:sz w:val="20"/>
          <w:szCs w:val="20"/>
          <w:color w:val="auto"/>
        </w:rPr>
      </w:pPr>
    </w:p>
    <w:p>
      <w:pPr>
        <w:ind w:left="520" w:hanging="234"/>
        <w:spacing w:after="0"/>
        <w:tabs>
          <w:tab w:leader="none" w:pos="520" w:val="left"/>
        </w:tabs>
        <w:numPr>
          <w:ilvl w:val="0"/>
          <w:numId w:val="59"/>
        </w:numPr>
        <w:rPr>
          <w:rFonts w:ascii="Arial" w:cs="Arial" w:eastAsia="Arial" w:hAnsi="Arial"/>
          <w:sz w:val="16"/>
          <w:szCs w:val="16"/>
          <w:color w:val="355889"/>
        </w:rPr>
      </w:pPr>
      <w:r>
        <w:rPr>
          <w:rFonts w:ascii="Arial" w:cs="Arial" w:eastAsia="Arial" w:hAnsi="Arial"/>
          <w:sz w:val="16"/>
          <w:szCs w:val="16"/>
          <w:color w:val="auto"/>
        </w:rPr>
        <w:t>Signed 163 Manhattan office leases covering 2.5M square at 38.1% Mark-to-Market</w:t>
      </w:r>
    </w:p>
    <w:p>
      <w:pPr>
        <w:spacing w:after="0" w:line="99" w:lineRule="exact"/>
        <w:rPr>
          <w:rFonts w:ascii="Arial" w:cs="Arial" w:eastAsia="Arial" w:hAnsi="Arial"/>
          <w:sz w:val="16"/>
          <w:szCs w:val="16"/>
          <w:color w:val="355889"/>
        </w:rPr>
      </w:pPr>
    </w:p>
    <w:p>
      <w:pPr>
        <w:ind w:left="520" w:hanging="234"/>
        <w:spacing w:after="0"/>
        <w:tabs>
          <w:tab w:leader="none" w:pos="520" w:val="left"/>
        </w:tabs>
        <w:numPr>
          <w:ilvl w:val="0"/>
          <w:numId w:val="59"/>
        </w:numPr>
        <w:rPr>
          <w:rFonts w:ascii="Arial" w:cs="Arial" w:eastAsia="Arial" w:hAnsi="Arial"/>
          <w:sz w:val="17"/>
          <w:szCs w:val="17"/>
          <w:color w:val="355889"/>
        </w:rPr>
      </w:pPr>
      <w:r>
        <w:rPr>
          <w:rFonts w:ascii="Arial" w:cs="Arial" w:eastAsia="Arial" w:hAnsi="Arial"/>
          <w:sz w:val="18"/>
          <w:szCs w:val="18"/>
          <w:color w:val="auto"/>
        </w:rPr>
        <w:t>Manhattan same store occupancy of 96.2%</w:t>
      </w:r>
    </w:p>
    <w:p>
      <w:pPr>
        <w:spacing w:after="0" w:line="89" w:lineRule="exact"/>
        <w:rPr>
          <w:rFonts w:ascii="Arial" w:cs="Arial" w:eastAsia="Arial" w:hAnsi="Arial"/>
          <w:sz w:val="17"/>
          <w:szCs w:val="17"/>
          <w:color w:val="355889"/>
        </w:rPr>
      </w:pPr>
    </w:p>
    <w:p>
      <w:pPr>
        <w:ind w:left="520" w:hanging="234"/>
        <w:spacing w:after="0"/>
        <w:tabs>
          <w:tab w:leader="none" w:pos="520" w:val="left"/>
        </w:tabs>
        <w:numPr>
          <w:ilvl w:val="0"/>
          <w:numId w:val="59"/>
        </w:numPr>
        <w:rPr>
          <w:rFonts w:ascii="Arial" w:cs="Arial" w:eastAsia="Arial" w:hAnsi="Arial"/>
          <w:sz w:val="17"/>
          <w:szCs w:val="17"/>
          <w:color w:val="355889"/>
        </w:rPr>
      </w:pPr>
      <w:r>
        <w:rPr>
          <w:rFonts w:ascii="Arial" w:cs="Arial" w:eastAsia="Arial" w:hAnsi="Arial"/>
          <w:sz w:val="18"/>
          <w:szCs w:val="18"/>
          <w:color w:val="auto"/>
        </w:rPr>
        <w:t>Same store cash NOI increase of 2.6%</w:t>
      </w:r>
      <w:r>
        <w:rPr>
          <w:rFonts w:ascii="Arial" w:cs="Arial" w:eastAsia="Arial" w:hAnsi="Arial"/>
          <w:sz w:val="29"/>
          <w:szCs w:val="29"/>
          <w:color w:val="auto"/>
          <w:vertAlign w:val="superscript"/>
        </w:rPr>
        <w:t>(2)</w:t>
      </w:r>
    </w:p>
    <w:p>
      <w:pPr>
        <w:spacing w:after="0" w:line="31" w:lineRule="exact"/>
        <w:rPr>
          <w:rFonts w:ascii="Arial" w:cs="Arial" w:eastAsia="Arial" w:hAnsi="Arial"/>
          <w:sz w:val="17"/>
          <w:szCs w:val="17"/>
          <w:color w:val="355889"/>
        </w:rPr>
      </w:pPr>
    </w:p>
    <w:p>
      <w:pPr>
        <w:ind w:left="520" w:hanging="234"/>
        <w:spacing w:after="0"/>
        <w:tabs>
          <w:tab w:leader="none" w:pos="520" w:val="left"/>
        </w:tabs>
        <w:numPr>
          <w:ilvl w:val="0"/>
          <w:numId w:val="59"/>
        </w:numPr>
        <w:rPr>
          <w:rFonts w:ascii="Arial" w:cs="Arial" w:eastAsia="Arial" w:hAnsi="Arial"/>
          <w:sz w:val="17"/>
          <w:szCs w:val="17"/>
          <w:color w:val="355889"/>
        </w:rPr>
      </w:pPr>
      <w:r>
        <w:rPr>
          <w:rFonts w:ascii="Arial" w:cs="Arial" w:eastAsia="Arial" w:hAnsi="Arial"/>
          <w:sz w:val="18"/>
          <w:szCs w:val="18"/>
          <w:color w:val="auto"/>
        </w:rPr>
        <w:t>Over $400M of value-driven share repurchases</w:t>
      </w:r>
      <w:r>
        <w:rPr>
          <w:rFonts w:ascii="Arial" w:cs="Arial" w:eastAsia="Arial" w:hAnsi="Arial"/>
          <w:sz w:val="29"/>
          <w:szCs w:val="29"/>
          <w:color w:val="auto"/>
          <w:vertAlign w:val="superscript"/>
        </w:rPr>
        <w:t>(3)</w:t>
      </w:r>
    </w:p>
    <w:p>
      <w:pPr>
        <w:spacing w:after="0" w:line="200" w:lineRule="exact"/>
        <w:rPr>
          <w:sz w:val="20"/>
          <w:szCs w:val="20"/>
          <w:color w:val="auto"/>
        </w:rPr>
      </w:pPr>
    </w:p>
    <w:p>
      <w:pPr>
        <w:sectPr>
          <w:pgSz w:w="11900" w:h="16838" w:orient="portrait"/>
          <w:cols w:equalWidth="0" w:num="2">
            <w:col w:w="3160" w:space="720"/>
            <w:col w:w="7360"/>
          </w:cols>
          <w:pgMar w:left="320" w:top="121" w:right="339" w:bottom="1440" w:gutter="0" w:footer="0" w:header="0"/>
          <w:type w:val="continuous"/>
        </w:sectPr>
      </w:pPr>
    </w:p>
    <w:p>
      <w:pPr>
        <w:spacing w:after="0" w:line="259"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Refer to Appendix A to this proxy statement for a reconciliation of Normalized FFO.</w:t>
      </w:r>
    </w:p>
    <w:p>
      <w:pPr>
        <w:spacing w:after="0" w:line="66" w:lineRule="exact"/>
        <w:rPr>
          <w:rFonts w:ascii="Arial" w:cs="Arial" w:eastAsia="Arial" w:hAnsi="Arial"/>
          <w:sz w:val="13"/>
          <w:szCs w:val="13"/>
          <w:color w:val="auto"/>
        </w:rPr>
      </w:pPr>
    </w:p>
    <w:p>
      <w:pPr>
        <w:ind w:left="320" w:hanging="312"/>
        <w:spacing w:after="0"/>
        <w:tabs>
          <w:tab w:leader="none" w:pos="3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Excludes lease termination income and free rent at 1515 Broadway. Refer to Appendix A to this proxy statement for a reconciliation of same store cash NOI.</w:t>
      </w:r>
    </w:p>
    <w:p>
      <w:pPr>
        <w:spacing w:after="0" w:line="66" w:lineRule="exact"/>
        <w:rPr>
          <w:rFonts w:ascii="Arial" w:cs="Arial" w:eastAsia="Arial" w:hAnsi="Arial"/>
          <w:sz w:val="13"/>
          <w:szCs w:val="13"/>
          <w:color w:val="auto"/>
        </w:rPr>
      </w:pPr>
    </w:p>
    <w:p>
      <w:pPr>
        <w:ind w:left="320" w:hanging="312"/>
        <w:spacing w:after="0"/>
        <w:tabs>
          <w:tab w:leader="none" w:pos="3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LTIP unit redemptions.</w:t>
      </w:r>
    </w:p>
    <w:p>
      <w:pPr>
        <w:spacing w:after="0" w:line="219" w:lineRule="exact"/>
        <w:rPr>
          <w:sz w:val="20"/>
          <w:szCs w:val="20"/>
          <w:color w:val="auto"/>
        </w:rPr>
      </w:pPr>
    </w:p>
    <w:p>
      <w:pPr>
        <w:ind w:left="300" w:hanging="292"/>
        <w:spacing w:after="0"/>
        <w:tabs>
          <w:tab w:leader="none" w:pos="300" w:val="left"/>
        </w:tabs>
        <w:numPr>
          <w:ilvl w:val="0"/>
          <w:numId w:val="61"/>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780"/>
        <w:spacing w:after="0"/>
        <w:rPr>
          <w:sz w:val="20"/>
          <w:szCs w:val="20"/>
          <w:color w:val="auto"/>
        </w:rPr>
      </w:pPr>
      <w:r>
        <w:rPr>
          <w:rFonts w:ascii="Arial" w:cs="Arial" w:eastAsia="Arial" w:hAnsi="Arial"/>
          <w:sz w:val="16"/>
          <w:szCs w:val="16"/>
          <w:u w:val="single" w:color="auto"/>
          <w:color w:val="355889"/>
        </w:rPr>
        <w:t>EXECUTIVE COMPENSATION</w:t>
      </w:r>
    </w:p>
    <w:p>
      <w:pPr>
        <w:spacing w:after="0" w:line="23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Our total returns to stockholders since our IPO – over several cycles – demonstrates the enduring strength of our company and the talent of our executive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6630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663065"/>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355889"/>
        </w:rPr>
        <w:t>Comparison of Cumulative Total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Compensation Program Considerations in Response to COVID-19 Pandemic</w:t>
      </w:r>
    </w:p>
    <w:p>
      <w:pPr>
        <w:spacing w:after="0" w:line="235"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This Compensation Discussion and Analysis section reflects our compensation practices and activity prior to the effects of the COVID-19 pandemic and any potential economic impact on the Company and the market in which we operate. In January 2020, as in prior years, the Compensation Committee, or the Committee, established specific performance metrics relating to both annual and long-term incentives for our CEO and our other named executive officers. However, uncertainty remains relating to the length and severity of this crisis and the ultimate impact it may have on our business. In light of this uncertainty, the Committee may reevaluate previously established performance metrics as appropriate.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4B6794"/>
        </w:rPr>
        <w:t>2019 Executive Compensation</w:t>
      </w:r>
    </w:p>
    <w:p>
      <w:pPr>
        <w:spacing w:after="0" w:line="23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At the heart of our executive compensation philosophy is a commitment to variable, incentive-based pay that aligns shareholder value with the economic interests of our management team. For 2019, almost 75% of our CEO’s compensation and over 65% of the annual compensation paid to our other named executive officers was in the form of multi-year time-based and performance-based equity grants.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Majority of 2019 Pay at Risk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560" w:type="dxa"/>
            <w:vAlign w:val="bottom"/>
            <w:shd w:val="clear" w:color="auto" w:fill="97A7C1"/>
          </w:tcPr>
          <w:p>
            <w:pPr>
              <w:ind w:left="180"/>
              <w:spacing w:after="0"/>
              <w:rPr>
                <w:sz w:val="20"/>
                <w:szCs w:val="20"/>
                <w:color w:val="auto"/>
              </w:rPr>
            </w:pPr>
            <w:r>
              <w:rPr>
                <w:rFonts w:ascii="Arial" w:cs="Arial" w:eastAsia="Arial" w:hAnsi="Arial"/>
                <w:sz w:val="13"/>
                <w:szCs w:val="13"/>
                <w:b w:val="1"/>
                <w:bCs w:val="1"/>
                <w:color w:val="355889"/>
              </w:rPr>
              <w:t>Chief Executive Officer Pay Mix</w:t>
            </w:r>
          </w:p>
        </w:tc>
        <w:tc>
          <w:tcPr>
            <w:tcW w:w="5680" w:type="dxa"/>
            <w:vAlign w:val="bottom"/>
            <w:shd w:val="clear" w:color="auto" w:fill="97A7C1"/>
          </w:tcPr>
          <w:p>
            <w:pPr>
              <w:ind w:left="80"/>
              <w:spacing w:after="0"/>
              <w:rPr>
                <w:sz w:val="20"/>
                <w:szCs w:val="20"/>
                <w:color w:val="auto"/>
              </w:rPr>
            </w:pPr>
            <w:r>
              <w:rPr>
                <w:rFonts w:ascii="Arial" w:cs="Arial" w:eastAsia="Arial" w:hAnsi="Arial"/>
                <w:sz w:val="13"/>
                <w:szCs w:val="13"/>
                <w:b w:val="1"/>
                <w:bCs w:val="1"/>
                <w:color w:val="355889"/>
              </w:rPr>
              <w:t>Other Named Executive Officer Pay Mix</w:t>
            </w:r>
          </w:p>
        </w:tc>
      </w:tr>
      <w:tr>
        <w:trPr>
          <w:trHeight w:val="2551"/>
        </w:trPr>
        <w:tc>
          <w:tcPr>
            <w:tcW w:w="5560" w:type="dxa"/>
            <w:vAlign w:val="bottom"/>
            <w:shd w:val="clear" w:color="auto" w:fill="97A7C1"/>
          </w:tcPr>
          <w:p>
            <w:pPr>
              <w:spacing w:after="0"/>
              <w:rPr>
                <w:sz w:val="24"/>
                <w:szCs w:val="24"/>
                <w:color w:val="auto"/>
              </w:rPr>
            </w:pPr>
          </w:p>
        </w:tc>
        <w:tc>
          <w:tcPr>
            <w:tcW w:w="5680" w:type="dxa"/>
            <w:vAlign w:val="bottom"/>
            <w:shd w:val="clear" w:color="auto" w:fill="97A7C1"/>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-1593850</wp:posOffset>
            </wp:positionV>
            <wp:extent cx="6926580" cy="1551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26580" cy="155194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Majority of 2019 Compensation Deferred and Paid in Equity</w:t>
      </w:r>
    </w:p>
    <w:p>
      <w:pPr>
        <w:spacing w:after="0" w:line="256" w:lineRule="exact"/>
        <w:rPr>
          <w:sz w:val="20"/>
          <w:szCs w:val="20"/>
          <w:color w:val="auto"/>
        </w:rPr>
      </w:pPr>
    </w:p>
    <w:p>
      <w:pPr>
        <w:ind w:left="7520"/>
        <w:spacing w:after="0"/>
        <w:tabs>
          <w:tab w:leader="none" w:pos="9740" w:val="left"/>
        </w:tabs>
        <w:rPr>
          <w:sz w:val="20"/>
          <w:szCs w:val="20"/>
          <w:color w:val="auto"/>
        </w:rPr>
      </w:pPr>
      <w:r>
        <w:rPr>
          <w:rFonts w:ascii="Arial" w:cs="Arial" w:eastAsia="Arial" w:hAnsi="Arial"/>
          <w:sz w:val="13"/>
          <w:szCs w:val="13"/>
          <w:b w:val="1"/>
          <w:bCs w:val="1"/>
          <w:color w:val="355889"/>
        </w:rPr>
        <w:t>CEO</w:t>
      </w:r>
      <w:r>
        <w:rPr>
          <w:sz w:val="20"/>
          <w:szCs w:val="20"/>
          <w:color w:val="auto"/>
        </w:rPr>
        <w:tab/>
      </w:r>
      <w:r>
        <w:rPr>
          <w:rFonts w:ascii="Arial" w:cs="Arial" w:eastAsia="Arial" w:hAnsi="Arial"/>
          <w:sz w:val="13"/>
          <w:szCs w:val="13"/>
          <w:b w:val="1"/>
          <w:bCs w:val="1"/>
          <w:color w:val="355889"/>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355889"/>
        </w:rPr>
        <w:t>Deferred/Equity Compensation</w:t>
      </w:r>
    </w:p>
    <w:p>
      <w:pPr>
        <w:spacing w:after="0" w:line="85" w:lineRule="exact"/>
        <w:rPr>
          <w:sz w:val="20"/>
          <w:szCs w:val="20"/>
          <w:color w:val="auto"/>
        </w:rPr>
      </w:pPr>
    </w:p>
    <w:p>
      <w:pPr>
        <w:ind w:left="260" w:hanging="243"/>
        <w:spacing w:after="0"/>
        <w:tabs>
          <w:tab w:leader="none" w:pos="260" w:val="left"/>
        </w:tabs>
        <w:numPr>
          <w:ilvl w:val="0"/>
          <w:numId w:val="62"/>
        </w:numPr>
        <w:rPr>
          <w:rFonts w:ascii="Arial" w:cs="Arial" w:eastAsia="Arial" w:hAnsi="Arial"/>
          <w:sz w:val="16"/>
          <w:szCs w:val="16"/>
          <w:color w:val="355889"/>
        </w:rPr>
      </w:pPr>
      <w:r>
        <w:rPr>
          <w:rFonts w:ascii="Arial" w:cs="Arial" w:eastAsia="Arial" w:hAnsi="Arial"/>
          <w:sz w:val="16"/>
          <w:szCs w:val="16"/>
          <w:color w:val="auto"/>
        </w:rPr>
        <w:t>Performance-Based Equity Awards</w:t>
      </w:r>
    </w:p>
    <w:p>
      <w:pPr>
        <w:spacing w:after="0" w:line="113" w:lineRule="exact"/>
        <w:rPr>
          <w:rFonts w:ascii="Arial" w:cs="Arial" w:eastAsia="Arial" w:hAnsi="Arial"/>
          <w:sz w:val="16"/>
          <w:szCs w:val="16"/>
          <w:color w:val="355889"/>
        </w:rPr>
      </w:pPr>
    </w:p>
    <w:p>
      <w:pPr>
        <w:ind w:left="260" w:hanging="243"/>
        <w:spacing w:after="0"/>
        <w:tabs>
          <w:tab w:leader="none" w:pos="260" w:val="left"/>
        </w:tabs>
        <w:numPr>
          <w:ilvl w:val="0"/>
          <w:numId w:val="62"/>
        </w:numPr>
        <w:rPr>
          <w:rFonts w:ascii="Arial" w:cs="Arial" w:eastAsia="Arial" w:hAnsi="Arial"/>
          <w:sz w:val="17"/>
          <w:szCs w:val="17"/>
          <w:color w:val="355889"/>
        </w:rPr>
      </w:pPr>
      <w:r>
        <w:rPr>
          <w:rFonts w:ascii="Arial" w:cs="Arial" w:eastAsia="Arial" w:hAnsi="Arial"/>
          <w:sz w:val="18"/>
          <w:szCs w:val="18"/>
          <w:color w:val="auto"/>
        </w:rPr>
        <w:t>Time-Based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9947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355889"/>
        </w:rPr>
        <w:t>Cash Compensation</w:t>
      </w:r>
    </w:p>
    <w:p>
      <w:pPr>
        <w:spacing w:after="0" w:line="85" w:lineRule="exact"/>
        <w:rPr>
          <w:sz w:val="20"/>
          <w:szCs w:val="20"/>
          <w:color w:val="auto"/>
        </w:rPr>
      </w:pPr>
    </w:p>
    <w:p>
      <w:pPr>
        <w:ind w:left="260" w:hanging="243"/>
        <w:spacing w:after="0"/>
        <w:tabs>
          <w:tab w:leader="none" w:pos="260" w:val="left"/>
        </w:tabs>
        <w:numPr>
          <w:ilvl w:val="0"/>
          <w:numId w:val="63"/>
        </w:numPr>
        <w:rPr>
          <w:rFonts w:ascii="Arial" w:cs="Arial" w:eastAsia="Arial" w:hAnsi="Arial"/>
          <w:sz w:val="17"/>
          <w:szCs w:val="17"/>
          <w:color w:val="355889"/>
        </w:rPr>
      </w:pPr>
      <w:r>
        <w:rPr>
          <w:rFonts w:ascii="Arial" w:cs="Arial" w:eastAsia="Arial" w:hAnsi="Arial"/>
          <w:sz w:val="18"/>
          <w:szCs w:val="18"/>
          <w:color w:val="auto"/>
        </w:rPr>
        <w:t>Base Salary</w:t>
      </w:r>
    </w:p>
    <w:p>
      <w:pPr>
        <w:spacing w:after="0" w:line="90" w:lineRule="exact"/>
        <w:rPr>
          <w:rFonts w:ascii="Arial" w:cs="Arial" w:eastAsia="Arial" w:hAnsi="Arial"/>
          <w:sz w:val="17"/>
          <w:szCs w:val="17"/>
          <w:color w:val="355889"/>
        </w:rPr>
      </w:pPr>
    </w:p>
    <w:p>
      <w:pPr>
        <w:ind w:left="260" w:hanging="243"/>
        <w:spacing w:after="0"/>
        <w:tabs>
          <w:tab w:leader="none" w:pos="260" w:val="left"/>
        </w:tabs>
        <w:numPr>
          <w:ilvl w:val="0"/>
          <w:numId w:val="63"/>
        </w:numPr>
        <w:rPr>
          <w:rFonts w:ascii="Arial" w:cs="Arial" w:eastAsia="Arial" w:hAnsi="Arial"/>
          <w:sz w:val="17"/>
          <w:szCs w:val="17"/>
          <w:color w:val="355889"/>
        </w:rPr>
      </w:pPr>
      <w:r>
        <w:rPr>
          <w:rFonts w:ascii="Arial" w:cs="Arial" w:eastAsia="Arial" w:hAnsi="Arial"/>
          <w:sz w:val="18"/>
          <w:szCs w:val="18"/>
          <w:color w:val="auto"/>
        </w:rPr>
        <w:t>Cash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9947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43"/>
          <w:szCs w:val="43"/>
          <w:b w:val="1"/>
          <w:bCs w:val="1"/>
          <w:color w:val="355889"/>
        </w:rPr>
        <w:t>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53975</wp:posOffset>
            </wp:positionV>
            <wp:extent cx="13970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43"/>
          <w:szCs w:val="43"/>
          <w:b w:val="1"/>
          <w:bCs w:val="1"/>
          <w:color w:val="355889"/>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53975</wp:posOffset>
            </wp:positionV>
            <wp:extent cx="13970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97000" cy="8890"/>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463550</wp:posOffset>
            </wp:positionV>
            <wp:extent cx="71532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43"/>
          <w:szCs w:val="43"/>
          <w:b w:val="1"/>
          <w:bCs w:val="1"/>
          <w:color w:val="355889"/>
        </w:rPr>
        <w:t>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53975</wp:posOffset>
            </wp:positionV>
            <wp:extent cx="13970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43"/>
          <w:szCs w:val="43"/>
          <w:b w:val="1"/>
          <w:bCs w:val="1"/>
          <w:color w:val="355889"/>
        </w:rPr>
        <w:t>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53975</wp:posOffset>
            </wp:positionV>
            <wp:extent cx="13970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2020 Proxy Statement </w:t>
      </w:r>
      <w:r>
        <w:rPr>
          <w:rFonts w:ascii="Arial" w:cs="Arial" w:eastAsia="Arial" w:hAnsi="Arial"/>
          <w:sz w:val="16"/>
          <w:szCs w:val="16"/>
          <w:color w:val="355889"/>
        </w:rPr>
        <w:t>33</w:t>
      </w:r>
    </w:p>
    <w:p>
      <w:pPr>
        <w:sectPr>
          <w:pgSz w:w="11900" w:h="16838" w:orient="portrait"/>
          <w:cols w:equalWidth="0" w:num="3">
            <w:col w:w="6340" w:space="720"/>
            <w:col w:w="1440" w:space="720"/>
            <w:col w:w="2020"/>
          </w:cols>
          <w:pgMar w:left="320" w:top="121" w:right="3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Components of Compensation for CEO and President</w:t>
      </w:r>
    </w:p>
    <w:p>
      <w:pPr>
        <w:spacing w:after="0" w:line="235"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Beginning in January 2019 – when our Chief Executive Officer’s and our President’s new employment agreements became effective – their compensation was simplified with enhanced transparency and improved long-term orientation.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0" w:type="dxa"/>
            <w:vAlign w:val="bottom"/>
            <w:tcBorders>
              <w:bottom w:val="single" w:sz="8" w:color="355889"/>
            </w:tcBorders>
            <w:shd w:val="clear" w:color="auto" w:fill="355889"/>
          </w:tcPr>
          <w:p>
            <w:pPr>
              <w:spacing w:after="0"/>
              <w:rPr>
                <w:sz w:val="15"/>
                <w:szCs w:val="15"/>
                <w:color w:val="auto"/>
              </w:rPr>
            </w:pPr>
          </w:p>
        </w:tc>
        <w:tc>
          <w:tcPr>
            <w:tcW w:w="880" w:type="dxa"/>
            <w:vAlign w:val="bottom"/>
            <w:tcBorders>
              <w:bottom w:val="single" w:sz="8" w:color="355889"/>
            </w:tcBorders>
            <w:shd w:val="clear" w:color="auto" w:fill="355889"/>
          </w:tcPr>
          <w:p>
            <w:pPr>
              <w:spacing w:after="0"/>
              <w:rPr>
                <w:sz w:val="15"/>
                <w:szCs w:val="15"/>
                <w:color w:val="auto"/>
              </w:rPr>
            </w:pPr>
          </w:p>
        </w:tc>
        <w:tc>
          <w:tcPr>
            <w:tcW w:w="120" w:type="dxa"/>
            <w:vAlign w:val="bottom"/>
            <w:tcBorders>
              <w:bottom w:val="single" w:sz="8" w:color="355889"/>
            </w:tcBorders>
            <w:shd w:val="clear" w:color="auto" w:fill="355889"/>
          </w:tcPr>
          <w:p>
            <w:pPr>
              <w:spacing w:after="0"/>
              <w:rPr>
                <w:sz w:val="15"/>
                <w:szCs w:val="15"/>
                <w:color w:val="auto"/>
              </w:rPr>
            </w:pPr>
          </w:p>
        </w:tc>
        <w:tc>
          <w:tcPr>
            <w:tcW w:w="100" w:type="dxa"/>
            <w:vAlign w:val="bottom"/>
            <w:tcBorders>
              <w:bottom w:val="single" w:sz="8" w:color="355889"/>
            </w:tcBorders>
            <w:shd w:val="clear" w:color="auto" w:fill="355889"/>
          </w:tcPr>
          <w:p>
            <w:pPr>
              <w:spacing w:after="0"/>
              <w:rPr>
                <w:sz w:val="15"/>
                <w:szCs w:val="15"/>
                <w:color w:val="auto"/>
              </w:rPr>
            </w:pPr>
          </w:p>
        </w:tc>
        <w:tc>
          <w:tcPr>
            <w:tcW w:w="1160" w:type="dxa"/>
            <w:vAlign w:val="bottom"/>
            <w:tcBorders>
              <w:bottom w:val="single" w:sz="8" w:color="355889"/>
            </w:tcBorders>
            <w:shd w:val="clear" w:color="auto" w:fill="355889"/>
          </w:tcPr>
          <w:p>
            <w:pPr>
              <w:spacing w:after="0"/>
              <w:rPr>
                <w:sz w:val="20"/>
                <w:szCs w:val="20"/>
                <w:color w:val="auto"/>
              </w:rPr>
            </w:pPr>
            <w:r>
              <w:rPr>
                <w:rFonts w:ascii="Arial" w:cs="Arial" w:eastAsia="Arial" w:hAnsi="Arial"/>
                <w:sz w:val="13"/>
                <w:szCs w:val="13"/>
                <w:b w:val="1"/>
                <w:bCs w:val="1"/>
                <w:color w:val="FFFFFF"/>
              </w:rPr>
              <w:t>Pay Element</w:t>
            </w:r>
          </w:p>
        </w:tc>
        <w:tc>
          <w:tcPr>
            <w:tcW w:w="120" w:type="dxa"/>
            <w:vAlign w:val="bottom"/>
            <w:tcBorders>
              <w:bottom w:val="single" w:sz="8" w:color="355889"/>
            </w:tcBorders>
            <w:shd w:val="clear" w:color="auto" w:fill="355889"/>
          </w:tcPr>
          <w:p>
            <w:pPr>
              <w:spacing w:after="0"/>
              <w:rPr>
                <w:sz w:val="15"/>
                <w:szCs w:val="15"/>
                <w:color w:val="auto"/>
              </w:rPr>
            </w:pPr>
          </w:p>
        </w:tc>
        <w:tc>
          <w:tcPr>
            <w:tcW w:w="100" w:type="dxa"/>
            <w:vAlign w:val="bottom"/>
            <w:tcBorders>
              <w:bottom w:val="single" w:sz="8" w:color="355889"/>
            </w:tcBorders>
            <w:shd w:val="clear" w:color="auto" w:fill="355889"/>
          </w:tcPr>
          <w:p>
            <w:pPr>
              <w:spacing w:after="0"/>
              <w:rPr>
                <w:sz w:val="15"/>
                <w:szCs w:val="15"/>
                <w:color w:val="auto"/>
              </w:rPr>
            </w:pPr>
          </w:p>
        </w:tc>
        <w:tc>
          <w:tcPr>
            <w:tcW w:w="8640" w:type="dxa"/>
            <w:vAlign w:val="bottom"/>
            <w:tcBorders>
              <w:bottom w:val="single" w:sz="8" w:color="355889"/>
            </w:tcBorders>
            <w:shd w:val="clear" w:color="auto" w:fill="355889"/>
          </w:tcPr>
          <w:p>
            <w:pPr>
              <w:spacing w:after="0"/>
              <w:rPr>
                <w:sz w:val="20"/>
                <w:szCs w:val="20"/>
                <w:color w:val="auto"/>
              </w:rPr>
            </w:pPr>
            <w:r>
              <w:rPr>
                <w:rFonts w:ascii="Arial" w:cs="Arial" w:eastAsia="Arial" w:hAnsi="Arial"/>
                <w:sz w:val="13"/>
                <w:szCs w:val="13"/>
                <w:b w:val="1"/>
                <w:bCs w:val="1"/>
                <w:color w:val="FFFFFF"/>
              </w:rPr>
              <w:t>Key Changes / Characteristics</w:t>
            </w:r>
          </w:p>
        </w:tc>
        <w:tc>
          <w:tcPr>
            <w:tcW w:w="0" w:type="dxa"/>
            <w:vAlign w:val="bottom"/>
          </w:tcPr>
          <w:p>
            <w:pPr>
              <w:spacing w:after="0"/>
              <w:rPr>
                <w:sz w:val="1"/>
                <w:szCs w:val="1"/>
                <w:color w:val="auto"/>
              </w:rPr>
            </w:pPr>
          </w:p>
        </w:tc>
      </w:tr>
      <w:tr>
        <w:trPr>
          <w:trHeight w:val="229"/>
        </w:trPr>
        <w:tc>
          <w:tcPr>
            <w:tcW w:w="120" w:type="dxa"/>
            <w:vAlign w:val="bottom"/>
            <w:shd w:val="clear" w:color="auto" w:fill="8797B7"/>
          </w:tcPr>
          <w:p>
            <w:pPr>
              <w:spacing w:after="0"/>
              <w:rPr>
                <w:sz w:val="19"/>
                <w:szCs w:val="19"/>
                <w:color w:val="auto"/>
              </w:rPr>
            </w:pPr>
          </w:p>
        </w:tc>
        <w:tc>
          <w:tcPr>
            <w:tcW w:w="880" w:type="dxa"/>
            <w:vAlign w:val="bottom"/>
            <w:vMerge w:val="restart"/>
            <w:shd w:val="clear" w:color="auto" w:fill="8797B7"/>
          </w:tcPr>
          <w:p>
            <w:pPr>
              <w:jc w:val="center"/>
              <w:spacing w:after="0"/>
              <w:rPr>
                <w:sz w:val="20"/>
                <w:szCs w:val="20"/>
                <w:color w:val="auto"/>
              </w:rPr>
            </w:pPr>
            <w:r>
              <w:rPr>
                <w:rFonts w:ascii="Arial" w:cs="Arial" w:eastAsia="Arial" w:hAnsi="Arial"/>
                <w:sz w:val="18"/>
                <w:szCs w:val="18"/>
                <w:b w:val="1"/>
                <w:bCs w:val="1"/>
                <w:color w:val="FFFFFF"/>
                <w:w w:val="97"/>
              </w:rPr>
              <w:t>Fixed</w:t>
            </w:r>
          </w:p>
        </w:tc>
        <w:tc>
          <w:tcPr>
            <w:tcW w:w="120" w:type="dxa"/>
            <w:vAlign w:val="bottom"/>
            <w:shd w:val="clear" w:color="auto" w:fill="8797B7"/>
          </w:tcPr>
          <w:p>
            <w:pPr>
              <w:spacing w:after="0"/>
              <w:rPr>
                <w:sz w:val="19"/>
                <w:szCs w:val="19"/>
                <w:color w:val="auto"/>
              </w:rPr>
            </w:pPr>
          </w:p>
        </w:tc>
        <w:tc>
          <w:tcPr>
            <w:tcW w:w="100" w:type="dxa"/>
            <w:vAlign w:val="bottom"/>
            <w:shd w:val="clear" w:color="auto" w:fill="CCD3E1"/>
          </w:tcPr>
          <w:p>
            <w:pPr>
              <w:spacing w:after="0"/>
              <w:rPr>
                <w:sz w:val="19"/>
                <w:szCs w:val="19"/>
                <w:color w:val="auto"/>
              </w:rPr>
            </w:pPr>
          </w:p>
        </w:tc>
        <w:tc>
          <w:tcPr>
            <w:tcW w:w="1160" w:type="dxa"/>
            <w:vAlign w:val="bottom"/>
            <w:vMerge w:val="restart"/>
            <w:shd w:val="clear" w:color="auto" w:fill="CCD3E1"/>
          </w:tcPr>
          <w:p>
            <w:pPr>
              <w:spacing w:after="0"/>
              <w:rPr>
                <w:sz w:val="20"/>
                <w:szCs w:val="20"/>
                <w:color w:val="auto"/>
              </w:rPr>
            </w:pPr>
            <w:r>
              <w:rPr>
                <w:rFonts w:ascii="Arial" w:cs="Arial" w:eastAsia="Arial" w:hAnsi="Arial"/>
                <w:sz w:val="18"/>
                <w:szCs w:val="18"/>
                <w:color w:val="auto"/>
              </w:rPr>
              <w:t>Base Salary</w:t>
            </w:r>
          </w:p>
        </w:tc>
        <w:tc>
          <w:tcPr>
            <w:tcW w:w="120" w:type="dxa"/>
            <w:vAlign w:val="bottom"/>
            <w:shd w:val="clear" w:color="auto" w:fill="CCD3E1"/>
          </w:tcPr>
          <w:p>
            <w:pPr>
              <w:spacing w:after="0"/>
              <w:rPr>
                <w:sz w:val="19"/>
                <w:szCs w:val="19"/>
                <w:color w:val="auto"/>
              </w:rPr>
            </w:pPr>
          </w:p>
        </w:tc>
        <w:tc>
          <w:tcPr>
            <w:tcW w:w="10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Only fixed component of compensation awarded to our CEO and President, which reflects the scope of</w:t>
            </w:r>
          </w:p>
        </w:tc>
        <w:tc>
          <w:tcPr>
            <w:tcW w:w="0" w:type="dxa"/>
            <w:vAlign w:val="bottom"/>
          </w:tcPr>
          <w:p>
            <w:pPr>
              <w:spacing w:after="0"/>
              <w:rPr>
                <w:sz w:val="1"/>
                <w:szCs w:val="1"/>
                <w:color w:val="auto"/>
              </w:rPr>
            </w:pPr>
          </w:p>
        </w:tc>
      </w:tr>
      <w:tr>
        <w:trPr>
          <w:trHeight w:val="203"/>
        </w:trPr>
        <w:tc>
          <w:tcPr>
            <w:tcW w:w="120" w:type="dxa"/>
            <w:vAlign w:val="bottom"/>
            <w:shd w:val="clear" w:color="auto" w:fill="8797B7"/>
          </w:tcPr>
          <w:p>
            <w:pPr>
              <w:spacing w:after="0"/>
              <w:rPr>
                <w:sz w:val="17"/>
                <w:szCs w:val="17"/>
                <w:color w:val="auto"/>
              </w:rPr>
            </w:pPr>
          </w:p>
        </w:tc>
        <w:tc>
          <w:tcPr>
            <w:tcW w:w="880" w:type="dxa"/>
            <w:vAlign w:val="bottom"/>
            <w:vMerge w:val="continue"/>
            <w:shd w:val="clear" w:color="auto" w:fill="8797B7"/>
          </w:tcPr>
          <w:p>
            <w:pPr>
              <w:spacing w:after="0"/>
              <w:rPr>
                <w:sz w:val="17"/>
                <w:szCs w:val="17"/>
                <w:color w:val="auto"/>
              </w:rPr>
            </w:pPr>
          </w:p>
        </w:tc>
        <w:tc>
          <w:tcPr>
            <w:tcW w:w="120" w:type="dxa"/>
            <w:vAlign w:val="bottom"/>
            <w:shd w:val="clear" w:color="auto" w:fill="8797B7"/>
          </w:tcPr>
          <w:p>
            <w:pPr>
              <w:spacing w:after="0"/>
              <w:rPr>
                <w:sz w:val="17"/>
                <w:szCs w:val="17"/>
                <w:color w:val="auto"/>
              </w:rPr>
            </w:pPr>
          </w:p>
        </w:tc>
        <w:tc>
          <w:tcPr>
            <w:tcW w:w="100" w:type="dxa"/>
            <w:vAlign w:val="bottom"/>
            <w:shd w:val="clear" w:color="auto" w:fill="CCD3E1"/>
          </w:tcPr>
          <w:p>
            <w:pPr>
              <w:spacing w:after="0"/>
              <w:rPr>
                <w:sz w:val="17"/>
                <w:szCs w:val="17"/>
                <w:color w:val="auto"/>
              </w:rPr>
            </w:pPr>
          </w:p>
        </w:tc>
        <w:tc>
          <w:tcPr>
            <w:tcW w:w="1160" w:type="dxa"/>
            <w:vAlign w:val="bottom"/>
            <w:vMerge w:val="continue"/>
            <w:shd w:val="clear" w:color="auto" w:fill="CCD3E1"/>
          </w:tcPr>
          <w:p>
            <w:pPr>
              <w:spacing w:after="0"/>
              <w:rPr>
                <w:sz w:val="17"/>
                <w:szCs w:val="17"/>
                <w:color w:val="auto"/>
              </w:rPr>
            </w:pPr>
          </w:p>
        </w:tc>
        <w:tc>
          <w:tcPr>
            <w:tcW w:w="120" w:type="dxa"/>
            <w:vAlign w:val="bottom"/>
            <w:shd w:val="clear" w:color="auto" w:fill="CCD3E1"/>
          </w:tcPr>
          <w:p>
            <w:pPr>
              <w:spacing w:after="0"/>
              <w:rPr>
                <w:sz w:val="17"/>
                <w:szCs w:val="17"/>
                <w:color w:val="auto"/>
              </w:rPr>
            </w:pPr>
          </w:p>
        </w:tc>
        <w:tc>
          <w:tcPr>
            <w:tcW w:w="100" w:type="dxa"/>
            <w:vAlign w:val="bottom"/>
          </w:tcPr>
          <w:p>
            <w:pPr>
              <w:spacing w:after="0"/>
              <w:rPr>
                <w:sz w:val="17"/>
                <w:szCs w:val="17"/>
                <w:color w:val="auto"/>
              </w:rPr>
            </w:pPr>
          </w:p>
        </w:tc>
        <w:tc>
          <w:tcPr>
            <w:tcW w:w="8640" w:type="dxa"/>
            <w:vAlign w:val="bottom"/>
          </w:tcPr>
          <w:p>
            <w:pPr>
              <w:ind w:left="280"/>
              <w:spacing w:after="0" w:line="202" w:lineRule="exact"/>
              <w:rPr>
                <w:sz w:val="20"/>
                <w:szCs w:val="20"/>
                <w:color w:val="auto"/>
              </w:rPr>
            </w:pPr>
            <w:r>
              <w:rPr>
                <w:rFonts w:ascii="Arial" w:cs="Arial" w:eastAsia="Arial" w:hAnsi="Arial"/>
                <w:sz w:val="18"/>
                <w:szCs w:val="18"/>
                <w:color w:val="auto"/>
              </w:rPr>
              <w:t>each executive officer’s duties and responsibilities taking into account the competitive market</w:t>
            </w:r>
          </w:p>
        </w:tc>
        <w:tc>
          <w:tcPr>
            <w:tcW w:w="0" w:type="dxa"/>
            <w:vAlign w:val="bottom"/>
          </w:tcPr>
          <w:p>
            <w:pPr>
              <w:spacing w:after="0"/>
              <w:rPr>
                <w:sz w:val="1"/>
                <w:szCs w:val="1"/>
                <w:color w:val="auto"/>
              </w:rPr>
            </w:pPr>
          </w:p>
        </w:tc>
      </w:tr>
      <w:tr>
        <w:trPr>
          <w:trHeight w:val="237"/>
        </w:trPr>
        <w:tc>
          <w:tcPr>
            <w:tcW w:w="120" w:type="dxa"/>
            <w:vAlign w:val="bottom"/>
            <w:tcBorders>
              <w:bottom w:val="single" w:sz="8" w:color="8797B7"/>
            </w:tcBorders>
            <w:shd w:val="clear" w:color="auto" w:fill="8797B7"/>
          </w:tcPr>
          <w:p>
            <w:pPr>
              <w:spacing w:after="0"/>
              <w:rPr>
                <w:sz w:val="20"/>
                <w:szCs w:val="20"/>
                <w:color w:val="auto"/>
              </w:rPr>
            </w:pPr>
          </w:p>
        </w:tc>
        <w:tc>
          <w:tcPr>
            <w:tcW w:w="880" w:type="dxa"/>
            <w:vAlign w:val="bottom"/>
            <w:tcBorders>
              <w:bottom w:val="single" w:sz="8" w:color="8797B7"/>
            </w:tcBorders>
            <w:shd w:val="clear" w:color="auto" w:fill="8797B7"/>
          </w:tcPr>
          <w:p>
            <w:pPr>
              <w:spacing w:after="0"/>
              <w:rPr>
                <w:sz w:val="20"/>
                <w:szCs w:val="20"/>
                <w:color w:val="auto"/>
              </w:rPr>
            </w:pPr>
          </w:p>
        </w:tc>
        <w:tc>
          <w:tcPr>
            <w:tcW w:w="120" w:type="dxa"/>
            <w:vAlign w:val="bottom"/>
            <w:tcBorders>
              <w:bottom w:val="single" w:sz="8" w:color="8797B7"/>
            </w:tcBorders>
            <w:shd w:val="clear" w:color="auto" w:fill="8797B7"/>
          </w:tcPr>
          <w:p>
            <w:pPr>
              <w:spacing w:after="0"/>
              <w:rPr>
                <w:sz w:val="20"/>
                <w:szCs w:val="20"/>
                <w:color w:val="auto"/>
              </w:rPr>
            </w:pPr>
          </w:p>
        </w:tc>
        <w:tc>
          <w:tcPr>
            <w:tcW w:w="100" w:type="dxa"/>
            <w:vAlign w:val="bottom"/>
            <w:tcBorders>
              <w:bottom w:val="single" w:sz="8" w:color="8797B7"/>
            </w:tcBorders>
            <w:shd w:val="clear" w:color="auto" w:fill="CCD3E1"/>
          </w:tcPr>
          <w:p>
            <w:pPr>
              <w:spacing w:after="0"/>
              <w:rPr>
                <w:sz w:val="20"/>
                <w:szCs w:val="20"/>
                <w:color w:val="auto"/>
              </w:rPr>
            </w:pPr>
          </w:p>
        </w:tc>
        <w:tc>
          <w:tcPr>
            <w:tcW w:w="1160" w:type="dxa"/>
            <w:vAlign w:val="bottom"/>
            <w:tcBorders>
              <w:bottom w:val="single" w:sz="8" w:color="8797B7"/>
            </w:tcBorders>
            <w:shd w:val="clear" w:color="auto" w:fill="CCD3E1"/>
          </w:tcPr>
          <w:p>
            <w:pPr>
              <w:spacing w:after="0"/>
              <w:rPr>
                <w:sz w:val="20"/>
                <w:szCs w:val="20"/>
                <w:color w:val="auto"/>
              </w:rPr>
            </w:pPr>
          </w:p>
        </w:tc>
        <w:tc>
          <w:tcPr>
            <w:tcW w:w="120" w:type="dxa"/>
            <w:vAlign w:val="bottom"/>
            <w:tcBorders>
              <w:bottom w:val="single" w:sz="8" w:color="8797B7"/>
            </w:tcBorders>
            <w:shd w:val="clear" w:color="auto" w:fill="CCD3E1"/>
          </w:tcPr>
          <w:p>
            <w:pPr>
              <w:spacing w:after="0"/>
              <w:rPr>
                <w:sz w:val="20"/>
                <w:szCs w:val="20"/>
                <w:color w:val="auto"/>
              </w:rPr>
            </w:pPr>
          </w:p>
        </w:tc>
        <w:tc>
          <w:tcPr>
            <w:tcW w:w="100" w:type="dxa"/>
            <w:vAlign w:val="bottom"/>
            <w:tcBorders>
              <w:bottom w:val="single" w:sz="8" w:color="8797B7"/>
            </w:tcBorders>
          </w:tcPr>
          <w:p>
            <w:pPr>
              <w:spacing w:after="0"/>
              <w:rPr>
                <w:sz w:val="20"/>
                <w:szCs w:val="20"/>
                <w:color w:val="auto"/>
              </w:rPr>
            </w:pPr>
          </w:p>
        </w:tc>
        <w:tc>
          <w:tcPr>
            <w:tcW w:w="8640" w:type="dxa"/>
            <w:vAlign w:val="bottom"/>
            <w:tcBorders>
              <w:bottom w:val="single" w:sz="8" w:color="8797B7"/>
            </w:tcBorders>
          </w:tcPr>
          <w:p>
            <w:pPr>
              <w:ind w:left="280"/>
              <w:spacing w:after="0"/>
              <w:rPr>
                <w:sz w:val="20"/>
                <w:szCs w:val="20"/>
                <w:color w:val="auto"/>
              </w:rPr>
            </w:pPr>
            <w:r>
              <w:rPr>
                <w:rFonts w:ascii="Arial" w:cs="Arial" w:eastAsia="Arial" w:hAnsi="Arial"/>
                <w:sz w:val="18"/>
                <w:szCs w:val="18"/>
                <w:color w:val="auto"/>
              </w:rPr>
              <w:t>compensation paid by other companies for similar positions</w:t>
            </w:r>
          </w:p>
        </w:tc>
        <w:tc>
          <w:tcPr>
            <w:tcW w:w="0" w:type="dxa"/>
            <w:vAlign w:val="bottom"/>
          </w:tcPr>
          <w:p>
            <w:pPr>
              <w:spacing w:after="0"/>
              <w:rPr>
                <w:sz w:val="1"/>
                <w:szCs w:val="1"/>
                <w:color w:val="auto"/>
              </w:rPr>
            </w:pPr>
          </w:p>
        </w:tc>
      </w:tr>
      <w:tr>
        <w:trPr>
          <w:trHeight w:val="211"/>
        </w:trPr>
        <w:tc>
          <w:tcPr>
            <w:tcW w:w="120" w:type="dxa"/>
            <w:vAlign w:val="bottom"/>
            <w:shd w:val="clear" w:color="auto" w:fill="959595"/>
          </w:tcPr>
          <w:p>
            <w:pPr>
              <w:spacing w:after="0"/>
              <w:rPr>
                <w:sz w:val="18"/>
                <w:szCs w:val="18"/>
                <w:color w:val="auto"/>
              </w:rPr>
            </w:pPr>
          </w:p>
        </w:tc>
        <w:tc>
          <w:tcPr>
            <w:tcW w:w="880" w:type="dxa"/>
            <w:vAlign w:val="bottom"/>
            <w:shd w:val="clear" w:color="auto" w:fill="959595"/>
          </w:tcPr>
          <w:p>
            <w:pPr>
              <w:jc w:val="center"/>
              <w:spacing w:after="0"/>
              <w:rPr>
                <w:sz w:val="20"/>
                <w:szCs w:val="20"/>
                <w:color w:val="auto"/>
              </w:rPr>
            </w:pPr>
            <w:r>
              <w:rPr>
                <w:rFonts w:ascii="Arial" w:cs="Arial" w:eastAsia="Arial" w:hAnsi="Arial"/>
                <w:sz w:val="18"/>
                <w:szCs w:val="18"/>
                <w:b w:val="1"/>
                <w:bCs w:val="1"/>
                <w:color w:val="FFFFFF"/>
                <w:w w:val="98"/>
              </w:rPr>
              <w:t>Annual</w:t>
            </w:r>
          </w:p>
        </w:tc>
        <w:tc>
          <w:tcPr>
            <w:tcW w:w="120" w:type="dxa"/>
            <w:vAlign w:val="bottom"/>
            <w:shd w:val="clear" w:color="auto" w:fill="959595"/>
          </w:tcPr>
          <w:p>
            <w:pPr>
              <w:spacing w:after="0"/>
              <w:rPr>
                <w:sz w:val="18"/>
                <w:szCs w:val="18"/>
                <w:color w:val="auto"/>
              </w:rPr>
            </w:pPr>
          </w:p>
        </w:tc>
        <w:tc>
          <w:tcPr>
            <w:tcW w:w="100" w:type="dxa"/>
            <w:vAlign w:val="bottom"/>
            <w:shd w:val="clear" w:color="auto" w:fill="D6D6D6"/>
          </w:tcPr>
          <w:p>
            <w:pPr>
              <w:spacing w:after="0"/>
              <w:rPr>
                <w:sz w:val="18"/>
                <w:szCs w:val="18"/>
                <w:color w:val="auto"/>
              </w:rPr>
            </w:pPr>
          </w:p>
        </w:tc>
        <w:tc>
          <w:tcPr>
            <w:tcW w:w="1160" w:type="dxa"/>
            <w:vAlign w:val="bottom"/>
            <w:shd w:val="clear" w:color="auto" w:fill="D6D6D6"/>
          </w:tcPr>
          <w:p>
            <w:pPr>
              <w:spacing w:after="0"/>
              <w:rPr>
                <w:sz w:val="20"/>
                <w:szCs w:val="20"/>
                <w:color w:val="auto"/>
              </w:rPr>
            </w:pPr>
            <w:r>
              <w:rPr>
                <w:rFonts w:ascii="Arial" w:cs="Arial" w:eastAsia="Arial" w:hAnsi="Arial"/>
                <w:sz w:val="18"/>
                <w:szCs w:val="18"/>
                <w:color w:val="auto"/>
              </w:rPr>
              <w:t>Annual Cash</w:t>
            </w:r>
          </w:p>
        </w:tc>
        <w:tc>
          <w:tcPr>
            <w:tcW w:w="120" w:type="dxa"/>
            <w:vAlign w:val="bottom"/>
            <w:shd w:val="clear" w:color="auto" w:fill="D6D6D6"/>
          </w:tcPr>
          <w:p>
            <w:pPr>
              <w:spacing w:after="0"/>
              <w:rPr>
                <w:sz w:val="18"/>
                <w:szCs w:val="18"/>
                <w:color w:val="auto"/>
              </w:rPr>
            </w:pPr>
          </w:p>
        </w:tc>
        <w:tc>
          <w:tcPr>
            <w:tcW w:w="100" w:type="dxa"/>
            <w:vAlign w:val="bottom"/>
          </w:tcPr>
          <w:p>
            <w:pPr>
              <w:spacing w:after="0"/>
              <w:rPr>
                <w:sz w:val="18"/>
                <w:szCs w:val="18"/>
                <w:color w:val="auto"/>
              </w:rPr>
            </w:pPr>
          </w:p>
        </w:tc>
        <w:tc>
          <w:tcPr>
            <w:tcW w:w="8640" w:type="dxa"/>
            <w:vAlign w:val="bottom"/>
            <w:vMerge w:val="restart"/>
          </w:tcPr>
          <w:p>
            <w:pPr>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100% formulaic based on specific performance criteria and weightings that link to our strategy</w:t>
            </w:r>
          </w:p>
        </w:tc>
        <w:tc>
          <w:tcPr>
            <w:tcW w:w="0" w:type="dxa"/>
            <w:vAlign w:val="bottom"/>
          </w:tcPr>
          <w:p>
            <w:pPr>
              <w:spacing w:after="0"/>
              <w:rPr>
                <w:sz w:val="1"/>
                <w:szCs w:val="1"/>
                <w:color w:val="auto"/>
              </w:rPr>
            </w:pPr>
          </w:p>
        </w:tc>
      </w:tr>
      <w:tr>
        <w:trPr>
          <w:trHeight w:val="125"/>
        </w:trPr>
        <w:tc>
          <w:tcPr>
            <w:tcW w:w="120" w:type="dxa"/>
            <w:vAlign w:val="bottom"/>
            <w:shd w:val="clear" w:color="auto" w:fill="959595"/>
          </w:tcPr>
          <w:p>
            <w:pPr>
              <w:spacing w:after="0"/>
              <w:rPr>
                <w:sz w:val="10"/>
                <w:szCs w:val="10"/>
                <w:color w:val="auto"/>
              </w:rPr>
            </w:pPr>
          </w:p>
        </w:tc>
        <w:tc>
          <w:tcPr>
            <w:tcW w:w="880" w:type="dxa"/>
            <w:vAlign w:val="bottom"/>
            <w:vMerge w:val="restart"/>
            <w:shd w:val="clear" w:color="auto" w:fill="959595"/>
          </w:tcPr>
          <w:p>
            <w:pPr>
              <w:jc w:val="center"/>
              <w:spacing w:after="0"/>
              <w:rPr>
                <w:sz w:val="20"/>
                <w:szCs w:val="20"/>
                <w:color w:val="auto"/>
              </w:rPr>
            </w:pPr>
            <w:r>
              <w:rPr>
                <w:rFonts w:ascii="Arial" w:cs="Arial" w:eastAsia="Arial" w:hAnsi="Arial"/>
                <w:sz w:val="18"/>
                <w:szCs w:val="18"/>
                <w:b w:val="1"/>
                <w:bCs w:val="1"/>
                <w:color w:val="FFFFFF"/>
                <w:w w:val="97"/>
              </w:rPr>
              <w:t>Incentives</w:t>
            </w:r>
          </w:p>
        </w:tc>
        <w:tc>
          <w:tcPr>
            <w:tcW w:w="120" w:type="dxa"/>
            <w:vAlign w:val="bottom"/>
            <w:shd w:val="clear" w:color="auto" w:fill="959595"/>
          </w:tcPr>
          <w:p>
            <w:pPr>
              <w:spacing w:after="0"/>
              <w:rPr>
                <w:sz w:val="10"/>
                <w:szCs w:val="10"/>
                <w:color w:val="auto"/>
              </w:rPr>
            </w:pPr>
          </w:p>
        </w:tc>
        <w:tc>
          <w:tcPr>
            <w:tcW w:w="100" w:type="dxa"/>
            <w:vAlign w:val="bottom"/>
            <w:shd w:val="clear" w:color="auto" w:fill="D6D6D6"/>
          </w:tcPr>
          <w:p>
            <w:pPr>
              <w:spacing w:after="0"/>
              <w:rPr>
                <w:sz w:val="10"/>
                <w:szCs w:val="10"/>
                <w:color w:val="auto"/>
              </w:rPr>
            </w:pPr>
          </w:p>
        </w:tc>
        <w:tc>
          <w:tcPr>
            <w:tcW w:w="1160" w:type="dxa"/>
            <w:vAlign w:val="bottom"/>
            <w:vMerge w:val="restart"/>
            <w:shd w:val="clear" w:color="auto" w:fill="D6D6D6"/>
          </w:tcPr>
          <w:p>
            <w:pPr>
              <w:spacing w:after="0"/>
              <w:rPr>
                <w:sz w:val="20"/>
                <w:szCs w:val="20"/>
                <w:color w:val="auto"/>
              </w:rPr>
            </w:pPr>
            <w:r>
              <w:rPr>
                <w:rFonts w:ascii="Arial" w:cs="Arial" w:eastAsia="Arial" w:hAnsi="Arial"/>
                <w:sz w:val="18"/>
                <w:szCs w:val="18"/>
                <w:color w:val="auto"/>
              </w:rPr>
              <w:t>Bonus</w:t>
            </w:r>
          </w:p>
        </w:tc>
        <w:tc>
          <w:tcPr>
            <w:tcW w:w="120" w:type="dxa"/>
            <w:vAlign w:val="bottom"/>
            <w:shd w:val="clear" w:color="auto" w:fill="D6D6D6"/>
          </w:tcPr>
          <w:p>
            <w:pPr>
              <w:spacing w:after="0"/>
              <w:rPr>
                <w:sz w:val="10"/>
                <w:szCs w:val="10"/>
                <w:color w:val="auto"/>
              </w:rPr>
            </w:pPr>
          </w:p>
        </w:tc>
        <w:tc>
          <w:tcPr>
            <w:tcW w:w="100" w:type="dxa"/>
            <w:vAlign w:val="bottom"/>
          </w:tcPr>
          <w:p>
            <w:pPr>
              <w:spacing w:after="0"/>
              <w:rPr>
                <w:sz w:val="10"/>
                <w:szCs w:val="10"/>
                <w:color w:val="auto"/>
              </w:rPr>
            </w:pPr>
          </w:p>
        </w:tc>
        <w:tc>
          <w:tcPr>
            <w:tcW w:w="8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tcBorders>
              <w:bottom w:val="single" w:sz="8" w:color="959595"/>
            </w:tcBorders>
            <w:shd w:val="clear" w:color="auto" w:fill="959595"/>
          </w:tcPr>
          <w:p>
            <w:pPr>
              <w:spacing w:after="0"/>
              <w:rPr>
                <w:sz w:val="10"/>
                <w:szCs w:val="10"/>
                <w:color w:val="auto"/>
              </w:rPr>
            </w:pPr>
          </w:p>
        </w:tc>
        <w:tc>
          <w:tcPr>
            <w:tcW w:w="880" w:type="dxa"/>
            <w:vAlign w:val="bottom"/>
            <w:tcBorders>
              <w:bottom w:val="single" w:sz="8" w:color="959595"/>
            </w:tcBorders>
            <w:vMerge w:val="continue"/>
            <w:shd w:val="clear" w:color="auto" w:fill="959595"/>
          </w:tcPr>
          <w:p>
            <w:pPr>
              <w:spacing w:after="0"/>
              <w:rPr>
                <w:sz w:val="10"/>
                <w:szCs w:val="10"/>
                <w:color w:val="auto"/>
              </w:rPr>
            </w:pPr>
          </w:p>
        </w:tc>
        <w:tc>
          <w:tcPr>
            <w:tcW w:w="120" w:type="dxa"/>
            <w:vAlign w:val="bottom"/>
            <w:tcBorders>
              <w:bottom w:val="single" w:sz="8" w:color="959595"/>
            </w:tcBorders>
            <w:shd w:val="clear" w:color="auto" w:fill="959595"/>
          </w:tcPr>
          <w:p>
            <w:pPr>
              <w:spacing w:after="0"/>
              <w:rPr>
                <w:sz w:val="10"/>
                <w:szCs w:val="10"/>
                <w:color w:val="auto"/>
              </w:rPr>
            </w:pPr>
          </w:p>
        </w:tc>
        <w:tc>
          <w:tcPr>
            <w:tcW w:w="100" w:type="dxa"/>
            <w:vAlign w:val="bottom"/>
            <w:tcBorders>
              <w:bottom w:val="single" w:sz="8" w:color="D6D6D6"/>
            </w:tcBorders>
            <w:shd w:val="clear" w:color="auto" w:fill="D6D6D6"/>
          </w:tcPr>
          <w:p>
            <w:pPr>
              <w:spacing w:after="0"/>
              <w:rPr>
                <w:sz w:val="10"/>
                <w:szCs w:val="10"/>
                <w:color w:val="auto"/>
              </w:rPr>
            </w:pPr>
          </w:p>
        </w:tc>
        <w:tc>
          <w:tcPr>
            <w:tcW w:w="1160" w:type="dxa"/>
            <w:vAlign w:val="bottom"/>
            <w:tcBorders>
              <w:bottom w:val="single" w:sz="8" w:color="D6D6D6"/>
            </w:tcBorders>
            <w:vMerge w:val="continue"/>
            <w:shd w:val="clear" w:color="auto" w:fill="D6D6D6"/>
          </w:tcPr>
          <w:p>
            <w:pPr>
              <w:spacing w:after="0"/>
              <w:rPr>
                <w:sz w:val="10"/>
                <w:szCs w:val="10"/>
                <w:color w:val="auto"/>
              </w:rPr>
            </w:pPr>
          </w:p>
        </w:tc>
        <w:tc>
          <w:tcPr>
            <w:tcW w:w="120" w:type="dxa"/>
            <w:vAlign w:val="bottom"/>
            <w:tcBorders>
              <w:bottom w:val="single" w:sz="8" w:color="D6D6D6"/>
            </w:tcBorders>
            <w:shd w:val="clear" w:color="auto" w:fill="D6D6D6"/>
          </w:tcPr>
          <w:p>
            <w:pPr>
              <w:spacing w:after="0"/>
              <w:rPr>
                <w:sz w:val="10"/>
                <w:szCs w:val="10"/>
                <w:color w:val="auto"/>
              </w:rPr>
            </w:pPr>
          </w:p>
        </w:tc>
        <w:tc>
          <w:tcPr>
            <w:tcW w:w="100" w:type="dxa"/>
            <w:vAlign w:val="bottom"/>
          </w:tcPr>
          <w:p>
            <w:pPr>
              <w:spacing w:after="0"/>
              <w:rPr>
                <w:sz w:val="10"/>
                <w:szCs w:val="10"/>
                <w:color w:val="auto"/>
              </w:rPr>
            </w:pPr>
          </w:p>
        </w:tc>
        <w:tc>
          <w:tcPr>
            <w:tcW w:w="8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120" w:type="dxa"/>
            <w:vAlign w:val="bottom"/>
            <w:tcBorders>
              <w:top w:val="single" w:sz="8" w:color="959595"/>
            </w:tcBorders>
            <w:shd w:val="clear" w:color="auto" w:fill="8797B7"/>
          </w:tcPr>
          <w:p>
            <w:pPr>
              <w:spacing w:after="0"/>
              <w:rPr>
                <w:sz w:val="19"/>
                <w:szCs w:val="19"/>
                <w:color w:val="auto"/>
              </w:rPr>
            </w:pPr>
          </w:p>
        </w:tc>
        <w:tc>
          <w:tcPr>
            <w:tcW w:w="880" w:type="dxa"/>
            <w:vAlign w:val="bottom"/>
            <w:tcBorders>
              <w:top w:val="single" w:sz="8" w:color="959595"/>
            </w:tcBorders>
            <w:shd w:val="clear" w:color="auto" w:fill="8797B7"/>
          </w:tcPr>
          <w:p>
            <w:pPr>
              <w:spacing w:after="0"/>
              <w:rPr>
                <w:sz w:val="19"/>
                <w:szCs w:val="19"/>
                <w:color w:val="auto"/>
              </w:rPr>
            </w:pPr>
          </w:p>
        </w:tc>
        <w:tc>
          <w:tcPr>
            <w:tcW w:w="120" w:type="dxa"/>
            <w:vAlign w:val="bottom"/>
            <w:tcBorders>
              <w:top w:val="single" w:sz="8" w:color="959595"/>
            </w:tcBorders>
            <w:shd w:val="clear" w:color="auto" w:fill="8797B7"/>
          </w:tcPr>
          <w:p>
            <w:pPr>
              <w:spacing w:after="0"/>
              <w:rPr>
                <w:sz w:val="19"/>
                <w:szCs w:val="19"/>
                <w:color w:val="auto"/>
              </w:rPr>
            </w:pPr>
          </w:p>
        </w:tc>
        <w:tc>
          <w:tcPr>
            <w:tcW w:w="100" w:type="dxa"/>
            <w:vAlign w:val="bottom"/>
            <w:tcBorders>
              <w:top w:val="single" w:sz="8" w:color="8797B7"/>
            </w:tcBorders>
            <w:shd w:val="clear" w:color="auto" w:fill="CCD3E1"/>
          </w:tcPr>
          <w:p>
            <w:pPr>
              <w:spacing w:after="0"/>
              <w:rPr>
                <w:sz w:val="19"/>
                <w:szCs w:val="19"/>
                <w:color w:val="auto"/>
              </w:rPr>
            </w:pPr>
          </w:p>
        </w:tc>
        <w:tc>
          <w:tcPr>
            <w:tcW w:w="1160" w:type="dxa"/>
            <w:vAlign w:val="bottom"/>
            <w:tcBorders>
              <w:top w:val="single" w:sz="8" w:color="8797B7"/>
            </w:tcBorders>
            <w:shd w:val="clear" w:color="auto" w:fill="CCD3E1"/>
          </w:tcPr>
          <w:p>
            <w:pPr>
              <w:spacing w:after="0"/>
              <w:rPr>
                <w:sz w:val="20"/>
                <w:szCs w:val="20"/>
                <w:color w:val="auto"/>
              </w:rPr>
            </w:pPr>
            <w:r>
              <w:rPr>
                <w:rFonts w:ascii="Arial" w:cs="Arial" w:eastAsia="Arial" w:hAnsi="Arial"/>
                <w:sz w:val="18"/>
                <w:szCs w:val="18"/>
                <w:color w:val="auto"/>
              </w:rPr>
              <w:t>Performance-</w:t>
            </w:r>
          </w:p>
        </w:tc>
        <w:tc>
          <w:tcPr>
            <w:tcW w:w="120" w:type="dxa"/>
            <w:vAlign w:val="bottom"/>
            <w:tcBorders>
              <w:top w:val="single" w:sz="8" w:color="8797B7"/>
            </w:tcBorders>
            <w:shd w:val="clear" w:color="auto" w:fill="CCD3E1"/>
          </w:tcPr>
          <w:p>
            <w:pPr>
              <w:spacing w:after="0"/>
              <w:rPr>
                <w:sz w:val="19"/>
                <w:szCs w:val="19"/>
                <w:color w:val="auto"/>
              </w:rPr>
            </w:pPr>
          </w:p>
        </w:tc>
        <w:tc>
          <w:tcPr>
            <w:tcW w:w="100" w:type="dxa"/>
            <w:vAlign w:val="bottom"/>
            <w:tcBorders>
              <w:top w:val="single" w:sz="8" w:color="8797B7"/>
            </w:tcBorders>
          </w:tcPr>
          <w:p>
            <w:pPr>
              <w:spacing w:after="0"/>
              <w:rPr>
                <w:sz w:val="19"/>
                <w:szCs w:val="19"/>
                <w:color w:val="auto"/>
              </w:rPr>
            </w:pPr>
          </w:p>
        </w:tc>
        <w:tc>
          <w:tcPr>
            <w:tcW w:w="8640" w:type="dxa"/>
            <w:vAlign w:val="bottom"/>
            <w:tcBorders>
              <w:top w:val="single" w:sz="8" w:color="8797B7"/>
            </w:tcBorders>
          </w:tcPr>
          <w:p>
            <w:pPr>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50% based on performance against annual operating goals (Manhattan same store occupancy, Manhattan</w:t>
            </w:r>
          </w:p>
        </w:tc>
        <w:tc>
          <w:tcPr>
            <w:tcW w:w="0" w:type="dxa"/>
            <w:vAlign w:val="bottom"/>
          </w:tcPr>
          <w:p>
            <w:pPr>
              <w:spacing w:after="0"/>
              <w:rPr>
                <w:sz w:val="1"/>
                <w:szCs w:val="1"/>
                <w:color w:val="auto"/>
              </w:rPr>
            </w:pPr>
          </w:p>
        </w:tc>
      </w:tr>
      <w:tr>
        <w:trPr>
          <w:trHeight w:val="203"/>
        </w:trPr>
        <w:tc>
          <w:tcPr>
            <w:tcW w:w="120" w:type="dxa"/>
            <w:vAlign w:val="bottom"/>
            <w:shd w:val="clear" w:color="auto" w:fill="8797B7"/>
          </w:tcPr>
          <w:p>
            <w:pPr>
              <w:spacing w:after="0"/>
              <w:rPr>
                <w:sz w:val="17"/>
                <w:szCs w:val="17"/>
                <w:color w:val="auto"/>
              </w:rPr>
            </w:pPr>
          </w:p>
        </w:tc>
        <w:tc>
          <w:tcPr>
            <w:tcW w:w="880" w:type="dxa"/>
            <w:vAlign w:val="bottom"/>
            <w:shd w:val="clear" w:color="auto" w:fill="8797B7"/>
          </w:tcPr>
          <w:p>
            <w:pPr>
              <w:spacing w:after="0"/>
              <w:rPr>
                <w:sz w:val="17"/>
                <w:szCs w:val="17"/>
                <w:color w:val="auto"/>
              </w:rPr>
            </w:pPr>
          </w:p>
        </w:tc>
        <w:tc>
          <w:tcPr>
            <w:tcW w:w="120" w:type="dxa"/>
            <w:vAlign w:val="bottom"/>
            <w:shd w:val="clear" w:color="auto" w:fill="8797B7"/>
          </w:tcPr>
          <w:p>
            <w:pPr>
              <w:spacing w:after="0"/>
              <w:rPr>
                <w:sz w:val="17"/>
                <w:szCs w:val="17"/>
                <w:color w:val="auto"/>
              </w:rPr>
            </w:pPr>
          </w:p>
        </w:tc>
        <w:tc>
          <w:tcPr>
            <w:tcW w:w="100" w:type="dxa"/>
            <w:vAlign w:val="bottom"/>
            <w:shd w:val="clear" w:color="auto" w:fill="CCD3E1"/>
          </w:tcPr>
          <w:p>
            <w:pPr>
              <w:spacing w:after="0"/>
              <w:rPr>
                <w:sz w:val="17"/>
                <w:szCs w:val="17"/>
                <w:color w:val="auto"/>
              </w:rPr>
            </w:pPr>
          </w:p>
        </w:tc>
        <w:tc>
          <w:tcPr>
            <w:tcW w:w="1160" w:type="dxa"/>
            <w:vAlign w:val="bottom"/>
            <w:shd w:val="clear" w:color="auto" w:fill="CCD3E1"/>
          </w:tcPr>
          <w:p>
            <w:pPr>
              <w:spacing w:after="0" w:line="202" w:lineRule="exact"/>
              <w:rPr>
                <w:sz w:val="20"/>
                <w:szCs w:val="20"/>
                <w:color w:val="auto"/>
              </w:rPr>
            </w:pPr>
            <w:r>
              <w:rPr>
                <w:rFonts w:ascii="Arial" w:cs="Arial" w:eastAsia="Arial" w:hAnsi="Arial"/>
                <w:sz w:val="18"/>
                <w:szCs w:val="18"/>
                <w:color w:val="auto"/>
              </w:rPr>
              <w:t>Based LTIP</w:t>
            </w:r>
          </w:p>
        </w:tc>
        <w:tc>
          <w:tcPr>
            <w:tcW w:w="120" w:type="dxa"/>
            <w:vAlign w:val="bottom"/>
            <w:shd w:val="clear" w:color="auto" w:fill="CCD3E1"/>
          </w:tcPr>
          <w:p>
            <w:pPr>
              <w:spacing w:after="0"/>
              <w:rPr>
                <w:sz w:val="17"/>
                <w:szCs w:val="17"/>
                <w:color w:val="auto"/>
              </w:rPr>
            </w:pPr>
          </w:p>
        </w:tc>
        <w:tc>
          <w:tcPr>
            <w:tcW w:w="100" w:type="dxa"/>
            <w:vAlign w:val="bottom"/>
          </w:tcPr>
          <w:p>
            <w:pPr>
              <w:spacing w:after="0"/>
              <w:rPr>
                <w:sz w:val="17"/>
                <w:szCs w:val="17"/>
                <w:color w:val="auto"/>
              </w:rPr>
            </w:pPr>
          </w:p>
        </w:tc>
        <w:tc>
          <w:tcPr>
            <w:tcW w:w="8640" w:type="dxa"/>
            <w:vAlign w:val="bottom"/>
            <w:vMerge w:val="restart"/>
          </w:tcPr>
          <w:p>
            <w:pPr>
              <w:ind w:left="280"/>
              <w:spacing w:after="0"/>
              <w:rPr>
                <w:sz w:val="20"/>
                <w:szCs w:val="20"/>
                <w:color w:val="auto"/>
              </w:rPr>
            </w:pPr>
            <w:r>
              <w:rPr>
                <w:rFonts w:ascii="Arial" w:cs="Arial" w:eastAsia="Arial" w:hAnsi="Arial"/>
                <w:sz w:val="18"/>
                <w:szCs w:val="18"/>
                <w:color w:val="auto"/>
                <w:w w:val="99"/>
              </w:rPr>
              <w:t>leasing volume, debt to EBITDA and FAD) determined by the Committee subject to modifier measured on</w:t>
            </w:r>
          </w:p>
        </w:tc>
        <w:tc>
          <w:tcPr>
            <w:tcW w:w="0" w:type="dxa"/>
            <w:vAlign w:val="bottom"/>
          </w:tcPr>
          <w:p>
            <w:pPr>
              <w:spacing w:after="0"/>
              <w:rPr>
                <w:sz w:val="1"/>
                <w:szCs w:val="1"/>
                <w:color w:val="auto"/>
              </w:rPr>
            </w:pPr>
          </w:p>
        </w:tc>
      </w:tr>
      <w:tr>
        <w:trPr>
          <w:trHeight w:val="54"/>
        </w:trPr>
        <w:tc>
          <w:tcPr>
            <w:tcW w:w="120" w:type="dxa"/>
            <w:vAlign w:val="bottom"/>
            <w:shd w:val="clear" w:color="auto" w:fill="8797B7"/>
          </w:tcPr>
          <w:p>
            <w:pPr>
              <w:spacing w:after="0"/>
              <w:rPr>
                <w:sz w:val="4"/>
                <w:szCs w:val="4"/>
                <w:color w:val="auto"/>
              </w:rPr>
            </w:pPr>
          </w:p>
        </w:tc>
        <w:tc>
          <w:tcPr>
            <w:tcW w:w="880" w:type="dxa"/>
            <w:vAlign w:val="bottom"/>
            <w:shd w:val="clear" w:color="auto" w:fill="8797B7"/>
          </w:tcPr>
          <w:p>
            <w:pPr>
              <w:spacing w:after="0"/>
              <w:rPr>
                <w:sz w:val="4"/>
                <w:szCs w:val="4"/>
                <w:color w:val="auto"/>
              </w:rPr>
            </w:pPr>
          </w:p>
        </w:tc>
        <w:tc>
          <w:tcPr>
            <w:tcW w:w="120" w:type="dxa"/>
            <w:vAlign w:val="bottom"/>
            <w:shd w:val="clear" w:color="auto" w:fill="8797B7"/>
          </w:tcPr>
          <w:p>
            <w:pPr>
              <w:spacing w:after="0"/>
              <w:rPr>
                <w:sz w:val="4"/>
                <w:szCs w:val="4"/>
                <w:color w:val="auto"/>
              </w:rPr>
            </w:pPr>
          </w:p>
        </w:tc>
        <w:tc>
          <w:tcPr>
            <w:tcW w:w="100" w:type="dxa"/>
            <w:vAlign w:val="bottom"/>
            <w:shd w:val="clear" w:color="auto" w:fill="CCD3E1"/>
          </w:tcPr>
          <w:p>
            <w:pPr>
              <w:spacing w:after="0"/>
              <w:rPr>
                <w:sz w:val="4"/>
                <w:szCs w:val="4"/>
                <w:color w:val="auto"/>
              </w:rPr>
            </w:pPr>
          </w:p>
        </w:tc>
        <w:tc>
          <w:tcPr>
            <w:tcW w:w="1160" w:type="dxa"/>
            <w:vAlign w:val="bottom"/>
            <w:vMerge w:val="restart"/>
            <w:shd w:val="clear" w:color="auto" w:fill="CCD3E1"/>
          </w:tcPr>
          <w:p>
            <w:pPr>
              <w:spacing w:after="0" w:line="202" w:lineRule="exact"/>
              <w:rPr>
                <w:sz w:val="20"/>
                <w:szCs w:val="20"/>
                <w:color w:val="auto"/>
              </w:rPr>
            </w:pPr>
            <w:r>
              <w:rPr>
                <w:rFonts w:ascii="Arial" w:cs="Arial" w:eastAsia="Arial" w:hAnsi="Arial"/>
                <w:sz w:val="18"/>
                <w:szCs w:val="18"/>
                <w:color w:val="auto"/>
              </w:rPr>
              <w:t>Units</w:t>
            </w:r>
          </w:p>
        </w:tc>
        <w:tc>
          <w:tcPr>
            <w:tcW w:w="120" w:type="dxa"/>
            <w:vAlign w:val="bottom"/>
            <w:shd w:val="clear" w:color="auto" w:fill="CCD3E1"/>
          </w:tcPr>
          <w:p>
            <w:pPr>
              <w:spacing w:after="0"/>
              <w:rPr>
                <w:sz w:val="4"/>
                <w:szCs w:val="4"/>
                <w:color w:val="auto"/>
              </w:rPr>
            </w:pPr>
          </w:p>
        </w:tc>
        <w:tc>
          <w:tcPr>
            <w:tcW w:w="100" w:type="dxa"/>
            <w:vAlign w:val="bottom"/>
          </w:tcPr>
          <w:p>
            <w:pPr>
              <w:spacing w:after="0"/>
              <w:rPr>
                <w:sz w:val="4"/>
                <w:szCs w:val="4"/>
                <w:color w:val="auto"/>
              </w:rPr>
            </w:pPr>
          </w:p>
        </w:tc>
        <w:tc>
          <w:tcPr>
            <w:tcW w:w="8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20" w:type="dxa"/>
            <w:vAlign w:val="bottom"/>
            <w:shd w:val="clear" w:color="auto" w:fill="8797B7"/>
          </w:tcPr>
          <w:p>
            <w:pPr>
              <w:spacing w:after="0"/>
              <w:rPr>
                <w:sz w:val="12"/>
                <w:szCs w:val="12"/>
                <w:color w:val="auto"/>
              </w:rPr>
            </w:pPr>
          </w:p>
        </w:tc>
        <w:tc>
          <w:tcPr>
            <w:tcW w:w="880" w:type="dxa"/>
            <w:vAlign w:val="bottom"/>
            <w:shd w:val="clear" w:color="auto" w:fill="8797B7"/>
          </w:tcPr>
          <w:p>
            <w:pPr>
              <w:spacing w:after="0"/>
              <w:rPr>
                <w:sz w:val="12"/>
                <w:szCs w:val="12"/>
                <w:color w:val="auto"/>
              </w:rPr>
            </w:pPr>
          </w:p>
        </w:tc>
        <w:tc>
          <w:tcPr>
            <w:tcW w:w="120" w:type="dxa"/>
            <w:vAlign w:val="bottom"/>
            <w:shd w:val="clear" w:color="auto" w:fill="8797B7"/>
          </w:tcPr>
          <w:p>
            <w:pPr>
              <w:spacing w:after="0"/>
              <w:rPr>
                <w:sz w:val="12"/>
                <w:szCs w:val="12"/>
                <w:color w:val="auto"/>
              </w:rPr>
            </w:pPr>
          </w:p>
        </w:tc>
        <w:tc>
          <w:tcPr>
            <w:tcW w:w="100" w:type="dxa"/>
            <w:vAlign w:val="bottom"/>
            <w:shd w:val="clear" w:color="auto" w:fill="CCD3E1"/>
          </w:tcPr>
          <w:p>
            <w:pPr>
              <w:spacing w:after="0"/>
              <w:rPr>
                <w:sz w:val="12"/>
                <w:szCs w:val="12"/>
                <w:color w:val="auto"/>
              </w:rPr>
            </w:pPr>
          </w:p>
        </w:tc>
        <w:tc>
          <w:tcPr>
            <w:tcW w:w="1160" w:type="dxa"/>
            <w:vAlign w:val="bottom"/>
            <w:vMerge w:val="continue"/>
            <w:shd w:val="clear" w:color="auto" w:fill="CCD3E1"/>
          </w:tcPr>
          <w:p>
            <w:pPr>
              <w:spacing w:after="0"/>
              <w:rPr>
                <w:sz w:val="12"/>
                <w:szCs w:val="12"/>
                <w:color w:val="auto"/>
              </w:rPr>
            </w:pPr>
          </w:p>
        </w:tc>
        <w:tc>
          <w:tcPr>
            <w:tcW w:w="120" w:type="dxa"/>
            <w:vAlign w:val="bottom"/>
            <w:shd w:val="clear" w:color="auto" w:fill="CCD3E1"/>
          </w:tcPr>
          <w:p>
            <w:pPr>
              <w:spacing w:after="0"/>
              <w:rPr>
                <w:sz w:val="12"/>
                <w:szCs w:val="12"/>
                <w:color w:val="auto"/>
              </w:rPr>
            </w:pPr>
          </w:p>
        </w:tc>
        <w:tc>
          <w:tcPr>
            <w:tcW w:w="100" w:type="dxa"/>
            <w:vAlign w:val="bottom"/>
          </w:tcPr>
          <w:p>
            <w:pPr>
              <w:spacing w:after="0"/>
              <w:rPr>
                <w:sz w:val="12"/>
                <w:szCs w:val="12"/>
                <w:color w:val="auto"/>
              </w:rPr>
            </w:pPr>
          </w:p>
        </w:tc>
        <w:tc>
          <w:tcPr>
            <w:tcW w:w="8640" w:type="dxa"/>
            <w:vAlign w:val="bottom"/>
            <w:vMerge w:val="restart"/>
          </w:tcPr>
          <w:p>
            <w:pPr>
              <w:ind w:left="280"/>
              <w:spacing w:after="0"/>
              <w:rPr>
                <w:sz w:val="20"/>
                <w:szCs w:val="20"/>
                <w:color w:val="auto"/>
              </w:rPr>
            </w:pPr>
            <w:r>
              <w:rPr>
                <w:rFonts w:ascii="Arial" w:cs="Arial" w:eastAsia="Arial" w:hAnsi="Arial"/>
                <w:sz w:val="18"/>
                <w:szCs w:val="18"/>
                <w:color w:val="auto"/>
              </w:rPr>
              <w:t>absolute TSR over three-year performance period</w:t>
            </w:r>
          </w:p>
        </w:tc>
        <w:tc>
          <w:tcPr>
            <w:tcW w:w="0" w:type="dxa"/>
            <w:vAlign w:val="bottom"/>
          </w:tcPr>
          <w:p>
            <w:pPr>
              <w:spacing w:after="0"/>
              <w:rPr>
                <w:sz w:val="1"/>
                <w:szCs w:val="1"/>
                <w:color w:val="auto"/>
              </w:rPr>
            </w:pPr>
          </w:p>
        </w:tc>
      </w:tr>
      <w:tr>
        <w:trPr>
          <w:trHeight w:val="62"/>
        </w:trPr>
        <w:tc>
          <w:tcPr>
            <w:tcW w:w="120" w:type="dxa"/>
            <w:vAlign w:val="bottom"/>
            <w:shd w:val="clear" w:color="auto" w:fill="8797B7"/>
          </w:tcPr>
          <w:p>
            <w:pPr>
              <w:spacing w:after="0"/>
              <w:rPr>
                <w:sz w:val="5"/>
                <w:szCs w:val="5"/>
                <w:color w:val="auto"/>
              </w:rPr>
            </w:pPr>
          </w:p>
        </w:tc>
        <w:tc>
          <w:tcPr>
            <w:tcW w:w="880" w:type="dxa"/>
            <w:vAlign w:val="bottom"/>
            <w:vMerge w:val="restart"/>
            <w:shd w:val="clear" w:color="auto" w:fill="8797B7"/>
          </w:tcPr>
          <w:p>
            <w:pPr>
              <w:jc w:val="center"/>
              <w:spacing w:after="0"/>
              <w:rPr>
                <w:sz w:val="20"/>
                <w:szCs w:val="20"/>
                <w:color w:val="auto"/>
              </w:rPr>
            </w:pPr>
            <w:r>
              <w:rPr>
                <w:rFonts w:ascii="Arial" w:cs="Arial" w:eastAsia="Arial" w:hAnsi="Arial"/>
                <w:sz w:val="18"/>
                <w:szCs w:val="18"/>
                <w:b w:val="1"/>
                <w:bCs w:val="1"/>
                <w:color w:val="FFFFFF"/>
                <w:w w:val="95"/>
              </w:rPr>
              <w:t>Long-</w:t>
            </w:r>
          </w:p>
        </w:tc>
        <w:tc>
          <w:tcPr>
            <w:tcW w:w="120" w:type="dxa"/>
            <w:vAlign w:val="bottom"/>
            <w:shd w:val="clear" w:color="auto" w:fill="8797B7"/>
          </w:tcPr>
          <w:p>
            <w:pPr>
              <w:spacing w:after="0"/>
              <w:rPr>
                <w:sz w:val="5"/>
                <w:szCs w:val="5"/>
                <w:color w:val="auto"/>
              </w:rPr>
            </w:pPr>
          </w:p>
        </w:tc>
        <w:tc>
          <w:tcPr>
            <w:tcW w:w="100" w:type="dxa"/>
            <w:vAlign w:val="bottom"/>
            <w:shd w:val="clear" w:color="auto" w:fill="CCD3E1"/>
          </w:tcPr>
          <w:p>
            <w:pPr>
              <w:spacing w:after="0"/>
              <w:rPr>
                <w:sz w:val="5"/>
                <w:szCs w:val="5"/>
                <w:color w:val="auto"/>
              </w:rPr>
            </w:pPr>
          </w:p>
        </w:tc>
        <w:tc>
          <w:tcPr>
            <w:tcW w:w="1160" w:type="dxa"/>
            <w:vAlign w:val="bottom"/>
            <w:vMerge w:val="restart"/>
            <w:shd w:val="clear" w:color="auto" w:fill="CCD3E1"/>
          </w:tcPr>
          <w:p>
            <w:pPr>
              <w:spacing w:after="0" w:line="202" w:lineRule="exact"/>
              <w:rPr>
                <w:sz w:val="20"/>
                <w:szCs w:val="20"/>
                <w:color w:val="auto"/>
              </w:rPr>
            </w:pPr>
            <w:r>
              <w:rPr>
                <w:rFonts w:ascii="Arial" w:cs="Arial" w:eastAsia="Arial" w:hAnsi="Arial"/>
                <w:sz w:val="18"/>
                <w:szCs w:val="18"/>
                <w:color w:val="auto"/>
                <w:w w:val="96"/>
              </w:rPr>
              <w:t>(approximately</w:t>
            </w:r>
          </w:p>
        </w:tc>
        <w:tc>
          <w:tcPr>
            <w:tcW w:w="120" w:type="dxa"/>
            <w:vAlign w:val="bottom"/>
            <w:shd w:val="clear" w:color="auto" w:fill="CCD3E1"/>
          </w:tcPr>
          <w:p>
            <w:pPr>
              <w:spacing w:after="0"/>
              <w:rPr>
                <w:sz w:val="5"/>
                <w:szCs w:val="5"/>
                <w:color w:val="auto"/>
              </w:rPr>
            </w:pPr>
          </w:p>
        </w:tc>
        <w:tc>
          <w:tcPr>
            <w:tcW w:w="100" w:type="dxa"/>
            <w:vAlign w:val="bottom"/>
          </w:tcPr>
          <w:p>
            <w:pPr>
              <w:spacing w:after="0"/>
              <w:rPr>
                <w:sz w:val="5"/>
                <w:szCs w:val="5"/>
                <w:color w:val="auto"/>
              </w:rPr>
            </w:pPr>
          </w:p>
        </w:tc>
        <w:tc>
          <w:tcPr>
            <w:tcW w:w="8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20" w:type="dxa"/>
            <w:vAlign w:val="bottom"/>
            <w:shd w:val="clear" w:color="auto" w:fill="8797B7"/>
          </w:tcPr>
          <w:p>
            <w:pPr>
              <w:spacing w:after="0"/>
              <w:rPr>
                <w:sz w:val="12"/>
                <w:szCs w:val="12"/>
                <w:color w:val="auto"/>
              </w:rPr>
            </w:pPr>
          </w:p>
        </w:tc>
        <w:tc>
          <w:tcPr>
            <w:tcW w:w="880" w:type="dxa"/>
            <w:vAlign w:val="bottom"/>
            <w:vMerge w:val="continue"/>
            <w:shd w:val="clear" w:color="auto" w:fill="8797B7"/>
          </w:tcPr>
          <w:p>
            <w:pPr>
              <w:spacing w:after="0"/>
              <w:rPr>
                <w:sz w:val="12"/>
                <w:szCs w:val="12"/>
                <w:color w:val="auto"/>
              </w:rPr>
            </w:pPr>
          </w:p>
        </w:tc>
        <w:tc>
          <w:tcPr>
            <w:tcW w:w="120" w:type="dxa"/>
            <w:vAlign w:val="bottom"/>
            <w:shd w:val="clear" w:color="auto" w:fill="8797B7"/>
          </w:tcPr>
          <w:p>
            <w:pPr>
              <w:spacing w:after="0"/>
              <w:rPr>
                <w:sz w:val="12"/>
                <w:szCs w:val="12"/>
                <w:color w:val="auto"/>
              </w:rPr>
            </w:pPr>
          </w:p>
        </w:tc>
        <w:tc>
          <w:tcPr>
            <w:tcW w:w="100" w:type="dxa"/>
            <w:vAlign w:val="bottom"/>
            <w:shd w:val="clear" w:color="auto" w:fill="CCD3E1"/>
          </w:tcPr>
          <w:p>
            <w:pPr>
              <w:spacing w:after="0"/>
              <w:rPr>
                <w:sz w:val="12"/>
                <w:szCs w:val="12"/>
                <w:color w:val="auto"/>
              </w:rPr>
            </w:pPr>
          </w:p>
        </w:tc>
        <w:tc>
          <w:tcPr>
            <w:tcW w:w="1160" w:type="dxa"/>
            <w:vAlign w:val="bottom"/>
            <w:vMerge w:val="continue"/>
            <w:shd w:val="clear" w:color="auto" w:fill="CCD3E1"/>
          </w:tcPr>
          <w:p>
            <w:pPr>
              <w:spacing w:after="0"/>
              <w:rPr>
                <w:sz w:val="12"/>
                <w:szCs w:val="12"/>
                <w:color w:val="auto"/>
              </w:rPr>
            </w:pPr>
          </w:p>
        </w:tc>
        <w:tc>
          <w:tcPr>
            <w:tcW w:w="120" w:type="dxa"/>
            <w:vAlign w:val="bottom"/>
            <w:shd w:val="clear" w:color="auto" w:fill="CCD3E1"/>
          </w:tcPr>
          <w:p>
            <w:pPr>
              <w:spacing w:after="0"/>
              <w:rPr>
                <w:sz w:val="12"/>
                <w:szCs w:val="12"/>
                <w:color w:val="auto"/>
              </w:rPr>
            </w:pPr>
          </w:p>
        </w:tc>
        <w:tc>
          <w:tcPr>
            <w:tcW w:w="100" w:type="dxa"/>
            <w:vAlign w:val="bottom"/>
          </w:tcPr>
          <w:p>
            <w:pPr>
              <w:spacing w:after="0"/>
              <w:rPr>
                <w:sz w:val="12"/>
                <w:szCs w:val="12"/>
                <w:color w:val="auto"/>
              </w:rPr>
            </w:pPr>
          </w:p>
        </w:tc>
        <w:tc>
          <w:tcPr>
            <w:tcW w:w="8640" w:type="dxa"/>
            <w:vAlign w:val="bottom"/>
            <w:vMerge w:val="restart"/>
          </w:tcPr>
          <w:p>
            <w:pPr>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50% based on relative TSR over three-year performance period</w:t>
            </w:r>
          </w:p>
        </w:tc>
        <w:tc>
          <w:tcPr>
            <w:tcW w:w="0" w:type="dxa"/>
            <w:vAlign w:val="bottom"/>
          </w:tcPr>
          <w:p>
            <w:pPr>
              <w:spacing w:after="0"/>
              <w:rPr>
                <w:sz w:val="1"/>
                <w:szCs w:val="1"/>
                <w:color w:val="auto"/>
              </w:rPr>
            </w:pPr>
          </w:p>
        </w:tc>
      </w:tr>
      <w:tr>
        <w:trPr>
          <w:trHeight w:val="78"/>
        </w:trPr>
        <w:tc>
          <w:tcPr>
            <w:tcW w:w="120" w:type="dxa"/>
            <w:vAlign w:val="bottom"/>
            <w:shd w:val="clear" w:color="auto" w:fill="8797B7"/>
          </w:tcPr>
          <w:p>
            <w:pPr>
              <w:spacing w:after="0"/>
              <w:rPr>
                <w:sz w:val="6"/>
                <w:szCs w:val="6"/>
                <w:color w:val="auto"/>
              </w:rPr>
            </w:pPr>
          </w:p>
        </w:tc>
        <w:tc>
          <w:tcPr>
            <w:tcW w:w="880" w:type="dxa"/>
            <w:vAlign w:val="bottom"/>
            <w:vMerge w:val="continue"/>
            <w:shd w:val="clear" w:color="auto" w:fill="8797B7"/>
          </w:tcPr>
          <w:p>
            <w:pPr>
              <w:spacing w:after="0"/>
              <w:rPr>
                <w:sz w:val="6"/>
                <w:szCs w:val="6"/>
                <w:color w:val="auto"/>
              </w:rPr>
            </w:pPr>
          </w:p>
        </w:tc>
        <w:tc>
          <w:tcPr>
            <w:tcW w:w="120" w:type="dxa"/>
            <w:vAlign w:val="bottom"/>
            <w:shd w:val="clear" w:color="auto" w:fill="8797B7"/>
          </w:tcPr>
          <w:p>
            <w:pPr>
              <w:spacing w:after="0"/>
              <w:rPr>
                <w:sz w:val="6"/>
                <w:szCs w:val="6"/>
                <w:color w:val="auto"/>
              </w:rPr>
            </w:pPr>
          </w:p>
        </w:tc>
        <w:tc>
          <w:tcPr>
            <w:tcW w:w="100" w:type="dxa"/>
            <w:vAlign w:val="bottom"/>
            <w:shd w:val="clear" w:color="auto" w:fill="CCD3E1"/>
          </w:tcPr>
          <w:p>
            <w:pPr>
              <w:spacing w:after="0"/>
              <w:rPr>
                <w:sz w:val="6"/>
                <w:szCs w:val="6"/>
                <w:color w:val="auto"/>
              </w:rPr>
            </w:pPr>
          </w:p>
        </w:tc>
        <w:tc>
          <w:tcPr>
            <w:tcW w:w="1160" w:type="dxa"/>
            <w:vAlign w:val="bottom"/>
            <w:vMerge w:val="restart"/>
            <w:shd w:val="clear" w:color="auto" w:fill="CCD3E1"/>
          </w:tcPr>
          <w:p>
            <w:pPr>
              <w:spacing w:after="0"/>
              <w:rPr>
                <w:sz w:val="20"/>
                <w:szCs w:val="20"/>
                <w:color w:val="auto"/>
              </w:rPr>
            </w:pPr>
            <w:r>
              <w:rPr>
                <w:rFonts w:ascii="Arial" w:cs="Arial" w:eastAsia="Arial" w:hAnsi="Arial"/>
                <w:sz w:val="18"/>
                <w:szCs w:val="18"/>
                <w:color w:val="auto"/>
              </w:rPr>
              <w:t>63% of total)</w:t>
            </w:r>
          </w:p>
        </w:tc>
        <w:tc>
          <w:tcPr>
            <w:tcW w:w="120" w:type="dxa"/>
            <w:vAlign w:val="bottom"/>
            <w:shd w:val="clear" w:color="auto" w:fill="CCD3E1"/>
          </w:tcPr>
          <w:p>
            <w:pPr>
              <w:spacing w:after="0"/>
              <w:rPr>
                <w:sz w:val="6"/>
                <w:szCs w:val="6"/>
                <w:color w:val="auto"/>
              </w:rPr>
            </w:pPr>
          </w:p>
        </w:tc>
        <w:tc>
          <w:tcPr>
            <w:tcW w:w="100" w:type="dxa"/>
            <w:vAlign w:val="bottom"/>
          </w:tcPr>
          <w:p>
            <w:pPr>
              <w:spacing w:after="0"/>
              <w:rPr>
                <w:sz w:val="6"/>
                <w:szCs w:val="6"/>
                <w:color w:val="auto"/>
              </w:rPr>
            </w:pPr>
          </w:p>
        </w:tc>
        <w:tc>
          <w:tcPr>
            <w:tcW w:w="8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20" w:type="dxa"/>
            <w:vAlign w:val="bottom"/>
            <w:tcBorders>
              <w:bottom w:val="single" w:sz="8" w:color="8797B7"/>
            </w:tcBorders>
            <w:shd w:val="clear" w:color="auto" w:fill="8797B7"/>
          </w:tcPr>
          <w:p>
            <w:pPr>
              <w:spacing w:after="0"/>
              <w:rPr>
                <w:sz w:val="12"/>
                <w:szCs w:val="12"/>
                <w:color w:val="auto"/>
              </w:rPr>
            </w:pPr>
          </w:p>
        </w:tc>
        <w:tc>
          <w:tcPr>
            <w:tcW w:w="880" w:type="dxa"/>
            <w:vAlign w:val="bottom"/>
            <w:tcBorders>
              <w:bottom w:val="single" w:sz="8" w:color="8797B7"/>
            </w:tcBorders>
            <w:shd w:val="clear" w:color="auto" w:fill="8797B7"/>
          </w:tcPr>
          <w:p>
            <w:pPr>
              <w:jc w:val="center"/>
              <w:spacing w:after="0" w:line="129" w:lineRule="exact"/>
              <w:rPr>
                <w:sz w:val="20"/>
                <w:szCs w:val="20"/>
                <w:color w:val="auto"/>
              </w:rPr>
            </w:pPr>
            <w:r>
              <w:rPr>
                <w:rFonts w:ascii="Arial" w:cs="Arial" w:eastAsia="Arial" w:hAnsi="Arial"/>
                <w:sz w:val="14"/>
                <w:szCs w:val="14"/>
                <w:b w:val="1"/>
                <w:bCs w:val="1"/>
                <w:color w:val="FFFFFF"/>
              </w:rPr>
              <w:t>Term</w:t>
            </w:r>
          </w:p>
        </w:tc>
        <w:tc>
          <w:tcPr>
            <w:tcW w:w="120" w:type="dxa"/>
            <w:vAlign w:val="bottom"/>
            <w:tcBorders>
              <w:bottom w:val="single" w:sz="8" w:color="8797B7"/>
            </w:tcBorders>
            <w:shd w:val="clear" w:color="auto" w:fill="8797B7"/>
          </w:tcPr>
          <w:p>
            <w:pPr>
              <w:spacing w:after="0"/>
              <w:rPr>
                <w:sz w:val="12"/>
                <w:szCs w:val="12"/>
                <w:color w:val="auto"/>
              </w:rPr>
            </w:pPr>
          </w:p>
        </w:tc>
        <w:tc>
          <w:tcPr>
            <w:tcW w:w="100" w:type="dxa"/>
            <w:vAlign w:val="bottom"/>
            <w:tcBorders>
              <w:bottom w:val="single" w:sz="8" w:color="8797B7"/>
            </w:tcBorders>
            <w:shd w:val="clear" w:color="auto" w:fill="CCD3E1"/>
          </w:tcPr>
          <w:p>
            <w:pPr>
              <w:spacing w:after="0"/>
              <w:rPr>
                <w:sz w:val="12"/>
                <w:szCs w:val="12"/>
                <w:color w:val="auto"/>
              </w:rPr>
            </w:pPr>
          </w:p>
        </w:tc>
        <w:tc>
          <w:tcPr>
            <w:tcW w:w="1160" w:type="dxa"/>
            <w:vAlign w:val="bottom"/>
            <w:tcBorders>
              <w:bottom w:val="single" w:sz="8" w:color="8797B7"/>
            </w:tcBorders>
            <w:vMerge w:val="continue"/>
            <w:shd w:val="clear" w:color="auto" w:fill="CCD3E1"/>
          </w:tcPr>
          <w:p>
            <w:pPr>
              <w:spacing w:after="0"/>
              <w:rPr>
                <w:sz w:val="12"/>
                <w:szCs w:val="12"/>
                <w:color w:val="auto"/>
              </w:rPr>
            </w:pPr>
          </w:p>
        </w:tc>
        <w:tc>
          <w:tcPr>
            <w:tcW w:w="120" w:type="dxa"/>
            <w:vAlign w:val="bottom"/>
            <w:tcBorders>
              <w:bottom w:val="single" w:sz="8" w:color="8797B7"/>
            </w:tcBorders>
            <w:shd w:val="clear" w:color="auto" w:fill="CCD3E1"/>
          </w:tcPr>
          <w:p>
            <w:pPr>
              <w:spacing w:after="0"/>
              <w:rPr>
                <w:sz w:val="12"/>
                <w:szCs w:val="12"/>
                <w:color w:val="auto"/>
              </w:rPr>
            </w:pPr>
          </w:p>
        </w:tc>
        <w:tc>
          <w:tcPr>
            <w:tcW w:w="100" w:type="dxa"/>
            <w:vAlign w:val="bottom"/>
            <w:tcBorders>
              <w:bottom w:val="single" w:sz="8" w:color="8797B7"/>
            </w:tcBorders>
          </w:tcPr>
          <w:p>
            <w:pPr>
              <w:spacing w:after="0"/>
              <w:rPr>
                <w:sz w:val="12"/>
                <w:szCs w:val="12"/>
                <w:color w:val="auto"/>
              </w:rPr>
            </w:pPr>
          </w:p>
        </w:tc>
        <w:tc>
          <w:tcPr>
            <w:tcW w:w="8640" w:type="dxa"/>
            <w:vAlign w:val="bottom"/>
            <w:tcBorders>
              <w:bottom w:val="single" w:sz="8" w:color="8797B7"/>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20" w:type="dxa"/>
            <w:vAlign w:val="bottom"/>
            <w:shd w:val="clear" w:color="auto" w:fill="8797B7"/>
          </w:tcPr>
          <w:p>
            <w:pPr>
              <w:spacing w:after="0"/>
              <w:rPr>
                <w:sz w:val="19"/>
                <w:szCs w:val="19"/>
                <w:color w:val="auto"/>
              </w:rPr>
            </w:pPr>
          </w:p>
        </w:tc>
        <w:tc>
          <w:tcPr>
            <w:tcW w:w="880" w:type="dxa"/>
            <w:vAlign w:val="bottom"/>
            <w:shd w:val="clear" w:color="auto" w:fill="8797B7"/>
          </w:tcPr>
          <w:p>
            <w:pPr>
              <w:jc w:val="center"/>
              <w:spacing w:after="0"/>
              <w:rPr>
                <w:sz w:val="20"/>
                <w:szCs w:val="20"/>
                <w:color w:val="auto"/>
              </w:rPr>
            </w:pPr>
            <w:r>
              <w:rPr>
                <w:rFonts w:ascii="Arial" w:cs="Arial" w:eastAsia="Arial" w:hAnsi="Arial"/>
                <w:sz w:val="18"/>
                <w:szCs w:val="18"/>
                <w:b w:val="1"/>
                <w:bCs w:val="1"/>
                <w:color w:val="FFFFFF"/>
                <w:w w:val="97"/>
              </w:rPr>
              <w:t>Incentives</w:t>
            </w:r>
          </w:p>
        </w:tc>
        <w:tc>
          <w:tcPr>
            <w:tcW w:w="120" w:type="dxa"/>
            <w:vAlign w:val="bottom"/>
            <w:shd w:val="clear" w:color="auto" w:fill="8797B7"/>
          </w:tcPr>
          <w:p>
            <w:pPr>
              <w:spacing w:after="0"/>
              <w:rPr>
                <w:sz w:val="19"/>
                <w:szCs w:val="19"/>
                <w:color w:val="auto"/>
              </w:rPr>
            </w:pPr>
          </w:p>
        </w:tc>
        <w:tc>
          <w:tcPr>
            <w:tcW w:w="100" w:type="dxa"/>
            <w:vAlign w:val="bottom"/>
            <w:shd w:val="clear" w:color="auto" w:fill="CCD3E1"/>
          </w:tcPr>
          <w:p>
            <w:pPr>
              <w:spacing w:after="0"/>
              <w:rPr>
                <w:sz w:val="19"/>
                <w:szCs w:val="19"/>
                <w:color w:val="auto"/>
              </w:rPr>
            </w:pPr>
          </w:p>
        </w:tc>
        <w:tc>
          <w:tcPr>
            <w:tcW w:w="1160" w:type="dxa"/>
            <w:vAlign w:val="bottom"/>
            <w:shd w:val="clear" w:color="auto" w:fill="CCD3E1"/>
          </w:tcPr>
          <w:p>
            <w:pPr>
              <w:spacing w:after="0"/>
              <w:rPr>
                <w:sz w:val="20"/>
                <w:szCs w:val="20"/>
                <w:color w:val="auto"/>
              </w:rPr>
            </w:pPr>
            <w:r>
              <w:rPr>
                <w:rFonts w:ascii="Arial" w:cs="Arial" w:eastAsia="Arial" w:hAnsi="Arial"/>
                <w:sz w:val="18"/>
                <w:szCs w:val="18"/>
                <w:color w:val="auto"/>
              </w:rPr>
              <w:t>Time-Based</w:t>
            </w:r>
          </w:p>
        </w:tc>
        <w:tc>
          <w:tcPr>
            <w:tcW w:w="120" w:type="dxa"/>
            <w:vAlign w:val="bottom"/>
            <w:shd w:val="clear" w:color="auto" w:fill="CCD3E1"/>
          </w:tcPr>
          <w:p>
            <w:pPr>
              <w:spacing w:after="0"/>
              <w:rPr>
                <w:sz w:val="19"/>
                <w:szCs w:val="19"/>
                <w:color w:val="auto"/>
              </w:rPr>
            </w:pPr>
          </w:p>
        </w:tc>
        <w:tc>
          <w:tcPr>
            <w:tcW w:w="10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Annual target amount disclosed in connection with new contracts</w:t>
            </w:r>
          </w:p>
        </w:tc>
        <w:tc>
          <w:tcPr>
            <w:tcW w:w="0" w:type="dxa"/>
            <w:vAlign w:val="bottom"/>
          </w:tcPr>
          <w:p>
            <w:pPr>
              <w:spacing w:after="0"/>
              <w:rPr>
                <w:sz w:val="1"/>
                <w:szCs w:val="1"/>
                <w:color w:val="auto"/>
              </w:rPr>
            </w:pPr>
          </w:p>
        </w:tc>
      </w:tr>
      <w:tr>
        <w:trPr>
          <w:trHeight w:val="233"/>
        </w:trPr>
        <w:tc>
          <w:tcPr>
            <w:tcW w:w="120" w:type="dxa"/>
            <w:vAlign w:val="bottom"/>
            <w:shd w:val="clear" w:color="auto" w:fill="8797B7"/>
          </w:tcPr>
          <w:p>
            <w:pPr>
              <w:spacing w:after="0"/>
              <w:rPr>
                <w:sz w:val="20"/>
                <w:szCs w:val="20"/>
                <w:color w:val="auto"/>
              </w:rPr>
            </w:pPr>
          </w:p>
        </w:tc>
        <w:tc>
          <w:tcPr>
            <w:tcW w:w="880" w:type="dxa"/>
            <w:vAlign w:val="bottom"/>
            <w:shd w:val="clear" w:color="auto" w:fill="8797B7"/>
          </w:tcPr>
          <w:p>
            <w:pPr>
              <w:spacing w:after="0"/>
              <w:rPr>
                <w:sz w:val="20"/>
                <w:szCs w:val="20"/>
                <w:color w:val="auto"/>
              </w:rPr>
            </w:pPr>
          </w:p>
        </w:tc>
        <w:tc>
          <w:tcPr>
            <w:tcW w:w="120" w:type="dxa"/>
            <w:vAlign w:val="bottom"/>
            <w:shd w:val="clear" w:color="auto" w:fill="8797B7"/>
          </w:tcPr>
          <w:p>
            <w:pPr>
              <w:spacing w:after="0"/>
              <w:rPr>
                <w:sz w:val="20"/>
                <w:szCs w:val="20"/>
                <w:color w:val="auto"/>
              </w:rPr>
            </w:pPr>
          </w:p>
        </w:tc>
        <w:tc>
          <w:tcPr>
            <w:tcW w:w="100" w:type="dxa"/>
            <w:vAlign w:val="bottom"/>
            <w:shd w:val="clear" w:color="auto" w:fill="CCD3E1"/>
          </w:tcPr>
          <w:p>
            <w:pPr>
              <w:spacing w:after="0"/>
              <w:rPr>
                <w:sz w:val="20"/>
                <w:szCs w:val="20"/>
                <w:color w:val="auto"/>
              </w:rPr>
            </w:pPr>
          </w:p>
        </w:tc>
        <w:tc>
          <w:tcPr>
            <w:tcW w:w="1160" w:type="dxa"/>
            <w:vAlign w:val="bottom"/>
            <w:shd w:val="clear" w:color="auto" w:fill="CCD3E1"/>
          </w:tcPr>
          <w:p>
            <w:pPr>
              <w:spacing w:after="0"/>
              <w:rPr>
                <w:sz w:val="20"/>
                <w:szCs w:val="20"/>
                <w:color w:val="auto"/>
              </w:rPr>
            </w:pPr>
            <w:r>
              <w:rPr>
                <w:rFonts w:ascii="Arial" w:cs="Arial" w:eastAsia="Arial" w:hAnsi="Arial"/>
                <w:sz w:val="18"/>
                <w:szCs w:val="18"/>
                <w:color w:val="auto"/>
              </w:rPr>
              <w:t>Equity Award</w:t>
            </w:r>
          </w:p>
        </w:tc>
        <w:tc>
          <w:tcPr>
            <w:tcW w:w="120" w:type="dxa"/>
            <w:vAlign w:val="bottom"/>
            <w:shd w:val="clear" w:color="auto" w:fill="CCD3E1"/>
          </w:tcPr>
          <w:p>
            <w:pPr>
              <w:spacing w:after="0"/>
              <w:rPr>
                <w:sz w:val="20"/>
                <w:szCs w:val="20"/>
                <w:color w:val="auto"/>
              </w:rPr>
            </w:pPr>
          </w:p>
        </w:tc>
        <w:tc>
          <w:tcPr>
            <w:tcW w:w="100" w:type="dxa"/>
            <w:vAlign w:val="bottom"/>
          </w:tcPr>
          <w:p>
            <w:pPr>
              <w:spacing w:after="0"/>
              <w:rPr>
                <w:sz w:val="20"/>
                <w:szCs w:val="20"/>
                <w:color w:val="auto"/>
              </w:rPr>
            </w:pPr>
          </w:p>
        </w:tc>
        <w:tc>
          <w:tcPr>
            <w:tcW w:w="8640" w:type="dxa"/>
            <w:vAlign w:val="bottom"/>
          </w:tcPr>
          <w:p>
            <w:pPr>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Adjustments to target amount to be determined by the Committee, based on the short-term and long-term</w:t>
            </w:r>
          </w:p>
        </w:tc>
        <w:tc>
          <w:tcPr>
            <w:tcW w:w="0" w:type="dxa"/>
            <w:vAlign w:val="bottom"/>
          </w:tcPr>
          <w:p>
            <w:pPr>
              <w:spacing w:after="0"/>
              <w:rPr>
                <w:sz w:val="1"/>
                <w:szCs w:val="1"/>
                <w:color w:val="auto"/>
              </w:rPr>
            </w:pPr>
          </w:p>
        </w:tc>
      </w:tr>
      <w:tr>
        <w:trPr>
          <w:trHeight w:val="203"/>
        </w:trPr>
        <w:tc>
          <w:tcPr>
            <w:tcW w:w="120" w:type="dxa"/>
            <w:vAlign w:val="bottom"/>
            <w:shd w:val="clear" w:color="auto" w:fill="8797B7"/>
          </w:tcPr>
          <w:p>
            <w:pPr>
              <w:spacing w:after="0"/>
              <w:rPr>
                <w:sz w:val="17"/>
                <w:szCs w:val="17"/>
                <w:color w:val="auto"/>
              </w:rPr>
            </w:pPr>
          </w:p>
        </w:tc>
        <w:tc>
          <w:tcPr>
            <w:tcW w:w="880" w:type="dxa"/>
            <w:vAlign w:val="bottom"/>
            <w:shd w:val="clear" w:color="auto" w:fill="8797B7"/>
          </w:tcPr>
          <w:p>
            <w:pPr>
              <w:spacing w:after="0"/>
              <w:rPr>
                <w:sz w:val="17"/>
                <w:szCs w:val="17"/>
                <w:color w:val="auto"/>
              </w:rPr>
            </w:pPr>
          </w:p>
        </w:tc>
        <w:tc>
          <w:tcPr>
            <w:tcW w:w="120" w:type="dxa"/>
            <w:vAlign w:val="bottom"/>
            <w:shd w:val="clear" w:color="auto" w:fill="8797B7"/>
          </w:tcPr>
          <w:p>
            <w:pPr>
              <w:spacing w:after="0"/>
              <w:rPr>
                <w:sz w:val="17"/>
                <w:szCs w:val="17"/>
                <w:color w:val="auto"/>
              </w:rPr>
            </w:pPr>
          </w:p>
        </w:tc>
        <w:tc>
          <w:tcPr>
            <w:tcW w:w="100" w:type="dxa"/>
            <w:vAlign w:val="bottom"/>
            <w:shd w:val="clear" w:color="auto" w:fill="CCD3E1"/>
          </w:tcPr>
          <w:p>
            <w:pPr>
              <w:spacing w:after="0"/>
              <w:rPr>
                <w:sz w:val="17"/>
                <w:szCs w:val="17"/>
                <w:color w:val="auto"/>
              </w:rPr>
            </w:pPr>
          </w:p>
        </w:tc>
        <w:tc>
          <w:tcPr>
            <w:tcW w:w="1160" w:type="dxa"/>
            <w:vAlign w:val="bottom"/>
            <w:shd w:val="clear" w:color="auto" w:fill="CCD3E1"/>
          </w:tcPr>
          <w:p>
            <w:pPr>
              <w:spacing w:after="0" w:line="202" w:lineRule="exact"/>
              <w:rPr>
                <w:sz w:val="20"/>
                <w:szCs w:val="20"/>
                <w:color w:val="auto"/>
              </w:rPr>
            </w:pPr>
            <w:r>
              <w:rPr>
                <w:rFonts w:ascii="Arial" w:cs="Arial" w:eastAsia="Arial" w:hAnsi="Arial"/>
                <w:sz w:val="18"/>
                <w:szCs w:val="18"/>
                <w:color w:val="auto"/>
                <w:w w:val="96"/>
              </w:rPr>
              <w:t>(approximately</w:t>
            </w:r>
          </w:p>
        </w:tc>
        <w:tc>
          <w:tcPr>
            <w:tcW w:w="120" w:type="dxa"/>
            <w:vAlign w:val="bottom"/>
            <w:shd w:val="clear" w:color="auto" w:fill="CCD3E1"/>
          </w:tcPr>
          <w:p>
            <w:pPr>
              <w:spacing w:after="0"/>
              <w:rPr>
                <w:sz w:val="17"/>
                <w:szCs w:val="17"/>
                <w:color w:val="auto"/>
              </w:rPr>
            </w:pPr>
          </w:p>
        </w:tc>
        <w:tc>
          <w:tcPr>
            <w:tcW w:w="100" w:type="dxa"/>
            <w:vAlign w:val="bottom"/>
          </w:tcPr>
          <w:p>
            <w:pPr>
              <w:spacing w:after="0"/>
              <w:rPr>
                <w:sz w:val="17"/>
                <w:szCs w:val="17"/>
                <w:color w:val="auto"/>
              </w:rPr>
            </w:pPr>
          </w:p>
        </w:tc>
        <w:tc>
          <w:tcPr>
            <w:tcW w:w="8640" w:type="dxa"/>
            <w:vAlign w:val="bottom"/>
          </w:tcPr>
          <w:p>
            <w:pPr>
              <w:ind w:left="280"/>
              <w:spacing w:after="0" w:line="202" w:lineRule="exact"/>
              <w:rPr>
                <w:sz w:val="20"/>
                <w:szCs w:val="20"/>
                <w:color w:val="auto"/>
              </w:rPr>
            </w:pPr>
            <w:r>
              <w:rPr>
                <w:rFonts w:ascii="Arial" w:cs="Arial" w:eastAsia="Arial" w:hAnsi="Arial"/>
                <w:sz w:val="18"/>
                <w:szCs w:val="18"/>
                <w:color w:val="auto"/>
              </w:rPr>
              <w:t>performance of our Company and the executive; subject to three-year ratable vesting and a no-sell</w:t>
            </w:r>
          </w:p>
        </w:tc>
        <w:tc>
          <w:tcPr>
            <w:tcW w:w="0" w:type="dxa"/>
            <w:vAlign w:val="bottom"/>
          </w:tcPr>
          <w:p>
            <w:pPr>
              <w:spacing w:after="0"/>
              <w:rPr>
                <w:sz w:val="1"/>
                <w:szCs w:val="1"/>
                <w:color w:val="auto"/>
              </w:rPr>
            </w:pPr>
          </w:p>
        </w:tc>
      </w:tr>
      <w:tr>
        <w:trPr>
          <w:trHeight w:val="252"/>
        </w:trPr>
        <w:tc>
          <w:tcPr>
            <w:tcW w:w="120" w:type="dxa"/>
            <w:vAlign w:val="bottom"/>
            <w:tcBorders>
              <w:bottom w:val="single" w:sz="8" w:color="8797B7"/>
            </w:tcBorders>
            <w:shd w:val="clear" w:color="auto" w:fill="8797B7"/>
          </w:tcPr>
          <w:p>
            <w:pPr>
              <w:spacing w:after="0"/>
              <w:rPr>
                <w:sz w:val="21"/>
                <w:szCs w:val="21"/>
                <w:color w:val="auto"/>
              </w:rPr>
            </w:pPr>
          </w:p>
        </w:tc>
        <w:tc>
          <w:tcPr>
            <w:tcW w:w="880" w:type="dxa"/>
            <w:vAlign w:val="bottom"/>
            <w:tcBorders>
              <w:bottom w:val="single" w:sz="8" w:color="8797B7"/>
            </w:tcBorders>
            <w:shd w:val="clear" w:color="auto" w:fill="8797B7"/>
          </w:tcPr>
          <w:p>
            <w:pPr>
              <w:spacing w:after="0"/>
              <w:rPr>
                <w:sz w:val="21"/>
                <w:szCs w:val="21"/>
                <w:color w:val="auto"/>
              </w:rPr>
            </w:pPr>
          </w:p>
        </w:tc>
        <w:tc>
          <w:tcPr>
            <w:tcW w:w="120" w:type="dxa"/>
            <w:vAlign w:val="bottom"/>
            <w:tcBorders>
              <w:bottom w:val="single" w:sz="8" w:color="8797B7"/>
            </w:tcBorders>
            <w:shd w:val="clear" w:color="auto" w:fill="8797B7"/>
          </w:tcPr>
          <w:p>
            <w:pPr>
              <w:spacing w:after="0"/>
              <w:rPr>
                <w:sz w:val="21"/>
                <w:szCs w:val="21"/>
                <w:color w:val="auto"/>
              </w:rPr>
            </w:pPr>
          </w:p>
        </w:tc>
        <w:tc>
          <w:tcPr>
            <w:tcW w:w="100" w:type="dxa"/>
            <w:vAlign w:val="bottom"/>
            <w:tcBorders>
              <w:bottom w:val="single" w:sz="8" w:color="8797B7"/>
            </w:tcBorders>
            <w:shd w:val="clear" w:color="auto" w:fill="CCD3E1"/>
          </w:tcPr>
          <w:p>
            <w:pPr>
              <w:spacing w:after="0"/>
              <w:rPr>
                <w:sz w:val="21"/>
                <w:szCs w:val="21"/>
                <w:color w:val="auto"/>
              </w:rPr>
            </w:pPr>
          </w:p>
        </w:tc>
        <w:tc>
          <w:tcPr>
            <w:tcW w:w="1160" w:type="dxa"/>
            <w:vAlign w:val="bottom"/>
            <w:tcBorders>
              <w:bottom w:val="single" w:sz="8" w:color="8797B7"/>
            </w:tcBorders>
            <w:shd w:val="clear" w:color="auto" w:fill="CCD3E1"/>
          </w:tcPr>
          <w:p>
            <w:pPr>
              <w:spacing w:after="0"/>
              <w:rPr>
                <w:sz w:val="20"/>
                <w:szCs w:val="20"/>
                <w:color w:val="auto"/>
              </w:rPr>
            </w:pPr>
            <w:r>
              <w:rPr>
                <w:rFonts w:ascii="Arial" w:cs="Arial" w:eastAsia="Arial" w:hAnsi="Arial"/>
                <w:sz w:val="18"/>
                <w:szCs w:val="18"/>
                <w:color w:val="auto"/>
              </w:rPr>
              <w:t>37% of total)</w:t>
            </w:r>
          </w:p>
        </w:tc>
        <w:tc>
          <w:tcPr>
            <w:tcW w:w="120" w:type="dxa"/>
            <w:vAlign w:val="bottom"/>
            <w:tcBorders>
              <w:bottom w:val="single" w:sz="8" w:color="8797B7"/>
            </w:tcBorders>
            <w:shd w:val="clear" w:color="auto" w:fill="CCD3E1"/>
          </w:tcPr>
          <w:p>
            <w:pPr>
              <w:spacing w:after="0"/>
              <w:rPr>
                <w:sz w:val="21"/>
                <w:szCs w:val="21"/>
                <w:color w:val="auto"/>
              </w:rPr>
            </w:pPr>
          </w:p>
        </w:tc>
        <w:tc>
          <w:tcPr>
            <w:tcW w:w="100" w:type="dxa"/>
            <w:vAlign w:val="bottom"/>
            <w:tcBorders>
              <w:bottom w:val="single" w:sz="8" w:color="8797B7"/>
            </w:tcBorders>
          </w:tcPr>
          <w:p>
            <w:pPr>
              <w:spacing w:after="0"/>
              <w:rPr>
                <w:sz w:val="21"/>
                <w:szCs w:val="21"/>
                <w:color w:val="auto"/>
              </w:rPr>
            </w:pPr>
          </w:p>
        </w:tc>
        <w:tc>
          <w:tcPr>
            <w:tcW w:w="8640" w:type="dxa"/>
            <w:vAlign w:val="bottom"/>
            <w:tcBorders>
              <w:bottom w:val="single" w:sz="8" w:color="8797B7"/>
            </w:tcBorders>
          </w:tcPr>
          <w:p>
            <w:pPr>
              <w:ind w:left="280"/>
              <w:spacing w:after="0"/>
              <w:rPr>
                <w:sz w:val="20"/>
                <w:szCs w:val="20"/>
                <w:color w:val="auto"/>
              </w:rPr>
            </w:pPr>
            <w:r>
              <w:rPr>
                <w:rFonts w:ascii="Arial" w:cs="Arial" w:eastAsia="Arial" w:hAnsi="Arial"/>
                <w:sz w:val="18"/>
                <w:szCs w:val="18"/>
                <w:color w:val="auto"/>
              </w:rPr>
              <w:t>restriction for three years after grant date</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Similar changes were incorporated into the structure of our General Counsel’s new employment agreement also effective in 2019.</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Stockholder Engagement and Responsiveness</w:t>
      </w:r>
    </w:p>
    <w:p>
      <w:pPr>
        <w:spacing w:after="0" w:line="23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Committee has continued its robust stockholder engagement program to solicit stockholder perspectives on our executive compensation programs. As part of this engagement program, since the 2019 annual meeting of stockholders, we contacted stockholders accounting for approximately 65% of our shares outstanding. Discussions had by the Company with stockholders, as well as with ISS and Glass Lewis, were all led by the chair of the Committee.</w:t>
      </w:r>
    </w:p>
    <w:p>
      <w:pPr>
        <w:spacing w:after="0" w:line="2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feedback we received in these meetings was shared with the Committee and the entire Board. Stockholders were supportive of the changes announced and being implemented, and applauded the enhanced transparency into the evolution of the compensation program.</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Impact of Changes Made on 2019 Executive Compensation</w:t>
      </w:r>
    </w:p>
    <w:p>
      <w:pPr>
        <w:spacing w:after="0" w:line="23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prior proxy statements detail stockholders’ feedback and the actions the Committee took to address investors’ perspectives on our executive compensation program. With these changes, the Committee has significantly simplified the structure of our compensation program by reducing the overall components of compensation from seven to four and enhancing the transparency of our compensation program so that stockholders can better recognize how pay is linked with performance.</w:t>
      </w:r>
    </w:p>
    <w:p>
      <w:pPr>
        <w:spacing w:after="0" w:line="20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Our 2019 advisory vote on executive compensation was approved with approximately 83.5% of the votes cast in favor. This significant increase from 2018 was viewed by the Committee as an indication of our stockholders’ support for the significant changes made to our executive compensation programs beginning in 2019. Hence, compensation decisions for 2019 were in line with the redesigned program. As a result, compensation granted for fiscal year 2019 is significantly performance-based, with performance-based equity comprising a majority of total target direct compensation.</w:t>
      </w:r>
    </w:p>
    <w:p>
      <w:pPr>
        <w:spacing w:after="0" w:line="211" w:lineRule="exact"/>
        <w:rPr>
          <w:sz w:val="20"/>
          <w:szCs w:val="20"/>
          <w:color w:val="auto"/>
        </w:rPr>
      </w:pPr>
    </w:p>
    <w:p>
      <w:pPr>
        <w:ind w:left="300" w:hanging="292"/>
        <w:spacing w:after="0"/>
        <w:tabs>
          <w:tab w:leader="none" w:pos="300" w:val="left"/>
        </w:tabs>
        <w:numPr>
          <w:ilvl w:val="0"/>
          <w:numId w:val="64"/>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tcBorders>
              <w:bottom w:val="single" w:sz="8" w:color="355889"/>
            </w:tcBorders>
          </w:tcPr>
          <w:p>
            <w:pPr>
              <w:spacing w:after="0"/>
              <w:rPr>
                <w:sz w:val="20"/>
                <w:szCs w:val="20"/>
                <w:color w:val="auto"/>
              </w:rPr>
            </w:pPr>
            <w:r>
              <w:rPr>
                <w:rFonts w:ascii="Arial" w:cs="Arial" w:eastAsia="Arial" w:hAnsi="Arial"/>
                <w:sz w:val="18"/>
                <w:szCs w:val="18"/>
                <w:color w:val="355889"/>
                <w:w w:val="96"/>
              </w:rPr>
              <w:t>EXECUTIVE COMPENSATION</w:t>
            </w:r>
          </w:p>
        </w:tc>
        <w:tc>
          <w:tcPr>
            <w:tcW w:w="0" w:type="dxa"/>
            <w:vAlign w:val="bottom"/>
          </w:tcPr>
          <w:p>
            <w:pPr>
              <w:spacing w:after="0"/>
              <w:rPr>
                <w:sz w:val="1"/>
                <w:szCs w:val="1"/>
                <w:color w:val="auto"/>
              </w:rPr>
            </w:pPr>
          </w:p>
        </w:tc>
      </w:tr>
      <w:tr>
        <w:trPr>
          <w:trHeight w:val="437"/>
        </w:trPr>
        <w:tc>
          <w:tcPr>
            <w:tcW w:w="8480" w:type="dxa"/>
            <w:vAlign w:val="bottom"/>
            <w:gridSpan w:val="3"/>
          </w:tcPr>
          <w:p>
            <w:pPr>
              <w:spacing w:after="0"/>
              <w:rPr>
                <w:sz w:val="20"/>
                <w:szCs w:val="20"/>
                <w:color w:val="auto"/>
              </w:rPr>
            </w:pPr>
            <w:r>
              <w:rPr>
                <w:rFonts w:ascii="Arial" w:cs="Arial" w:eastAsia="Arial" w:hAnsi="Arial"/>
                <w:sz w:val="18"/>
                <w:szCs w:val="18"/>
                <w:color w:val="auto"/>
              </w:rPr>
              <w:t>The impact of the redesigned compensation program on 2019 executive pay is detailed in the table below:</w:t>
            </w:r>
          </w:p>
        </w:tc>
        <w:tc>
          <w:tcPr>
            <w:tcW w:w="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700" w:type="dxa"/>
            <w:vAlign w:val="bottom"/>
          </w:tcPr>
          <w:p>
            <w:pPr>
              <w:ind w:left="80"/>
              <w:spacing w:after="0"/>
              <w:rPr>
                <w:sz w:val="20"/>
                <w:szCs w:val="20"/>
                <w:color w:val="auto"/>
              </w:rPr>
            </w:pPr>
            <w:r>
              <w:rPr>
                <w:rFonts w:ascii="Arial" w:cs="Arial" w:eastAsia="Arial" w:hAnsi="Arial"/>
                <w:sz w:val="13"/>
                <w:szCs w:val="13"/>
                <w:b w:val="1"/>
                <w:bCs w:val="1"/>
                <w:color w:val="355889"/>
              </w:rPr>
              <w:t>Stockholder Feedback</w:t>
            </w:r>
          </w:p>
        </w:tc>
        <w:tc>
          <w:tcPr>
            <w:tcW w:w="2920" w:type="dxa"/>
            <w:vAlign w:val="bottom"/>
          </w:tcPr>
          <w:p>
            <w:pPr>
              <w:ind w:left="260"/>
              <w:spacing w:after="0"/>
              <w:rPr>
                <w:sz w:val="20"/>
                <w:szCs w:val="20"/>
                <w:color w:val="auto"/>
              </w:rPr>
            </w:pPr>
            <w:r>
              <w:rPr>
                <w:rFonts w:ascii="Arial" w:cs="Arial" w:eastAsia="Arial" w:hAnsi="Arial"/>
                <w:sz w:val="13"/>
                <w:szCs w:val="13"/>
                <w:b w:val="1"/>
                <w:bCs w:val="1"/>
                <w:color w:val="355889"/>
              </w:rPr>
              <w:t>Action</w:t>
            </w:r>
          </w:p>
        </w:tc>
        <w:tc>
          <w:tcPr>
            <w:tcW w:w="2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700" w:type="dxa"/>
            <w:vAlign w:val="bottom"/>
            <w:tcBorders>
              <w:bottom w:val="single" w:sz="8" w:color="355889"/>
            </w:tcBorders>
          </w:tcPr>
          <w:p>
            <w:pPr>
              <w:ind w:left="80"/>
              <w:spacing w:after="0"/>
              <w:rPr>
                <w:sz w:val="20"/>
                <w:szCs w:val="20"/>
                <w:color w:val="auto"/>
              </w:rPr>
            </w:pPr>
            <w:r>
              <w:rPr>
                <w:rFonts w:ascii="Arial" w:cs="Arial" w:eastAsia="Arial" w:hAnsi="Arial"/>
                <w:sz w:val="13"/>
                <w:szCs w:val="13"/>
                <w:b w:val="1"/>
                <w:bCs w:val="1"/>
                <w:color w:val="355889"/>
              </w:rPr>
              <w:t>(“What We Heard”)</w:t>
            </w:r>
          </w:p>
        </w:tc>
        <w:tc>
          <w:tcPr>
            <w:tcW w:w="2920" w:type="dxa"/>
            <w:vAlign w:val="bottom"/>
            <w:tcBorders>
              <w:bottom w:val="single" w:sz="8" w:color="355889"/>
            </w:tcBorders>
          </w:tcPr>
          <w:p>
            <w:pPr>
              <w:ind w:left="260"/>
              <w:spacing w:after="0"/>
              <w:rPr>
                <w:sz w:val="20"/>
                <w:szCs w:val="20"/>
                <w:color w:val="auto"/>
              </w:rPr>
            </w:pPr>
            <w:r>
              <w:rPr>
                <w:rFonts w:ascii="Arial" w:cs="Arial" w:eastAsia="Arial" w:hAnsi="Arial"/>
                <w:sz w:val="13"/>
                <w:szCs w:val="13"/>
                <w:b w:val="1"/>
                <w:bCs w:val="1"/>
                <w:color w:val="355889"/>
              </w:rPr>
              <w:t>(“What We Did”)</w:t>
            </w:r>
          </w:p>
        </w:tc>
        <w:tc>
          <w:tcPr>
            <w:tcW w:w="2860" w:type="dxa"/>
            <w:vAlign w:val="bottom"/>
            <w:tcBorders>
              <w:bottom w:val="single" w:sz="8" w:color="355889"/>
            </w:tcBorders>
          </w:tcPr>
          <w:p>
            <w:pPr>
              <w:ind w:left="200"/>
              <w:spacing w:after="0"/>
              <w:rPr>
                <w:sz w:val="20"/>
                <w:szCs w:val="20"/>
                <w:color w:val="auto"/>
              </w:rPr>
            </w:pPr>
            <w:r>
              <w:rPr>
                <w:rFonts w:ascii="Arial" w:cs="Arial" w:eastAsia="Arial" w:hAnsi="Arial"/>
                <w:sz w:val="13"/>
                <w:szCs w:val="13"/>
                <w:b w:val="1"/>
                <w:bCs w:val="1"/>
                <w:color w:val="355889"/>
              </w:rPr>
              <w:t>Executive</w:t>
            </w:r>
          </w:p>
        </w:tc>
        <w:tc>
          <w:tcPr>
            <w:tcW w:w="2760" w:type="dxa"/>
            <w:vAlign w:val="bottom"/>
            <w:tcBorders>
              <w:bottom w:val="single" w:sz="8" w:color="355889"/>
            </w:tcBorders>
            <w:gridSpan w:val="2"/>
          </w:tcPr>
          <w:p>
            <w:pPr>
              <w:ind w:left="160"/>
              <w:spacing w:after="0"/>
              <w:rPr>
                <w:sz w:val="20"/>
                <w:szCs w:val="20"/>
                <w:color w:val="auto"/>
              </w:rPr>
            </w:pPr>
            <w:r>
              <w:rPr>
                <w:rFonts w:ascii="Arial" w:cs="Arial" w:eastAsia="Arial" w:hAnsi="Arial"/>
                <w:sz w:val="13"/>
                <w:szCs w:val="13"/>
                <w:b w:val="1"/>
                <w:bCs w:val="1"/>
                <w:color w:val="355889"/>
              </w:rPr>
              <w:t>2019 Results</w:t>
            </w:r>
          </w:p>
        </w:tc>
        <w:tc>
          <w:tcPr>
            <w:tcW w:w="0" w:type="dxa"/>
            <w:vAlign w:val="bottom"/>
          </w:tcPr>
          <w:p>
            <w:pPr>
              <w:spacing w:after="0"/>
              <w:rPr>
                <w:sz w:val="1"/>
                <w:szCs w:val="1"/>
                <w:color w:val="auto"/>
              </w:rPr>
            </w:pPr>
          </w:p>
        </w:tc>
      </w:tr>
      <w:tr>
        <w:trPr>
          <w:trHeight w:val="233"/>
        </w:trPr>
        <w:tc>
          <w:tcPr>
            <w:tcW w:w="2700" w:type="dxa"/>
            <w:vAlign w:val="bottom"/>
          </w:tcPr>
          <w:p>
            <w:pPr>
              <w:spacing w:after="0"/>
              <w:rPr>
                <w:sz w:val="20"/>
                <w:szCs w:val="20"/>
                <w:color w:val="auto"/>
              </w:rPr>
            </w:pPr>
            <w:r>
              <w:rPr>
                <w:rFonts w:ascii="Arial" w:cs="Arial" w:eastAsia="Arial" w:hAnsi="Arial"/>
                <w:sz w:val="18"/>
                <w:szCs w:val="18"/>
                <w:color w:val="auto"/>
              </w:rPr>
              <w:t>Base salary and deferred</w:t>
            </w:r>
          </w:p>
        </w:tc>
        <w:tc>
          <w:tcPr>
            <w:tcW w:w="2920" w:type="dxa"/>
            <w:vAlign w:val="bottom"/>
          </w:tcPr>
          <w:p>
            <w:pPr>
              <w:ind w:left="260"/>
              <w:spacing w:after="0"/>
              <w:rPr>
                <w:sz w:val="20"/>
                <w:szCs w:val="20"/>
                <w:color w:val="auto"/>
              </w:rPr>
            </w:pPr>
            <w:r>
              <w:rPr>
                <w:rFonts w:ascii="Arial" w:cs="Arial" w:eastAsia="Arial" w:hAnsi="Arial"/>
                <w:sz w:val="18"/>
                <w:szCs w:val="18"/>
                <w:color w:val="auto"/>
              </w:rPr>
              <w:t>No salary increase for 2019</w:t>
            </w:r>
          </w:p>
        </w:tc>
        <w:tc>
          <w:tcPr>
            <w:tcW w:w="2860" w:type="dxa"/>
            <w:vAlign w:val="bottom"/>
          </w:tcPr>
          <w:p>
            <w:pPr>
              <w:ind w:left="200"/>
              <w:spacing w:after="0"/>
              <w:rPr>
                <w:sz w:val="20"/>
                <w:szCs w:val="20"/>
                <w:color w:val="auto"/>
              </w:rPr>
            </w:pPr>
            <w:r>
              <w:rPr>
                <w:rFonts w:ascii="Arial" w:cs="Arial" w:eastAsia="Arial" w:hAnsi="Arial"/>
                <w:sz w:val="18"/>
                <w:szCs w:val="18"/>
                <w:color w:val="auto"/>
              </w:rPr>
              <w:t>CEO Holliday</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Salary unchanged from 2018</w:t>
            </w:r>
          </w:p>
        </w:tc>
        <w:tc>
          <w:tcPr>
            <w:tcW w:w="0" w:type="dxa"/>
            <w:vAlign w:val="bottom"/>
          </w:tcPr>
          <w:p>
            <w:pPr>
              <w:spacing w:after="0"/>
              <w:rPr>
                <w:sz w:val="1"/>
                <w:szCs w:val="1"/>
                <w:color w:val="auto"/>
              </w:rPr>
            </w:pPr>
          </w:p>
        </w:tc>
      </w:tr>
      <w:tr>
        <w:trPr>
          <w:trHeight w:val="24"/>
        </w:trPr>
        <w:tc>
          <w:tcPr>
            <w:tcW w:w="2700" w:type="dxa"/>
            <w:vAlign w:val="bottom"/>
            <w:vMerge w:val="restart"/>
          </w:tcPr>
          <w:p>
            <w:pPr>
              <w:spacing w:after="0" w:line="202" w:lineRule="exact"/>
              <w:rPr>
                <w:sz w:val="20"/>
                <w:szCs w:val="20"/>
                <w:color w:val="auto"/>
              </w:rPr>
            </w:pPr>
            <w:r>
              <w:rPr>
                <w:rFonts w:ascii="Arial" w:cs="Arial" w:eastAsia="Arial" w:hAnsi="Arial"/>
                <w:sz w:val="18"/>
                <w:szCs w:val="18"/>
                <w:color w:val="auto"/>
                <w:w w:val="97"/>
              </w:rPr>
              <w:t>compensation provide overlapping</w:t>
            </w:r>
          </w:p>
        </w:tc>
        <w:tc>
          <w:tcPr>
            <w:tcW w:w="2920" w:type="dxa"/>
            <w:vAlign w:val="bottom"/>
            <w:tcBorders>
              <w:bottom w:val="single" w:sz="8" w:color="8797B7"/>
            </w:tcBorders>
          </w:tcPr>
          <w:p>
            <w:pPr>
              <w:spacing w:after="0"/>
              <w:rPr>
                <w:sz w:val="2"/>
                <w:szCs w:val="2"/>
                <w:color w:val="auto"/>
              </w:rPr>
            </w:pPr>
          </w:p>
        </w:tc>
        <w:tc>
          <w:tcPr>
            <w:tcW w:w="2860" w:type="dxa"/>
            <w:vAlign w:val="bottom"/>
            <w:tcBorders>
              <w:bottom w:val="single" w:sz="8" w:color="8797B7"/>
            </w:tcBorders>
          </w:tcPr>
          <w:p>
            <w:pPr>
              <w:spacing w:after="0"/>
              <w:rPr>
                <w:sz w:val="2"/>
                <w:szCs w:val="2"/>
                <w:color w:val="auto"/>
              </w:rPr>
            </w:pPr>
          </w:p>
        </w:tc>
        <w:tc>
          <w:tcPr>
            <w:tcW w:w="300" w:type="dxa"/>
            <w:vAlign w:val="bottom"/>
            <w:tcBorders>
              <w:bottom w:val="single" w:sz="8" w:color="8797B7"/>
            </w:tcBorders>
          </w:tcPr>
          <w:p>
            <w:pPr>
              <w:spacing w:after="0"/>
              <w:rPr>
                <w:sz w:val="2"/>
                <w:szCs w:val="2"/>
                <w:color w:val="auto"/>
              </w:rPr>
            </w:pPr>
          </w:p>
        </w:tc>
        <w:tc>
          <w:tcPr>
            <w:tcW w:w="2460" w:type="dxa"/>
            <w:vAlign w:val="bottom"/>
            <w:tcBorders>
              <w:bottom w:val="single" w:sz="8" w:color="8797B7"/>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700" w:type="dxa"/>
            <w:vAlign w:val="bottom"/>
            <w:vMerge w:val="continue"/>
          </w:tcPr>
          <w:p>
            <w:pPr>
              <w:spacing w:after="0"/>
              <w:rPr>
                <w:sz w:val="13"/>
                <w:szCs w:val="13"/>
                <w:color w:val="auto"/>
              </w:rPr>
            </w:pPr>
          </w:p>
        </w:tc>
        <w:tc>
          <w:tcPr>
            <w:tcW w:w="2920" w:type="dxa"/>
            <w:vAlign w:val="bottom"/>
            <w:vMerge w:val="restart"/>
          </w:tcPr>
          <w:p>
            <w:pPr>
              <w:ind w:left="260"/>
              <w:spacing w:after="0"/>
              <w:rPr>
                <w:sz w:val="20"/>
                <w:szCs w:val="20"/>
                <w:color w:val="auto"/>
              </w:rPr>
            </w:pPr>
            <w:r>
              <w:rPr>
                <w:rFonts w:ascii="Arial" w:cs="Arial" w:eastAsia="Arial" w:hAnsi="Arial"/>
                <w:sz w:val="18"/>
                <w:szCs w:val="18"/>
                <w:color w:val="auto"/>
              </w:rPr>
              <w:t>Eliminated deferred</w:t>
            </w:r>
          </w:p>
        </w:tc>
        <w:tc>
          <w:tcPr>
            <w:tcW w:w="2860" w:type="dxa"/>
            <w:vAlign w:val="bottom"/>
            <w:vMerge w:val="restart"/>
          </w:tcPr>
          <w:p>
            <w:pPr>
              <w:ind w:left="200"/>
              <w:spacing w:after="0"/>
              <w:rPr>
                <w:sz w:val="20"/>
                <w:szCs w:val="20"/>
                <w:color w:val="auto"/>
              </w:rPr>
            </w:pPr>
            <w:r>
              <w:rPr>
                <w:rFonts w:ascii="Arial" w:cs="Arial" w:eastAsia="Arial" w:hAnsi="Arial"/>
                <w:sz w:val="18"/>
                <w:szCs w:val="18"/>
                <w:color w:val="auto"/>
              </w:rPr>
              <w:t>CEO Holliday President Mathias</w:t>
            </w:r>
          </w:p>
        </w:tc>
        <w:tc>
          <w:tcPr>
            <w:tcW w:w="2760" w:type="dxa"/>
            <w:vAlign w:val="bottom"/>
            <w:gridSpan w:val="2"/>
            <w:vMerge w:val="restart"/>
          </w:tcPr>
          <w:p>
            <w:pPr>
              <w:ind w:left="160"/>
              <w:spacing w:after="0"/>
              <w:rPr>
                <w:sz w:val="20"/>
                <w:szCs w:val="20"/>
                <w:color w:val="auto"/>
              </w:rPr>
            </w:pPr>
            <w:r>
              <w:rPr>
                <w:rFonts w:ascii="Arial" w:cs="Arial" w:eastAsia="Arial" w:hAnsi="Arial"/>
                <w:sz w:val="18"/>
                <w:szCs w:val="18"/>
                <w:color w:val="auto"/>
              </w:rPr>
              <w:t>Deferred compensation</w:t>
            </w:r>
          </w:p>
        </w:tc>
        <w:tc>
          <w:tcPr>
            <w:tcW w:w="0" w:type="dxa"/>
            <w:vAlign w:val="bottom"/>
          </w:tcPr>
          <w:p>
            <w:pPr>
              <w:spacing w:after="0"/>
              <w:rPr>
                <w:sz w:val="1"/>
                <w:szCs w:val="1"/>
                <w:color w:val="auto"/>
              </w:rPr>
            </w:pPr>
          </w:p>
        </w:tc>
      </w:tr>
      <w:tr>
        <w:trPr>
          <w:trHeight w:val="68"/>
        </w:trPr>
        <w:tc>
          <w:tcPr>
            <w:tcW w:w="2700" w:type="dxa"/>
            <w:vAlign w:val="bottom"/>
            <w:vMerge w:val="restart"/>
          </w:tcPr>
          <w:p>
            <w:pPr>
              <w:spacing w:after="0"/>
              <w:rPr>
                <w:sz w:val="20"/>
                <w:szCs w:val="20"/>
                <w:color w:val="auto"/>
              </w:rPr>
            </w:pPr>
            <w:r>
              <w:rPr>
                <w:rFonts w:ascii="Arial" w:cs="Arial" w:eastAsia="Arial" w:hAnsi="Arial"/>
                <w:sz w:val="18"/>
                <w:szCs w:val="18"/>
                <w:color w:val="auto"/>
              </w:rPr>
              <w:t>fixed pay elements</w:t>
            </w:r>
          </w:p>
        </w:tc>
        <w:tc>
          <w:tcPr>
            <w:tcW w:w="2920" w:type="dxa"/>
            <w:vAlign w:val="bottom"/>
            <w:vMerge w:val="continue"/>
          </w:tcPr>
          <w:p>
            <w:pPr>
              <w:spacing w:after="0"/>
              <w:rPr>
                <w:sz w:val="5"/>
                <w:szCs w:val="5"/>
                <w:color w:val="auto"/>
              </w:rPr>
            </w:pPr>
          </w:p>
        </w:tc>
        <w:tc>
          <w:tcPr>
            <w:tcW w:w="2860" w:type="dxa"/>
            <w:vAlign w:val="bottom"/>
            <w:vMerge w:val="continue"/>
          </w:tcPr>
          <w:p>
            <w:pPr>
              <w:spacing w:after="0"/>
              <w:rPr>
                <w:sz w:val="5"/>
                <w:szCs w:val="5"/>
                <w:color w:val="auto"/>
              </w:rPr>
            </w:pPr>
          </w:p>
        </w:tc>
        <w:tc>
          <w:tcPr>
            <w:tcW w:w="2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700" w:type="dxa"/>
            <w:vAlign w:val="bottom"/>
            <w:vMerge w:val="continue"/>
          </w:tcPr>
          <w:p>
            <w:pPr>
              <w:spacing w:after="0"/>
              <w:rPr>
                <w:sz w:val="12"/>
                <w:szCs w:val="12"/>
                <w:color w:val="auto"/>
              </w:rPr>
            </w:pPr>
          </w:p>
        </w:tc>
        <w:tc>
          <w:tcPr>
            <w:tcW w:w="2920" w:type="dxa"/>
            <w:vAlign w:val="bottom"/>
            <w:vMerge w:val="restart"/>
          </w:tcPr>
          <w:p>
            <w:pPr>
              <w:ind w:left="260"/>
              <w:spacing w:after="0"/>
              <w:rPr>
                <w:sz w:val="20"/>
                <w:szCs w:val="20"/>
                <w:color w:val="auto"/>
              </w:rPr>
            </w:pPr>
            <w:r>
              <w:rPr>
                <w:rFonts w:ascii="Arial" w:cs="Arial" w:eastAsia="Arial" w:hAnsi="Arial"/>
                <w:sz w:val="18"/>
                <w:szCs w:val="18"/>
                <w:color w:val="auto"/>
              </w:rPr>
              <w:t>compensation</w:t>
            </w:r>
          </w:p>
        </w:tc>
        <w:tc>
          <w:tcPr>
            <w:tcW w:w="2860" w:type="dxa"/>
            <w:vAlign w:val="bottom"/>
            <w:vMerge w:val="continue"/>
          </w:tcPr>
          <w:p>
            <w:pPr>
              <w:spacing w:after="0"/>
              <w:rPr>
                <w:sz w:val="12"/>
                <w:szCs w:val="12"/>
                <w:color w:val="auto"/>
              </w:rPr>
            </w:pPr>
          </w:p>
        </w:tc>
        <w:tc>
          <w:tcPr>
            <w:tcW w:w="2760" w:type="dxa"/>
            <w:vAlign w:val="bottom"/>
            <w:gridSpan w:val="2"/>
            <w:vMerge w:val="restart"/>
          </w:tcPr>
          <w:p>
            <w:pPr>
              <w:ind w:left="160"/>
              <w:spacing w:after="0"/>
              <w:rPr>
                <w:sz w:val="20"/>
                <w:szCs w:val="20"/>
                <w:color w:val="auto"/>
              </w:rPr>
            </w:pPr>
            <w:r>
              <w:rPr>
                <w:rFonts w:ascii="Arial" w:cs="Arial" w:eastAsia="Arial" w:hAnsi="Arial"/>
                <w:sz w:val="18"/>
                <w:szCs w:val="18"/>
                <w:color w:val="auto"/>
              </w:rPr>
              <w:t>eliminated</w:t>
            </w:r>
          </w:p>
        </w:tc>
        <w:tc>
          <w:tcPr>
            <w:tcW w:w="0" w:type="dxa"/>
            <w:vAlign w:val="bottom"/>
          </w:tcPr>
          <w:p>
            <w:pPr>
              <w:spacing w:after="0"/>
              <w:rPr>
                <w:sz w:val="1"/>
                <w:szCs w:val="1"/>
                <w:color w:val="auto"/>
              </w:rPr>
            </w:pPr>
          </w:p>
        </w:tc>
      </w:tr>
      <w:tr>
        <w:trPr>
          <w:trHeight w:val="77"/>
        </w:trPr>
        <w:tc>
          <w:tcPr>
            <w:tcW w:w="2700" w:type="dxa"/>
            <w:vAlign w:val="bottom"/>
            <w:tcBorders>
              <w:bottom w:val="single" w:sz="8" w:color="8797B7"/>
            </w:tcBorders>
          </w:tcPr>
          <w:p>
            <w:pPr>
              <w:spacing w:after="0"/>
              <w:rPr>
                <w:sz w:val="6"/>
                <w:szCs w:val="6"/>
                <w:color w:val="auto"/>
              </w:rPr>
            </w:pPr>
          </w:p>
        </w:tc>
        <w:tc>
          <w:tcPr>
            <w:tcW w:w="2920" w:type="dxa"/>
            <w:vAlign w:val="bottom"/>
            <w:tcBorders>
              <w:bottom w:val="single" w:sz="8" w:color="8797B7"/>
            </w:tcBorders>
            <w:vMerge w:val="continue"/>
          </w:tcPr>
          <w:p>
            <w:pPr>
              <w:spacing w:after="0"/>
              <w:rPr>
                <w:sz w:val="6"/>
                <w:szCs w:val="6"/>
                <w:color w:val="auto"/>
              </w:rPr>
            </w:pPr>
          </w:p>
        </w:tc>
        <w:tc>
          <w:tcPr>
            <w:tcW w:w="2860" w:type="dxa"/>
            <w:vAlign w:val="bottom"/>
            <w:tcBorders>
              <w:bottom w:val="single" w:sz="8" w:color="8797B7"/>
            </w:tcBorders>
          </w:tcPr>
          <w:p>
            <w:pPr>
              <w:spacing w:after="0"/>
              <w:rPr>
                <w:sz w:val="6"/>
                <w:szCs w:val="6"/>
                <w:color w:val="auto"/>
              </w:rPr>
            </w:pPr>
          </w:p>
        </w:tc>
        <w:tc>
          <w:tcPr>
            <w:tcW w:w="2760" w:type="dxa"/>
            <w:vAlign w:val="bottom"/>
            <w:tcBorders>
              <w:bottom w:val="single" w:sz="8" w:color="8797B7"/>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700" w:type="dxa"/>
            <w:vAlign w:val="bottom"/>
          </w:tcPr>
          <w:p>
            <w:pPr>
              <w:spacing w:after="0"/>
              <w:rPr>
                <w:sz w:val="20"/>
                <w:szCs w:val="20"/>
                <w:color w:val="auto"/>
              </w:rPr>
            </w:pPr>
            <w:r>
              <w:rPr>
                <w:rFonts w:ascii="Arial" w:cs="Arial" w:eastAsia="Arial" w:hAnsi="Arial"/>
                <w:sz w:val="18"/>
                <w:szCs w:val="18"/>
                <w:color w:val="auto"/>
              </w:rPr>
              <w:t>Annual incentive should focus on</w:t>
            </w:r>
          </w:p>
        </w:tc>
        <w:tc>
          <w:tcPr>
            <w:tcW w:w="2920" w:type="dxa"/>
            <w:vAlign w:val="bottom"/>
          </w:tcPr>
          <w:p>
            <w:pPr>
              <w:ind w:left="260"/>
              <w:spacing w:after="0"/>
              <w:rPr>
                <w:sz w:val="20"/>
                <w:szCs w:val="20"/>
                <w:color w:val="auto"/>
              </w:rPr>
            </w:pPr>
            <w:r>
              <w:rPr>
                <w:rFonts w:ascii="Arial" w:cs="Arial" w:eastAsia="Arial" w:hAnsi="Arial"/>
                <w:sz w:val="18"/>
                <w:szCs w:val="18"/>
                <w:color w:val="auto"/>
              </w:rPr>
              <w:t>Continued structure adopted in</w:t>
            </w:r>
          </w:p>
        </w:tc>
        <w:tc>
          <w:tcPr>
            <w:tcW w:w="2860" w:type="dxa"/>
            <w:vAlign w:val="bottom"/>
          </w:tcPr>
          <w:p>
            <w:pPr>
              <w:ind w:left="200"/>
              <w:spacing w:after="0"/>
              <w:rPr>
                <w:sz w:val="20"/>
                <w:szCs w:val="20"/>
                <w:color w:val="auto"/>
              </w:rPr>
            </w:pPr>
            <w:r>
              <w:rPr>
                <w:rFonts w:ascii="Arial" w:cs="Arial" w:eastAsia="Arial" w:hAnsi="Arial"/>
                <w:sz w:val="18"/>
                <w:szCs w:val="18"/>
                <w:color w:val="auto"/>
              </w:rPr>
              <w:t>CEO Holliday President Mathias</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Annual incentive based on 2019</w:t>
            </w:r>
          </w:p>
        </w:tc>
        <w:tc>
          <w:tcPr>
            <w:tcW w:w="0" w:type="dxa"/>
            <w:vAlign w:val="bottom"/>
          </w:tcPr>
          <w:p>
            <w:pPr>
              <w:spacing w:after="0"/>
              <w:rPr>
                <w:sz w:val="1"/>
                <w:szCs w:val="1"/>
                <w:color w:val="auto"/>
              </w:rPr>
            </w:pP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metrics within executives’ control</w:t>
            </w:r>
          </w:p>
        </w:tc>
        <w:tc>
          <w:tcPr>
            <w:tcW w:w="2920" w:type="dxa"/>
            <w:vAlign w:val="bottom"/>
          </w:tcPr>
          <w:p>
            <w:pPr>
              <w:ind w:left="260"/>
              <w:spacing w:after="0" w:line="202" w:lineRule="exact"/>
              <w:rPr>
                <w:sz w:val="20"/>
                <w:szCs w:val="20"/>
                <w:color w:val="auto"/>
              </w:rPr>
            </w:pPr>
            <w:r>
              <w:rPr>
                <w:rFonts w:ascii="Arial" w:cs="Arial" w:eastAsia="Arial" w:hAnsi="Arial"/>
                <w:sz w:val="18"/>
                <w:szCs w:val="18"/>
                <w:color w:val="auto"/>
              </w:rPr>
              <w:t>2018, which eliminated TSR,</w:t>
            </w:r>
          </w:p>
        </w:tc>
        <w:tc>
          <w:tcPr>
            <w:tcW w:w="2860" w:type="dxa"/>
            <w:vAlign w:val="bottom"/>
          </w:tcPr>
          <w:p>
            <w:pPr>
              <w:spacing w:after="0"/>
              <w:rPr>
                <w:sz w:val="17"/>
                <w:szCs w:val="17"/>
                <w:color w:val="auto"/>
              </w:rPr>
            </w:pPr>
          </w:p>
        </w:tc>
        <w:tc>
          <w:tcPr>
            <w:tcW w:w="27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operational performance</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2920" w:type="dxa"/>
            <w:vAlign w:val="bottom"/>
          </w:tcPr>
          <w:p>
            <w:pPr>
              <w:ind w:left="260"/>
              <w:spacing w:after="0" w:line="202" w:lineRule="exact"/>
              <w:rPr>
                <w:sz w:val="20"/>
                <w:szCs w:val="20"/>
                <w:color w:val="auto"/>
              </w:rPr>
            </w:pPr>
            <w:r>
              <w:rPr>
                <w:rFonts w:ascii="Arial" w:cs="Arial" w:eastAsia="Arial" w:hAnsi="Arial"/>
                <w:sz w:val="18"/>
                <w:szCs w:val="18"/>
                <w:color w:val="auto"/>
              </w:rPr>
              <w:t>added G&amp;A expense, increased</w:t>
            </w:r>
          </w:p>
        </w:tc>
        <w:tc>
          <w:tcPr>
            <w:tcW w:w="2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2920" w:type="dxa"/>
            <w:vAlign w:val="bottom"/>
          </w:tcPr>
          <w:p>
            <w:pPr>
              <w:ind w:left="260"/>
              <w:spacing w:after="0" w:line="202" w:lineRule="exact"/>
              <w:rPr>
                <w:sz w:val="20"/>
                <w:szCs w:val="20"/>
                <w:color w:val="auto"/>
              </w:rPr>
            </w:pPr>
            <w:r>
              <w:rPr>
                <w:rFonts w:ascii="Arial" w:cs="Arial" w:eastAsia="Arial" w:hAnsi="Arial"/>
                <w:sz w:val="18"/>
                <w:szCs w:val="18"/>
                <w:color w:val="auto"/>
              </w:rPr>
              <w:t>weighting of dividend growth</w:t>
            </w:r>
          </w:p>
        </w:tc>
        <w:tc>
          <w:tcPr>
            <w:tcW w:w="2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700" w:type="dxa"/>
            <w:vAlign w:val="bottom"/>
            <w:tcBorders>
              <w:bottom w:val="single" w:sz="8" w:color="8797B7"/>
            </w:tcBorders>
          </w:tcPr>
          <w:p>
            <w:pPr>
              <w:spacing w:after="0"/>
              <w:rPr>
                <w:sz w:val="19"/>
                <w:szCs w:val="19"/>
                <w:color w:val="auto"/>
              </w:rPr>
            </w:pPr>
          </w:p>
        </w:tc>
        <w:tc>
          <w:tcPr>
            <w:tcW w:w="2920" w:type="dxa"/>
            <w:vAlign w:val="bottom"/>
            <w:tcBorders>
              <w:bottom w:val="single" w:sz="8" w:color="8797B7"/>
            </w:tcBorders>
          </w:tcPr>
          <w:p>
            <w:pPr>
              <w:ind w:left="260"/>
              <w:spacing w:after="0"/>
              <w:rPr>
                <w:sz w:val="20"/>
                <w:szCs w:val="20"/>
                <w:color w:val="auto"/>
              </w:rPr>
            </w:pPr>
            <w:r>
              <w:rPr>
                <w:rFonts w:ascii="Arial" w:cs="Arial" w:eastAsia="Arial" w:hAnsi="Arial"/>
                <w:sz w:val="18"/>
                <w:szCs w:val="18"/>
                <w:color w:val="auto"/>
              </w:rPr>
              <w:t>metric</w:t>
            </w:r>
          </w:p>
        </w:tc>
        <w:tc>
          <w:tcPr>
            <w:tcW w:w="2860" w:type="dxa"/>
            <w:vAlign w:val="bottom"/>
            <w:tcBorders>
              <w:bottom w:val="single" w:sz="8" w:color="8797B7"/>
            </w:tcBorders>
          </w:tcPr>
          <w:p>
            <w:pPr>
              <w:spacing w:after="0"/>
              <w:rPr>
                <w:sz w:val="19"/>
                <w:szCs w:val="19"/>
                <w:color w:val="auto"/>
              </w:rPr>
            </w:pPr>
          </w:p>
        </w:tc>
        <w:tc>
          <w:tcPr>
            <w:tcW w:w="300" w:type="dxa"/>
            <w:vAlign w:val="bottom"/>
            <w:tcBorders>
              <w:bottom w:val="single" w:sz="8" w:color="8797B7"/>
            </w:tcBorders>
          </w:tcPr>
          <w:p>
            <w:pPr>
              <w:spacing w:after="0"/>
              <w:rPr>
                <w:sz w:val="19"/>
                <w:szCs w:val="19"/>
                <w:color w:val="auto"/>
              </w:rPr>
            </w:pPr>
          </w:p>
        </w:tc>
        <w:tc>
          <w:tcPr>
            <w:tcW w:w="2460" w:type="dxa"/>
            <w:vAlign w:val="bottom"/>
            <w:tcBorders>
              <w:bottom w:val="single" w:sz="8" w:color="8797B7"/>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700" w:type="dxa"/>
            <w:vAlign w:val="bottom"/>
          </w:tcPr>
          <w:p>
            <w:pPr>
              <w:spacing w:after="0"/>
              <w:rPr>
                <w:sz w:val="20"/>
                <w:szCs w:val="20"/>
                <w:color w:val="auto"/>
              </w:rPr>
            </w:pPr>
            <w:r>
              <w:rPr>
                <w:rFonts w:ascii="Arial" w:cs="Arial" w:eastAsia="Arial" w:hAnsi="Arial"/>
                <w:sz w:val="18"/>
                <w:szCs w:val="18"/>
                <w:color w:val="auto"/>
                <w:w w:val="98"/>
              </w:rPr>
              <w:t>Discretionary annual equity bonus</w:t>
            </w:r>
          </w:p>
        </w:tc>
        <w:tc>
          <w:tcPr>
            <w:tcW w:w="2920" w:type="dxa"/>
            <w:vAlign w:val="bottom"/>
          </w:tcPr>
          <w:p>
            <w:pPr>
              <w:ind w:left="260"/>
              <w:spacing w:after="0"/>
              <w:rPr>
                <w:sz w:val="20"/>
                <w:szCs w:val="20"/>
                <w:color w:val="auto"/>
              </w:rPr>
            </w:pPr>
            <w:r>
              <w:rPr>
                <w:rFonts w:ascii="Arial" w:cs="Arial" w:eastAsia="Arial" w:hAnsi="Arial"/>
                <w:sz w:val="18"/>
                <w:szCs w:val="18"/>
                <w:color w:val="auto"/>
              </w:rPr>
              <w:t>Eliminated discretionary equity</w:t>
            </w:r>
          </w:p>
        </w:tc>
        <w:tc>
          <w:tcPr>
            <w:tcW w:w="2860" w:type="dxa"/>
            <w:vAlign w:val="bottom"/>
          </w:tcPr>
          <w:p>
            <w:pPr>
              <w:ind w:left="200"/>
              <w:spacing w:after="0"/>
              <w:rPr>
                <w:sz w:val="20"/>
                <w:szCs w:val="20"/>
                <w:color w:val="auto"/>
              </w:rPr>
            </w:pPr>
            <w:r>
              <w:rPr>
                <w:rFonts w:ascii="Arial" w:cs="Arial" w:eastAsia="Arial" w:hAnsi="Arial"/>
                <w:sz w:val="18"/>
                <w:szCs w:val="18"/>
                <w:color w:val="auto"/>
              </w:rPr>
              <w:t>CEO Holliday President Mathias</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Discretionary bonus eliminated</w:t>
            </w:r>
          </w:p>
        </w:tc>
        <w:tc>
          <w:tcPr>
            <w:tcW w:w="0" w:type="dxa"/>
            <w:vAlign w:val="bottom"/>
          </w:tcPr>
          <w:p>
            <w:pPr>
              <w:spacing w:after="0"/>
              <w:rPr>
                <w:sz w:val="1"/>
                <w:szCs w:val="1"/>
                <w:color w:val="auto"/>
              </w:rPr>
            </w:pPr>
          </w:p>
        </w:tc>
      </w:tr>
      <w:tr>
        <w:trPr>
          <w:trHeight w:val="220"/>
        </w:trPr>
        <w:tc>
          <w:tcPr>
            <w:tcW w:w="270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process not clear</w:t>
            </w:r>
          </w:p>
        </w:tc>
        <w:tc>
          <w:tcPr>
            <w:tcW w:w="2920" w:type="dxa"/>
            <w:vAlign w:val="bottom"/>
            <w:tcBorders>
              <w:bottom w:val="single" w:sz="8" w:color="8797B7"/>
            </w:tcBorders>
          </w:tcPr>
          <w:p>
            <w:pPr>
              <w:ind w:left="260"/>
              <w:spacing w:after="0"/>
              <w:rPr>
                <w:sz w:val="20"/>
                <w:szCs w:val="20"/>
                <w:color w:val="auto"/>
              </w:rPr>
            </w:pPr>
            <w:r>
              <w:rPr>
                <w:rFonts w:ascii="Arial" w:cs="Arial" w:eastAsia="Arial" w:hAnsi="Arial"/>
                <w:sz w:val="18"/>
                <w:szCs w:val="18"/>
                <w:color w:val="auto"/>
              </w:rPr>
              <w:t>bonus</w:t>
            </w:r>
          </w:p>
        </w:tc>
        <w:tc>
          <w:tcPr>
            <w:tcW w:w="2860" w:type="dxa"/>
            <w:vAlign w:val="bottom"/>
            <w:tcBorders>
              <w:bottom w:val="single" w:sz="8" w:color="8797B7"/>
            </w:tcBorders>
          </w:tcPr>
          <w:p>
            <w:pPr>
              <w:spacing w:after="0"/>
              <w:rPr>
                <w:sz w:val="19"/>
                <w:szCs w:val="19"/>
                <w:color w:val="auto"/>
              </w:rPr>
            </w:pPr>
          </w:p>
        </w:tc>
        <w:tc>
          <w:tcPr>
            <w:tcW w:w="300" w:type="dxa"/>
            <w:vAlign w:val="bottom"/>
            <w:tcBorders>
              <w:bottom w:val="single" w:sz="8" w:color="8797B7"/>
            </w:tcBorders>
          </w:tcPr>
          <w:p>
            <w:pPr>
              <w:spacing w:after="0"/>
              <w:rPr>
                <w:sz w:val="19"/>
                <w:szCs w:val="19"/>
                <w:color w:val="auto"/>
              </w:rPr>
            </w:pPr>
          </w:p>
        </w:tc>
        <w:tc>
          <w:tcPr>
            <w:tcW w:w="2460" w:type="dxa"/>
            <w:vAlign w:val="bottom"/>
            <w:tcBorders>
              <w:bottom w:val="single" w:sz="8" w:color="8797B7"/>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700" w:type="dxa"/>
            <w:vAlign w:val="bottom"/>
          </w:tcPr>
          <w:p>
            <w:pPr>
              <w:spacing w:after="0"/>
              <w:rPr>
                <w:sz w:val="20"/>
                <w:szCs w:val="20"/>
                <w:color w:val="auto"/>
              </w:rPr>
            </w:pPr>
            <w:r>
              <w:rPr>
                <w:rFonts w:ascii="Arial" w:cs="Arial" w:eastAsia="Arial" w:hAnsi="Arial"/>
                <w:sz w:val="18"/>
                <w:szCs w:val="18"/>
                <w:color w:val="auto"/>
              </w:rPr>
              <w:t>Retesting feature allows for</w:t>
            </w:r>
          </w:p>
        </w:tc>
        <w:tc>
          <w:tcPr>
            <w:tcW w:w="2920" w:type="dxa"/>
            <w:vAlign w:val="bottom"/>
          </w:tcPr>
          <w:p>
            <w:pPr>
              <w:ind w:left="260"/>
              <w:spacing w:after="0"/>
              <w:rPr>
                <w:sz w:val="20"/>
                <w:szCs w:val="20"/>
                <w:color w:val="auto"/>
              </w:rPr>
            </w:pPr>
            <w:r>
              <w:rPr>
                <w:rFonts w:ascii="Arial" w:cs="Arial" w:eastAsia="Arial" w:hAnsi="Arial"/>
                <w:sz w:val="18"/>
                <w:szCs w:val="18"/>
                <w:color w:val="auto"/>
              </w:rPr>
              <w:t>Eliminated retesting</w:t>
            </w:r>
          </w:p>
        </w:tc>
        <w:tc>
          <w:tcPr>
            <w:tcW w:w="2860" w:type="dxa"/>
            <w:vAlign w:val="bottom"/>
          </w:tcPr>
          <w:p>
            <w:pPr>
              <w:ind w:left="200"/>
              <w:spacing w:after="0"/>
              <w:rPr>
                <w:sz w:val="20"/>
                <w:szCs w:val="20"/>
                <w:color w:val="auto"/>
              </w:rPr>
            </w:pPr>
            <w:r>
              <w:rPr>
                <w:rFonts w:ascii="Arial" w:cs="Arial" w:eastAsia="Arial" w:hAnsi="Arial"/>
                <w:sz w:val="18"/>
                <w:szCs w:val="18"/>
                <w:color w:val="auto"/>
              </w:rPr>
              <w:t>CEO Holliday President Mathias</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Retesting eliminated; all</w:t>
            </w:r>
          </w:p>
        </w:tc>
        <w:tc>
          <w:tcPr>
            <w:tcW w:w="0" w:type="dxa"/>
            <w:vAlign w:val="bottom"/>
          </w:tcPr>
          <w:p>
            <w:pPr>
              <w:spacing w:after="0"/>
              <w:rPr>
                <w:sz w:val="1"/>
                <w:szCs w:val="1"/>
                <w:color w:val="auto"/>
              </w:rPr>
            </w:pP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multiple vesting opportunities</w:t>
            </w:r>
          </w:p>
        </w:tc>
        <w:tc>
          <w:tcPr>
            <w:tcW w:w="2920" w:type="dxa"/>
            <w:vAlign w:val="bottom"/>
          </w:tcPr>
          <w:p>
            <w:pPr>
              <w:spacing w:after="0"/>
              <w:rPr>
                <w:sz w:val="17"/>
                <w:szCs w:val="17"/>
                <w:color w:val="auto"/>
              </w:rPr>
            </w:pPr>
          </w:p>
        </w:tc>
        <w:tc>
          <w:tcPr>
            <w:tcW w:w="2860" w:type="dxa"/>
            <w:vAlign w:val="bottom"/>
          </w:tcPr>
          <w:p>
            <w:pPr>
              <w:ind w:left="200"/>
              <w:spacing w:after="0" w:line="202" w:lineRule="exact"/>
              <w:rPr>
                <w:sz w:val="20"/>
                <w:szCs w:val="20"/>
                <w:color w:val="auto"/>
              </w:rPr>
            </w:pPr>
            <w:r>
              <w:rPr>
                <w:rFonts w:ascii="Arial" w:cs="Arial" w:eastAsia="Arial" w:hAnsi="Arial"/>
                <w:sz w:val="18"/>
                <w:szCs w:val="18"/>
                <w:color w:val="auto"/>
              </w:rPr>
              <w:t>GC Levine</w:t>
            </w:r>
          </w:p>
        </w:tc>
        <w:tc>
          <w:tcPr>
            <w:tcW w:w="27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incentives have rigorous</w:t>
            </w:r>
          </w:p>
        </w:tc>
        <w:tc>
          <w:tcPr>
            <w:tcW w:w="0" w:type="dxa"/>
            <w:vAlign w:val="bottom"/>
          </w:tcPr>
          <w:p>
            <w:pPr>
              <w:spacing w:after="0"/>
              <w:rPr>
                <w:sz w:val="1"/>
                <w:szCs w:val="1"/>
                <w:color w:val="auto"/>
              </w:rPr>
            </w:pPr>
          </w:p>
        </w:tc>
      </w:tr>
      <w:tr>
        <w:trPr>
          <w:trHeight w:val="211"/>
        </w:trPr>
        <w:tc>
          <w:tcPr>
            <w:tcW w:w="2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performance linkage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Performance period for performance units should be longer than one year</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2840" w:val="left"/>
          <w:tab w:leader="none" w:pos="5660" w:val="left"/>
        </w:tabs>
        <w:rPr>
          <w:sz w:val="20"/>
          <w:szCs w:val="20"/>
          <w:color w:val="auto"/>
        </w:rPr>
      </w:pPr>
      <w:r>
        <w:rPr>
          <w:rFonts w:ascii="Arial" w:cs="Arial" w:eastAsia="Arial" w:hAnsi="Arial"/>
          <w:sz w:val="18"/>
          <w:szCs w:val="18"/>
          <w:color w:val="auto"/>
        </w:rPr>
        <w:t>50% LTIP units based on annual</w:t>
      </w:r>
      <w:r>
        <w:rPr>
          <w:sz w:val="20"/>
          <w:szCs w:val="20"/>
          <w:color w:val="auto"/>
        </w:rPr>
        <w:tab/>
      </w:r>
      <w:r>
        <w:rPr>
          <w:rFonts w:ascii="Arial" w:cs="Arial" w:eastAsia="Arial" w:hAnsi="Arial"/>
          <w:sz w:val="18"/>
          <w:szCs w:val="18"/>
          <w:color w:val="auto"/>
        </w:rPr>
        <w:t>CEO Holliday President Mathias</w:t>
      </w:r>
      <w:r>
        <w:rPr>
          <w:sz w:val="20"/>
          <w:szCs w:val="20"/>
          <w:color w:val="auto"/>
        </w:rPr>
        <w:tab/>
      </w:r>
      <w:r>
        <w:rPr>
          <w:rFonts w:ascii="Arial" w:cs="Arial" w:eastAsia="Arial" w:hAnsi="Arial"/>
          <w:sz w:val="16"/>
          <w:szCs w:val="16"/>
          <w:color w:val="auto"/>
        </w:rPr>
        <w:t>Incentives do not vest prior to 3</w:t>
      </w:r>
    </w:p>
    <w:p>
      <w:pPr>
        <w:spacing w:after="0"/>
        <w:tabs>
          <w:tab w:leader="none" w:pos="2840" w:val="left"/>
          <w:tab w:leader="none" w:pos="5660" w:val="left"/>
        </w:tabs>
        <w:rPr>
          <w:sz w:val="20"/>
          <w:szCs w:val="20"/>
          <w:color w:val="auto"/>
        </w:rPr>
      </w:pPr>
      <w:r>
        <w:rPr>
          <w:rFonts w:ascii="Arial" w:cs="Arial" w:eastAsia="Arial" w:hAnsi="Arial"/>
          <w:sz w:val="18"/>
          <w:szCs w:val="18"/>
          <w:color w:val="auto"/>
        </w:rPr>
        <w:t>operating goals, subject to 3-</w:t>
      </w:r>
      <w:r>
        <w:rPr>
          <w:sz w:val="20"/>
          <w:szCs w:val="20"/>
          <w:color w:val="auto"/>
        </w:rPr>
        <w:tab/>
      </w:r>
      <w:r>
        <w:rPr>
          <w:rFonts w:ascii="Arial" w:cs="Arial" w:eastAsia="Arial" w:hAnsi="Arial"/>
          <w:sz w:val="18"/>
          <w:szCs w:val="18"/>
          <w:color w:val="auto"/>
        </w:rPr>
        <w:t>GC Levine</w:t>
      </w:r>
      <w:r>
        <w:rPr>
          <w:sz w:val="20"/>
          <w:szCs w:val="20"/>
          <w:color w:val="auto"/>
        </w:rPr>
        <w:tab/>
      </w:r>
      <w:r>
        <w:rPr>
          <w:rFonts w:ascii="Arial" w:cs="Arial" w:eastAsia="Arial" w:hAnsi="Arial"/>
          <w:sz w:val="16"/>
          <w:szCs w:val="16"/>
          <w:color w:val="auto"/>
        </w:rPr>
        <w:t>years</w:t>
      </w:r>
    </w:p>
    <w:p>
      <w:pPr>
        <w:spacing w:after="0" w:line="235" w:lineRule="auto"/>
        <w:rPr>
          <w:sz w:val="20"/>
          <w:szCs w:val="20"/>
          <w:color w:val="auto"/>
        </w:rPr>
      </w:pPr>
      <w:r>
        <w:rPr>
          <w:rFonts w:ascii="Arial" w:cs="Arial" w:eastAsia="Arial" w:hAnsi="Arial"/>
          <w:sz w:val="18"/>
          <w:szCs w:val="18"/>
          <w:color w:val="auto"/>
        </w:rPr>
        <w:t>year absolute TSR; 50% LTIP</w:t>
      </w:r>
    </w:p>
    <w:p>
      <w:pPr>
        <w:spacing w:after="0" w:line="235" w:lineRule="auto"/>
        <w:rPr>
          <w:sz w:val="20"/>
          <w:szCs w:val="20"/>
          <w:color w:val="auto"/>
        </w:rPr>
      </w:pPr>
      <w:r>
        <w:rPr>
          <w:rFonts w:ascii="Arial" w:cs="Arial" w:eastAsia="Arial" w:hAnsi="Arial"/>
          <w:sz w:val="18"/>
          <w:szCs w:val="18"/>
          <w:color w:val="auto"/>
        </w:rPr>
        <w:t>units based on 3-year relative</w:t>
      </w:r>
    </w:p>
    <w:p>
      <w:pPr>
        <w:spacing w:after="0"/>
        <w:rPr>
          <w:sz w:val="20"/>
          <w:szCs w:val="20"/>
          <w:color w:val="auto"/>
        </w:rPr>
      </w:pPr>
      <w:r>
        <w:rPr>
          <w:rFonts w:ascii="Arial" w:cs="Arial" w:eastAsia="Arial" w:hAnsi="Arial"/>
          <w:sz w:val="18"/>
          <w:szCs w:val="18"/>
          <w:color w:val="auto"/>
        </w:rPr>
        <w:t>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12065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2240" w:space="720"/>
            <w:col w:w="82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20"/>
                <w:szCs w:val="20"/>
                <w:color w:val="auto"/>
              </w:rPr>
            </w:pPr>
            <w:r>
              <w:rPr>
                <w:rFonts w:ascii="Arial" w:cs="Arial" w:eastAsia="Arial" w:hAnsi="Arial"/>
                <w:sz w:val="18"/>
                <w:szCs w:val="18"/>
                <w:color w:val="auto"/>
              </w:rPr>
              <w:t>Contracts guarantee equity grants</w:t>
            </w:r>
          </w:p>
        </w:tc>
        <w:tc>
          <w:tcPr>
            <w:tcW w:w="2660" w:type="dxa"/>
            <w:vAlign w:val="bottom"/>
          </w:tcPr>
          <w:p>
            <w:pPr>
              <w:ind w:left="160"/>
              <w:spacing w:after="0"/>
              <w:rPr>
                <w:sz w:val="20"/>
                <w:szCs w:val="20"/>
                <w:color w:val="auto"/>
              </w:rPr>
            </w:pPr>
            <w:r>
              <w:rPr>
                <w:rFonts w:ascii="Arial" w:cs="Arial" w:eastAsia="Arial" w:hAnsi="Arial"/>
                <w:sz w:val="18"/>
                <w:szCs w:val="18"/>
                <w:color w:val="auto"/>
              </w:rPr>
              <w:t>New contracts replace</w:t>
            </w:r>
          </w:p>
        </w:tc>
        <w:tc>
          <w:tcPr>
            <w:tcW w:w="3020" w:type="dxa"/>
            <w:vAlign w:val="bottom"/>
          </w:tcPr>
          <w:p>
            <w:pPr>
              <w:ind w:left="360"/>
              <w:spacing w:after="0"/>
              <w:rPr>
                <w:sz w:val="20"/>
                <w:szCs w:val="20"/>
                <w:color w:val="auto"/>
              </w:rPr>
            </w:pPr>
            <w:r>
              <w:rPr>
                <w:rFonts w:ascii="Arial" w:cs="Arial" w:eastAsia="Arial" w:hAnsi="Arial"/>
                <w:sz w:val="18"/>
                <w:szCs w:val="18"/>
                <w:color w:val="auto"/>
              </w:rPr>
              <w:t>CEO Holliday President Mathias</w:t>
            </w:r>
          </w:p>
        </w:tc>
        <w:tc>
          <w:tcPr>
            <w:tcW w:w="2760" w:type="dxa"/>
            <w:vAlign w:val="bottom"/>
          </w:tcPr>
          <w:p>
            <w:pPr>
              <w:ind w:left="160"/>
              <w:spacing w:after="0"/>
              <w:rPr>
                <w:sz w:val="20"/>
                <w:szCs w:val="20"/>
                <w:color w:val="auto"/>
              </w:rPr>
            </w:pPr>
            <w:r>
              <w:rPr>
                <w:rFonts w:ascii="Arial" w:cs="Arial" w:eastAsia="Arial" w:hAnsi="Arial"/>
                <w:sz w:val="18"/>
                <w:szCs w:val="18"/>
                <w:color w:val="auto"/>
              </w:rPr>
              <w:t>Contractual guarantees</w:t>
            </w: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on multi-year basis</w:t>
            </w:r>
          </w:p>
        </w:tc>
        <w:tc>
          <w:tcPr>
            <w:tcW w:w="2660" w:type="dxa"/>
            <w:vAlign w:val="bottom"/>
          </w:tcPr>
          <w:p>
            <w:pPr>
              <w:ind w:left="160"/>
              <w:spacing w:after="0" w:line="202" w:lineRule="exact"/>
              <w:rPr>
                <w:sz w:val="20"/>
                <w:szCs w:val="20"/>
                <w:color w:val="auto"/>
              </w:rPr>
            </w:pPr>
            <w:r>
              <w:rPr>
                <w:rFonts w:ascii="Arial" w:cs="Arial" w:eastAsia="Arial" w:hAnsi="Arial"/>
                <w:sz w:val="18"/>
                <w:szCs w:val="18"/>
                <w:color w:val="auto"/>
              </w:rPr>
              <w:t>contractual guarantees with</w:t>
            </w:r>
          </w:p>
        </w:tc>
        <w:tc>
          <w:tcPr>
            <w:tcW w:w="3020" w:type="dxa"/>
            <w:vAlign w:val="bottom"/>
          </w:tcPr>
          <w:p>
            <w:pPr>
              <w:ind w:left="360"/>
              <w:spacing w:after="0" w:line="202" w:lineRule="exact"/>
              <w:rPr>
                <w:sz w:val="20"/>
                <w:szCs w:val="20"/>
                <w:color w:val="auto"/>
              </w:rPr>
            </w:pPr>
            <w:r>
              <w:rPr>
                <w:rFonts w:ascii="Arial" w:cs="Arial" w:eastAsia="Arial" w:hAnsi="Arial"/>
                <w:sz w:val="18"/>
                <w:szCs w:val="18"/>
                <w:color w:val="auto"/>
              </w:rPr>
              <w:t>GC Levine</w:t>
            </w:r>
          </w:p>
        </w:tc>
        <w:tc>
          <w:tcPr>
            <w:tcW w:w="2760" w:type="dxa"/>
            <w:vAlign w:val="bottom"/>
          </w:tcPr>
          <w:p>
            <w:pPr>
              <w:ind w:left="160"/>
              <w:spacing w:after="0" w:line="202" w:lineRule="exact"/>
              <w:rPr>
                <w:sz w:val="20"/>
                <w:szCs w:val="20"/>
                <w:color w:val="auto"/>
              </w:rPr>
            </w:pPr>
            <w:r>
              <w:rPr>
                <w:rFonts w:ascii="Arial" w:cs="Arial" w:eastAsia="Arial" w:hAnsi="Arial"/>
                <w:sz w:val="18"/>
                <w:szCs w:val="18"/>
                <w:color w:val="auto"/>
              </w:rPr>
              <w:t>eliminated</w:t>
            </w:r>
          </w:p>
        </w:tc>
      </w:tr>
      <w:tr>
        <w:trPr>
          <w:trHeight w:val="220"/>
        </w:trPr>
        <w:tc>
          <w:tcPr>
            <w:tcW w:w="2800" w:type="dxa"/>
            <w:vAlign w:val="bottom"/>
            <w:tcBorders>
              <w:bottom w:val="single" w:sz="8" w:color="8797B7"/>
            </w:tcBorders>
          </w:tcPr>
          <w:p>
            <w:pPr>
              <w:spacing w:after="0"/>
              <w:rPr>
                <w:sz w:val="19"/>
                <w:szCs w:val="19"/>
                <w:color w:val="auto"/>
              </w:rPr>
            </w:pPr>
          </w:p>
        </w:tc>
        <w:tc>
          <w:tcPr>
            <w:tcW w:w="2660" w:type="dxa"/>
            <w:vAlign w:val="bottom"/>
            <w:tcBorders>
              <w:bottom w:val="single" w:sz="8" w:color="8797B7"/>
            </w:tcBorders>
          </w:tcPr>
          <w:p>
            <w:pPr>
              <w:ind w:left="160"/>
              <w:spacing w:after="0"/>
              <w:rPr>
                <w:sz w:val="20"/>
                <w:szCs w:val="20"/>
                <w:color w:val="auto"/>
              </w:rPr>
            </w:pPr>
            <w:r>
              <w:rPr>
                <w:rFonts w:ascii="Arial" w:cs="Arial" w:eastAsia="Arial" w:hAnsi="Arial"/>
                <w:sz w:val="18"/>
                <w:szCs w:val="18"/>
                <w:color w:val="auto"/>
              </w:rPr>
              <w:t>target equity grants</w:t>
            </w:r>
          </w:p>
        </w:tc>
        <w:tc>
          <w:tcPr>
            <w:tcW w:w="3020" w:type="dxa"/>
            <w:vAlign w:val="bottom"/>
            <w:tcBorders>
              <w:bottom w:val="single" w:sz="8" w:color="8797B7"/>
            </w:tcBorders>
          </w:tcPr>
          <w:p>
            <w:pPr>
              <w:spacing w:after="0"/>
              <w:rPr>
                <w:sz w:val="19"/>
                <w:szCs w:val="19"/>
                <w:color w:val="auto"/>
              </w:rPr>
            </w:pPr>
          </w:p>
        </w:tc>
        <w:tc>
          <w:tcPr>
            <w:tcW w:w="2760" w:type="dxa"/>
            <w:vAlign w:val="bottom"/>
            <w:tcBorders>
              <w:bottom w:val="single" w:sz="8" w:color="8797B7"/>
            </w:tcBorders>
          </w:tcPr>
          <w:p>
            <w:pPr>
              <w:spacing w:after="0"/>
              <w:rPr>
                <w:sz w:val="19"/>
                <w:szCs w:val="19"/>
                <w:color w:val="auto"/>
              </w:rPr>
            </w:pPr>
          </w:p>
        </w:tc>
      </w:tr>
      <w:tr>
        <w:trPr>
          <w:trHeight w:val="233"/>
        </w:trPr>
        <w:tc>
          <w:tcPr>
            <w:tcW w:w="2800" w:type="dxa"/>
            <w:vAlign w:val="bottom"/>
          </w:tcPr>
          <w:p>
            <w:pPr>
              <w:spacing w:after="0"/>
              <w:rPr>
                <w:sz w:val="20"/>
                <w:szCs w:val="20"/>
                <w:color w:val="auto"/>
              </w:rPr>
            </w:pPr>
            <w:r>
              <w:rPr>
                <w:rFonts w:ascii="Arial" w:cs="Arial" w:eastAsia="Arial" w:hAnsi="Arial"/>
                <w:sz w:val="18"/>
                <w:szCs w:val="18"/>
                <w:color w:val="auto"/>
              </w:rPr>
              <w:t>Compensation program is</w:t>
            </w:r>
          </w:p>
        </w:tc>
        <w:tc>
          <w:tcPr>
            <w:tcW w:w="2660" w:type="dxa"/>
            <w:vAlign w:val="bottom"/>
          </w:tcPr>
          <w:p>
            <w:pPr>
              <w:ind w:left="160"/>
              <w:spacing w:after="0"/>
              <w:rPr>
                <w:sz w:val="20"/>
                <w:szCs w:val="20"/>
                <w:color w:val="auto"/>
              </w:rPr>
            </w:pPr>
            <w:r>
              <w:rPr>
                <w:rFonts w:ascii="Arial" w:cs="Arial" w:eastAsia="Arial" w:hAnsi="Arial"/>
                <w:sz w:val="18"/>
                <w:szCs w:val="18"/>
                <w:color w:val="auto"/>
              </w:rPr>
              <w:t>Reduced elements of</w:t>
            </w:r>
          </w:p>
        </w:tc>
        <w:tc>
          <w:tcPr>
            <w:tcW w:w="3020" w:type="dxa"/>
            <w:vAlign w:val="bottom"/>
          </w:tcPr>
          <w:p>
            <w:pPr>
              <w:ind w:left="360"/>
              <w:spacing w:after="0"/>
              <w:rPr>
                <w:sz w:val="20"/>
                <w:szCs w:val="20"/>
                <w:color w:val="auto"/>
              </w:rPr>
            </w:pPr>
            <w:r>
              <w:rPr>
                <w:rFonts w:ascii="Arial" w:cs="Arial" w:eastAsia="Arial" w:hAnsi="Arial"/>
                <w:sz w:val="18"/>
                <w:szCs w:val="18"/>
                <w:color w:val="auto"/>
              </w:rPr>
              <w:t>CEO Holliday President Mathias</w:t>
            </w:r>
          </w:p>
        </w:tc>
        <w:tc>
          <w:tcPr>
            <w:tcW w:w="2760" w:type="dxa"/>
            <w:vAlign w:val="bottom"/>
          </w:tcPr>
          <w:p>
            <w:pPr>
              <w:ind w:left="160"/>
              <w:spacing w:after="0"/>
              <w:rPr>
                <w:sz w:val="20"/>
                <w:szCs w:val="20"/>
                <w:color w:val="auto"/>
              </w:rPr>
            </w:pPr>
            <w:r>
              <w:rPr>
                <w:rFonts w:ascii="Arial" w:cs="Arial" w:eastAsia="Arial" w:hAnsi="Arial"/>
                <w:sz w:val="18"/>
                <w:szCs w:val="18"/>
                <w:color w:val="auto"/>
              </w:rPr>
              <w:t>Improved transparency of pay-</w:t>
            </w:r>
          </w:p>
        </w:tc>
      </w:tr>
      <w:tr>
        <w:trPr>
          <w:trHeight w:val="220"/>
        </w:trPr>
        <w:tc>
          <w:tcPr>
            <w:tcW w:w="280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complicated</w:t>
            </w:r>
          </w:p>
        </w:tc>
        <w:tc>
          <w:tcPr>
            <w:tcW w:w="2660" w:type="dxa"/>
            <w:vAlign w:val="bottom"/>
            <w:tcBorders>
              <w:bottom w:val="single" w:sz="8" w:color="8797B7"/>
            </w:tcBorders>
          </w:tcPr>
          <w:p>
            <w:pPr>
              <w:ind w:left="160"/>
              <w:spacing w:after="0"/>
              <w:rPr>
                <w:sz w:val="20"/>
                <w:szCs w:val="20"/>
                <w:color w:val="auto"/>
              </w:rPr>
            </w:pPr>
            <w:r>
              <w:rPr>
                <w:rFonts w:ascii="Arial" w:cs="Arial" w:eastAsia="Arial" w:hAnsi="Arial"/>
                <w:sz w:val="18"/>
                <w:szCs w:val="18"/>
                <w:color w:val="auto"/>
              </w:rPr>
              <w:t>compensation from 7 to 4</w:t>
            </w:r>
          </w:p>
        </w:tc>
        <w:tc>
          <w:tcPr>
            <w:tcW w:w="3020" w:type="dxa"/>
            <w:vAlign w:val="bottom"/>
            <w:tcBorders>
              <w:bottom w:val="single" w:sz="8" w:color="8797B7"/>
            </w:tcBorders>
          </w:tcPr>
          <w:p>
            <w:pPr>
              <w:spacing w:after="0"/>
              <w:rPr>
                <w:sz w:val="19"/>
                <w:szCs w:val="19"/>
                <w:color w:val="auto"/>
              </w:rPr>
            </w:pPr>
          </w:p>
        </w:tc>
        <w:tc>
          <w:tcPr>
            <w:tcW w:w="2760" w:type="dxa"/>
            <w:vAlign w:val="bottom"/>
            <w:tcBorders>
              <w:bottom w:val="single" w:sz="8" w:color="8797B7"/>
            </w:tcBorders>
          </w:tcPr>
          <w:p>
            <w:pPr>
              <w:ind w:left="160"/>
              <w:spacing w:after="0"/>
              <w:rPr>
                <w:sz w:val="20"/>
                <w:szCs w:val="20"/>
                <w:color w:val="auto"/>
              </w:rPr>
            </w:pPr>
            <w:r>
              <w:rPr>
                <w:rFonts w:ascii="Arial" w:cs="Arial" w:eastAsia="Arial" w:hAnsi="Arial"/>
                <w:sz w:val="18"/>
                <w:szCs w:val="18"/>
                <w:color w:val="auto"/>
              </w:rPr>
              <w:t>for-performance linkage</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2020 Represents Complete Transition Away From Legacy Compensation</w:t>
      </w:r>
    </w:p>
    <w:p>
      <w:pPr>
        <w:spacing w:after="0" w:line="235" w:lineRule="exact"/>
        <w:rPr>
          <w:sz w:val="20"/>
          <w:szCs w:val="20"/>
          <w:color w:val="auto"/>
        </w:rPr>
      </w:pPr>
    </w:p>
    <w:p>
      <w:pPr>
        <w:jc w:val="both"/>
        <w:ind w:right="820"/>
        <w:spacing w:after="0" w:line="238" w:lineRule="auto"/>
        <w:rPr>
          <w:sz w:val="20"/>
          <w:szCs w:val="20"/>
          <w:color w:val="auto"/>
        </w:rPr>
      </w:pPr>
      <w:r>
        <w:rPr>
          <w:rFonts w:ascii="Arial" w:cs="Arial" w:eastAsia="Arial" w:hAnsi="Arial"/>
          <w:sz w:val="18"/>
          <w:szCs w:val="18"/>
          <w:color w:val="auto"/>
        </w:rPr>
        <w:t>The Committee remains committed to ensuring that executive compensation is performance-based and creates a strong alignment of management and stockholder interests, while attracting and retaining top talent in a market that is highly competitive for New York City commercial real estate management.</w:t>
      </w:r>
    </w:p>
    <w:p>
      <w:pPr>
        <w:spacing w:after="0" w:line="20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To that end, the Committee continues to be dedicated to the redesigned compensation structure outlined in our 2018 proxy statement that provides for just four pay elements: Base Salary, Performanced-Based Annual Cash Bonus, Performance-Based LTIP Units, and Time-Based LTIP Units.</w:t>
      </w:r>
    </w:p>
    <w:p>
      <w:pPr>
        <w:spacing w:after="0" w:line="208"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Under our prior compensation structure and Mr. Holliday’s prior employment agreement, Mr. Holliday, our CEO and Chairman, was entitled to receive additional equity grants in 2019 that were determined to have been earned based on the achievement of three-year cumulative performance goals for the performance period from 2016 through 2018. Further, Mr. Holliday also received, pursuant to the prior employment agreement/compensation structure, a discretionary annual equity bonus that was based on 2018 performance but granted in 2019.</w:t>
      </w:r>
    </w:p>
    <w:p>
      <w:pPr>
        <w:spacing w:after="0" w:line="18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seen in the graphic below, both these components of pay have been eliminated going forward, and these awards represent the final obligations under Mr. Holliday’s prior contract. As with other equity grants at SL Green, these equity awards are also subject to a further two-year no-sell provision.</w:t>
      </w:r>
    </w:p>
    <w:p>
      <w:pPr>
        <w:spacing w:after="0" w:line="20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Most importantly, from 2020 onwards, executive compensation will only include the following four pay elements – base salary, annual incentive, performance equity and time-based equity (except for Mr. DiLiberto whose current employment agreement was put in place prior to the redesigned program). The table below details how the compensation program and elements have evolved over recent years.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Transition Away from Legacy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147320</wp:posOffset>
            </wp:positionV>
            <wp:extent cx="2540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400" cy="171450"/>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40" w:type="dxa"/>
            <w:vAlign w:val="bottom"/>
          </w:tcPr>
          <w:p>
            <w:pPr>
              <w:spacing w:after="0"/>
              <w:rPr>
                <w:sz w:val="15"/>
                <w:szCs w:val="15"/>
                <w:color w:val="auto"/>
              </w:rPr>
            </w:pPr>
          </w:p>
        </w:tc>
        <w:tc>
          <w:tcPr>
            <w:tcW w:w="1840" w:type="dxa"/>
            <w:vAlign w:val="bottom"/>
          </w:tcPr>
          <w:p>
            <w:pPr>
              <w:jc w:val="right"/>
              <w:ind w:right="733"/>
              <w:spacing w:after="0"/>
              <w:rPr>
                <w:sz w:val="20"/>
                <w:szCs w:val="20"/>
                <w:color w:val="auto"/>
              </w:rPr>
            </w:pPr>
            <w:r>
              <w:rPr>
                <w:rFonts w:ascii="Arial" w:cs="Arial" w:eastAsia="Arial" w:hAnsi="Arial"/>
                <w:sz w:val="13"/>
                <w:szCs w:val="13"/>
                <w:b w:val="1"/>
                <w:bCs w:val="1"/>
                <w:color w:val="auto"/>
              </w:rPr>
              <w:t>2016</w:t>
            </w:r>
          </w:p>
        </w:tc>
        <w:tc>
          <w:tcPr>
            <w:tcW w:w="1860" w:type="dxa"/>
            <w:vAlign w:val="bottom"/>
          </w:tcPr>
          <w:p>
            <w:pPr>
              <w:jc w:val="right"/>
              <w:ind w:right="733"/>
              <w:spacing w:after="0"/>
              <w:rPr>
                <w:sz w:val="20"/>
                <w:szCs w:val="20"/>
                <w:color w:val="auto"/>
              </w:rPr>
            </w:pPr>
            <w:r>
              <w:rPr>
                <w:rFonts w:ascii="Arial" w:cs="Arial" w:eastAsia="Arial" w:hAnsi="Arial"/>
                <w:sz w:val="13"/>
                <w:szCs w:val="13"/>
                <w:b w:val="1"/>
                <w:bCs w:val="1"/>
                <w:color w:val="auto"/>
              </w:rPr>
              <w:t>2017</w:t>
            </w:r>
          </w:p>
        </w:tc>
        <w:tc>
          <w:tcPr>
            <w:tcW w:w="1840" w:type="dxa"/>
            <w:vAlign w:val="bottom"/>
          </w:tcPr>
          <w:p>
            <w:pPr>
              <w:jc w:val="right"/>
              <w:ind w:right="713"/>
              <w:spacing w:after="0"/>
              <w:rPr>
                <w:sz w:val="20"/>
                <w:szCs w:val="20"/>
                <w:color w:val="auto"/>
              </w:rPr>
            </w:pPr>
            <w:r>
              <w:rPr>
                <w:rFonts w:ascii="Arial" w:cs="Arial" w:eastAsia="Arial" w:hAnsi="Arial"/>
                <w:sz w:val="13"/>
                <w:szCs w:val="13"/>
                <w:b w:val="1"/>
                <w:bCs w:val="1"/>
                <w:color w:val="auto"/>
              </w:rPr>
              <w:t>2018</w:t>
            </w:r>
          </w:p>
        </w:tc>
        <w:tc>
          <w:tcPr>
            <w:tcW w:w="2040" w:type="dxa"/>
            <w:vAlign w:val="bottom"/>
          </w:tcPr>
          <w:p>
            <w:pPr>
              <w:jc w:val="center"/>
              <w:spacing w:after="0"/>
              <w:rPr>
                <w:sz w:val="20"/>
                <w:szCs w:val="20"/>
                <w:color w:val="auto"/>
              </w:rPr>
            </w:pPr>
            <w:r>
              <w:rPr>
                <w:rFonts w:ascii="Arial" w:cs="Arial" w:eastAsia="Arial" w:hAnsi="Arial"/>
                <w:sz w:val="13"/>
                <w:szCs w:val="13"/>
                <w:b w:val="1"/>
                <w:bCs w:val="1"/>
                <w:color w:val="auto"/>
              </w:rPr>
              <w:t>2019</w:t>
            </w:r>
          </w:p>
        </w:tc>
        <w:tc>
          <w:tcPr>
            <w:tcW w:w="2020" w:type="dxa"/>
            <w:vAlign w:val="bottom"/>
          </w:tcPr>
          <w:p>
            <w:pPr>
              <w:jc w:val="center"/>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62"/>
        </w:trPr>
        <w:tc>
          <w:tcPr>
            <w:tcW w:w="1640" w:type="dxa"/>
            <w:vAlign w:val="bottom"/>
            <w:tcBorders>
              <w:bottom w:val="single" w:sz="8" w:color="355889"/>
            </w:tcBorders>
          </w:tcPr>
          <w:p>
            <w:pPr>
              <w:spacing w:after="0"/>
              <w:rPr>
                <w:sz w:val="5"/>
                <w:szCs w:val="5"/>
                <w:color w:val="auto"/>
              </w:rPr>
            </w:pPr>
          </w:p>
        </w:tc>
        <w:tc>
          <w:tcPr>
            <w:tcW w:w="1840" w:type="dxa"/>
            <w:vAlign w:val="bottom"/>
            <w:tcBorders>
              <w:bottom w:val="single" w:sz="8" w:color="355889"/>
            </w:tcBorders>
          </w:tcPr>
          <w:p>
            <w:pPr>
              <w:spacing w:after="0"/>
              <w:rPr>
                <w:sz w:val="5"/>
                <w:szCs w:val="5"/>
                <w:color w:val="auto"/>
              </w:rPr>
            </w:pPr>
          </w:p>
        </w:tc>
        <w:tc>
          <w:tcPr>
            <w:tcW w:w="1860" w:type="dxa"/>
            <w:vAlign w:val="bottom"/>
            <w:tcBorders>
              <w:bottom w:val="single" w:sz="8" w:color="355889"/>
            </w:tcBorders>
          </w:tcPr>
          <w:p>
            <w:pPr>
              <w:spacing w:after="0"/>
              <w:rPr>
                <w:sz w:val="5"/>
                <w:szCs w:val="5"/>
                <w:color w:val="auto"/>
              </w:rPr>
            </w:pPr>
          </w:p>
        </w:tc>
        <w:tc>
          <w:tcPr>
            <w:tcW w:w="1840" w:type="dxa"/>
            <w:vAlign w:val="bottom"/>
            <w:tcBorders>
              <w:bottom w:val="single" w:sz="8" w:color="355889"/>
            </w:tcBorders>
          </w:tcPr>
          <w:p>
            <w:pPr>
              <w:spacing w:after="0"/>
              <w:rPr>
                <w:sz w:val="5"/>
                <w:szCs w:val="5"/>
                <w:color w:val="auto"/>
              </w:rPr>
            </w:pPr>
          </w:p>
        </w:tc>
        <w:tc>
          <w:tcPr>
            <w:tcW w:w="4060" w:type="dxa"/>
            <w:vAlign w:val="bottom"/>
            <w:tcBorders>
              <w:bottom w:val="single" w:sz="8" w:color="355889"/>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640" w:type="dxa"/>
            <w:vAlign w:val="bottom"/>
          </w:tcPr>
          <w:p>
            <w:pPr>
              <w:spacing w:after="0"/>
              <w:rPr>
                <w:sz w:val="15"/>
                <w:szCs w:val="15"/>
                <w:color w:val="auto"/>
              </w:rPr>
            </w:pPr>
          </w:p>
        </w:tc>
        <w:tc>
          <w:tcPr>
            <w:tcW w:w="5540" w:type="dxa"/>
            <w:vAlign w:val="bottom"/>
            <w:gridSpan w:val="3"/>
          </w:tcPr>
          <w:p>
            <w:pPr>
              <w:jc w:val="center"/>
              <w:spacing w:after="0"/>
              <w:rPr>
                <w:sz w:val="20"/>
                <w:szCs w:val="20"/>
                <w:color w:val="auto"/>
              </w:rPr>
            </w:pPr>
            <w:r>
              <w:rPr>
                <w:rFonts w:ascii="Arial" w:cs="Arial" w:eastAsia="Arial" w:hAnsi="Arial"/>
                <w:sz w:val="13"/>
                <w:szCs w:val="13"/>
                <w:color w:val="auto"/>
              </w:rPr>
              <w:t>Marc Holliday Employment Agreement</w:t>
            </w:r>
          </w:p>
        </w:tc>
        <w:tc>
          <w:tcPr>
            <w:tcW w:w="4060" w:type="dxa"/>
            <w:vAlign w:val="bottom"/>
            <w:gridSpan w:val="2"/>
          </w:tcPr>
          <w:p>
            <w:pPr>
              <w:jc w:val="center"/>
              <w:spacing w:after="0"/>
              <w:rPr>
                <w:sz w:val="20"/>
                <w:szCs w:val="20"/>
                <w:color w:val="auto"/>
              </w:rPr>
            </w:pPr>
            <w:r>
              <w:rPr>
                <w:rFonts w:ascii="Arial" w:cs="Arial" w:eastAsia="Arial" w:hAnsi="Arial"/>
                <w:sz w:val="13"/>
                <w:szCs w:val="13"/>
                <w:color w:val="auto"/>
              </w:rPr>
              <w:t>Marc Holliday Employment Agreement</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rPr>
              <w:t>(Term 1/18/16 to 1/17/19)</w:t>
            </w:r>
          </w:p>
        </w:tc>
        <w:tc>
          <w:tcPr>
            <w:tcW w:w="1840" w:type="dxa"/>
            <w:vAlign w:val="bottom"/>
          </w:tcPr>
          <w:p>
            <w:pPr>
              <w:spacing w:after="0"/>
              <w:rPr>
                <w:sz w:val="14"/>
                <w:szCs w:val="14"/>
                <w:color w:val="auto"/>
              </w:rPr>
            </w:pPr>
          </w:p>
        </w:tc>
        <w:tc>
          <w:tcPr>
            <w:tcW w:w="4060" w:type="dxa"/>
            <w:vAlign w:val="bottom"/>
            <w:gridSpan w:val="2"/>
          </w:tcPr>
          <w:p>
            <w:pPr>
              <w:jc w:val="center"/>
              <w:spacing w:after="0"/>
              <w:rPr>
                <w:sz w:val="20"/>
                <w:szCs w:val="20"/>
                <w:color w:val="auto"/>
              </w:rPr>
            </w:pPr>
            <w:r>
              <w:rPr>
                <w:rFonts w:ascii="Arial" w:cs="Arial" w:eastAsia="Arial" w:hAnsi="Arial"/>
                <w:sz w:val="13"/>
                <w:szCs w:val="13"/>
                <w:color w:val="auto"/>
              </w:rPr>
              <w:t>(Term 1/18/19 to 1/17/22)</w:t>
            </w:r>
          </w:p>
        </w:tc>
        <w:tc>
          <w:tcPr>
            <w:tcW w:w="0" w:type="dxa"/>
            <w:vAlign w:val="bottom"/>
          </w:tcPr>
          <w:p>
            <w:pPr>
              <w:spacing w:after="0"/>
              <w:rPr>
                <w:sz w:val="1"/>
                <w:szCs w:val="1"/>
                <w:color w:val="auto"/>
              </w:rPr>
            </w:pPr>
          </w:p>
        </w:tc>
      </w:tr>
      <w:tr>
        <w:trPr>
          <w:trHeight w:val="28"/>
        </w:trPr>
        <w:tc>
          <w:tcPr>
            <w:tcW w:w="1640" w:type="dxa"/>
            <w:vAlign w:val="bottom"/>
            <w:tcBorders>
              <w:bottom w:val="single" w:sz="8" w:color="8797B7"/>
            </w:tcBorders>
          </w:tcPr>
          <w:p>
            <w:pPr>
              <w:spacing w:after="0"/>
              <w:rPr>
                <w:sz w:val="2"/>
                <w:szCs w:val="2"/>
                <w:color w:val="auto"/>
              </w:rPr>
            </w:pPr>
          </w:p>
        </w:tc>
        <w:tc>
          <w:tcPr>
            <w:tcW w:w="1840" w:type="dxa"/>
            <w:vAlign w:val="bottom"/>
            <w:tcBorders>
              <w:bottom w:val="single" w:sz="8" w:color="8797B7"/>
            </w:tcBorders>
          </w:tcPr>
          <w:p>
            <w:pPr>
              <w:spacing w:after="0"/>
              <w:rPr>
                <w:sz w:val="2"/>
                <w:szCs w:val="2"/>
                <w:color w:val="auto"/>
              </w:rPr>
            </w:pPr>
          </w:p>
        </w:tc>
        <w:tc>
          <w:tcPr>
            <w:tcW w:w="1860" w:type="dxa"/>
            <w:vAlign w:val="bottom"/>
            <w:tcBorders>
              <w:bottom w:val="single" w:sz="8" w:color="8797B7"/>
            </w:tcBorders>
          </w:tcPr>
          <w:p>
            <w:pPr>
              <w:spacing w:after="0"/>
              <w:rPr>
                <w:sz w:val="2"/>
                <w:szCs w:val="2"/>
                <w:color w:val="auto"/>
              </w:rPr>
            </w:pPr>
          </w:p>
        </w:tc>
        <w:tc>
          <w:tcPr>
            <w:tcW w:w="1840" w:type="dxa"/>
            <w:vAlign w:val="bottom"/>
            <w:tcBorders>
              <w:bottom w:val="single" w:sz="8" w:color="8797B7"/>
            </w:tcBorders>
          </w:tcPr>
          <w:p>
            <w:pPr>
              <w:spacing w:after="0"/>
              <w:rPr>
                <w:sz w:val="2"/>
                <w:szCs w:val="2"/>
                <w:color w:val="auto"/>
              </w:rPr>
            </w:pPr>
          </w:p>
        </w:tc>
        <w:tc>
          <w:tcPr>
            <w:tcW w:w="2040" w:type="dxa"/>
            <w:vAlign w:val="bottom"/>
            <w:tcBorders>
              <w:bottom w:val="single" w:sz="8" w:color="8797B7"/>
            </w:tcBorders>
          </w:tcPr>
          <w:p>
            <w:pPr>
              <w:spacing w:after="0"/>
              <w:rPr>
                <w:sz w:val="2"/>
                <w:szCs w:val="2"/>
                <w:color w:val="auto"/>
              </w:rPr>
            </w:pPr>
          </w:p>
        </w:tc>
        <w:tc>
          <w:tcPr>
            <w:tcW w:w="2020" w:type="dxa"/>
            <w:vAlign w:val="bottom"/>
            <w:tcBorders>
              <w:bottom w:val="single" w:sz="8" w:color="8797B7"/>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Base Salary</w:t>
            </w:r>
          </w:p>
        </w:tc>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rPr>
              <w:t>Reduced to $1.25 million,</w:t>
            </w:r>
          </w:p>
        </w:tc>
        <w:tc>
          <w:tcPr>
            <w:tcW w:w="2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40" w:type="dxa"/>
            <w:vAlign w:val="bottom"/>
            <w:vMerge w:val="continue"/>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rPr>
              <w:t>$1.35 million</w:t>
            </w:r>
          </w:p>
        </w:tc>
        <w:tc>
          <w:tcPr>
            <w:tcW w:w="1860" w:type="dxa"/>
            <w:vAlign w:val="bottom"/>
          </w:tcPr>
          <w:p>
            <w:pPr>
              <w:jc w:val="center"/>
              <w:spacing w:after="0"/>
              <w:rPr>
                <w:sz w:val="20"/>
                <w:szCs w:val="20"/>
                <w:color w:val="auto"/>
              </w:rPr>
            </w:pPr>
            <w:r>
              <w:rPr>
                <w:rFonts w:ascii="Arial" w:cs="Arial" w:eastAsia="Arial" w:hAnsi="Arial"/>
                <w:sz w:val="13"/>
                <w:szCs w:val="13"/>
                <w:color w:val="auto"/>
              </w:rPr>
              <w:t>$1.35 million</w:t>
            </w:r>
          </w:p>
        </w:tc>
        <w:tc>
          <w:tcPr>
            <w:tcW w:w="1840" w:type="dxa"/>
            <w:vAlign w:val="bottom"/>
          </w:tcPr>
          <w:p>
            <w:pPr>
              <w:jc w:val="center"/>
              <w:spacing w:after="0"/>
              <w:rPr>
                <w:sz w:val="20"/>
                <w:szCs w:val="20"/>
                <w:color w:val="auto"/>
              </w:rPr>
            </w:pPr>
            <w:r>
              <w:rPr>
                <w:rFonts w:ascii="Arial" w:cs="Arial" w:eastAsia="Arial" w:hAnsi="Arial"/>
                <w:sz w:val="13"/>
                <w:szCs w:val="13"/>
                <w:color w:val="auto"/>
              </w:rPr>
              <w:t>pursuant to 2019</w:t>
            </w:r>
          </w:p>
        </w:tc>
        <w:tc>
          <w:tcPr>
            <w:tcW w:w="2040" w:type="dxa"/>
            <w:vAlign w:val="bottom"/>
          </w:tcPr>
          <w:p>
            <w:pPr>
              <w:jc w:val="center"/>
              <w:spacing w:after="0"/>
              <w:rPr>
                <w:sz w:val="20"/>
                <w:szCs w:val="20"/>
                <w:color w:val="auto"/>
              </w:rPr>
            </w:pPr>
            <w:r>
              <w:rPr>
                <w:rFonts w:ascii="Arial" w:cs="Arial" w:eastAsia="Arial" w:hAnsi="Arial"/>
                <w:sz w:val="13"/>
                <w:szCs w:val="13"/>
                <w:color w:val="auto"/>
              </w:rPr>
              <w:t>$1.25 million</w:t>
            </w:r>
          </w:p>
        </w:tc>
        <w:tc>
          <w:tcPr>
            <w:tcW w:w="2020" w:type="dxa"/>
            <w:vAlign w:val="bottom"/>
          </w:tcPr>
          <w:p>
            <w:pPr>
              <w:jc w:val="center"/>
              <w:spacing w:after="0"/>
              <w:rPr>
                <w:sz w:val="20"/>
                <w:szCs w:val="20"/>
                <w:color w:val="auto"/>
              </w:rPr>
            </w:pPr>
            <w:r>
              <w:rPr>
                <w:rFonts w:ascii="Arial" w:cs="Arial" w:eastAsia="Arial" w:hAnsi="Arial"/>
                <w:sz w:val="13"/>
                <w:szCs w:val="13"/>
                <w:color w:val="auto"/>
              </w:rPr>
              <w:t>$1.25 million</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rPr>
              <w:t>employment agreement</w:t>
            </w:r>
          </w:p>
        </w:tc>
        <w:tc>
          <w:tcPr>
            <w:tcW w:w="2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640" w:type="dxa"/>
            <w:vAlign w:val="bottom"/>
            <w:tcBorders>
              <w:bottom w:val="single" w:sz="8" w:color="8797B7"/>
            </w:tcBorders>
          </w:tcPr>
          <w:p>
            <w:pPr>
              <w:spacing w:after="0"/>
              <w:rPr>
                <w:sz w:val="4"/>
                <w:szCs w:val="4"/>
                <w:color w:val="auto"/>
              </w:rPr>
            </w:pPr>
          </w:p>
        </w:tc>
        <w:tc>
          <w:tcPr>
            <w:tcW w:w="1840" w:type="dxa"/>
            <w:vAlign w:val="bottom"/>
            <w:tcBorders>
              <w:bottom w:val="single" w:sz="8" w:color="8797B7"/>
            </w:tcBorders>
          </w:tcPr>
          <w:p>
            <w:pPr>
              <w:spacing w:after="0"/>
              <w:rPr>
                <w:sz w:val="4"/>
                <w:szCs w:val="4"/>
                <w:color w:val="auto"/>
              </w:rPr>
            </w:pPr>
          </w:p>
        </w:tc>
        <w:tc>
          <w:tcPr>
            <w:tcW w:w="1860" w:type="dxa"/>
            <w:vAlign w:val="bottom"/>
            <w:tcBorders>
              <w:bottom w:val="single" w:sz="8" w:color="8797B7"/>
            </w:tcBorders>
          </w:tcPr>
          <w:p>
            <w:pPr>
              <w:spacing w:after="0"/>
              <w:rPr>
                <w:sz w:val="4"/>
                <w:szCs w:val="4"/>
                <w:color w:val="auto"/>
              </w:rPr>
            </w:pPr>
          </w:p>
        </w:tc>
        <w:tc>
          <w:tcPr>
            <w:tcW w:w="1840" w:type="dxa"/>
            <w:vAlign w:val="bottom"/>
            <w:tcBorders>
              <w:bottom w:val="single" w:sz="8" w:color="8797B7"/>
            </w:tcBorders>
          </w:tcPr>
          <w:p>
            <w:pPr>
              <w:spacing w:after="0"/>
              <w:rPr>
                <w:sz w:val="4"/>
                <w:szCs w:val="4"/>
                <w:color w:val="auto"/>
              </w:rPr>
            </w:pPr>
          </w:p>
        </w:tc>
        <w:tc>
          <w:tcPr>
            <w:tcW w:w="2040" w:type="dxa"/>
            <w:vAlign w:val="bottom"/>
            <w:tcBorders>
              <w:bottom w:val="single" w:sz="8" w:color="8797B7"/>
            </w:tcBorders>
          </w:tcPr>
          <w:p>
            <w:pPr>
              <w:spacing w:after="0"/>
              <w:rPr>
                <w:sz w:val="4"/>
                <w:szCs w:val="4"/>
                <w:color w:val="auto"/>
              </w:rPr>
            </w:pPr>
          </w:p>
        </w:tc>
        <w:tc>
          <w:tcPr>
            <w:tcW w:w="2020" w:type="dxa"/>
            <w:vAlign w:val="bottom"/>
            <w:tcBorders>
              <w:bottom w:val="single" w:sz="8" w:color="8797B7"/>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640" w:type="dxa"/>
            <w:vAlign w:val="bottom"/>
          </w:tcPr>
          <w:p>
            <w:pPr>
              <w:ind w:left="180"/>
              <w:spacing w:after="0"/>
              <w:rPr>
                <w:sz w:val="20"/>
                <w:szCs w:val="20"/>
                <w:color w:val="auto"/>
              </w:rPr>
            </w:pPr>
            <w:r>
              <w:rPr>
                <w:rFonts w:ascii="Arial" w:cs="Arial" w:eastAsia="Arial" w:hAnsi="Arial"/>
                <w:sz w:val="13"/>
                <w:szCs w:val="13"/>
                <w:b w:val="1"/>
                <w:bCs w:val="1"/>
                <w:color w:val="auto"/>
              </w:rPr>
              <w:t>Annual Cash</w:t>
            </w:r>
          </w:p>
        </w:tc>
        <w:tc>
          <w:tcPr>
            <w:tcW w:w="1840" w:type="dxa"/>
            <w:vAlign w:val="bottom"/>
          </w:tcPr>
          <w:p>
            <w:pPr>
              <w:ind w:left="100"/>
              <w:spacing w:after="0"/>
              <w:rPr>
                <w:sz w:val="20"/>
                <w:szCs w:val="20"/>
                <w:color w:val="auto"/>
              </w:rPr>
            </w:pPr>
            <w:r>
              <w:rPr>
                <w:rFonts w:ascii="Arial" w:cs="Arial" w:eastAsia="Arial" w:hAnsi="Arial"/>
                <w:sz w:val="13"/>
                <w:szCs w:val="13"/>
                <w:color w:val="auto"/>
              </w:rPr>
              <w:t>Target: 2 times base salary</w:t>
            </w:r>
          </w:p>
        </w:tc>
        <w:tc>
          <w:tcPr>
            <w:tcW w:w="1860" w:type="dxa"/>
            <w:vAlign w:val="bottom"/>
          </w:tcPr>
          <w:p>
            <w:pPr>
              <w:jc w:val="center"/>
              <w:spacing w:after="0"/>
              <w:rPr>
                <w:sz w:val="20"/>
                <w:szCs w:val="20"/>
                <w:color w:val="auto"/>
              </w:rPr>
            </w:pPr>
            <w:r>
              <w:rPr>
                <w:rFonts w:ascii="Arial" w:cs="Arial" w:eastAsia="Arial" w:hAnsi="Arial"/>
                <w:sz w:val="13"/>
                <w:szCs w:val="13"/>
                <w:color w:val="auto"/>
              </w:rPr>
              <w:t>Target: 2 times base salary</w:t>
            </w:r>
          </w:p>
        </w:tc>
        <w:tc>
          <w:tcPr>
            <w:tcW w:w="1840" w:type="dxa"/>
            <w:vAlign w:val="bottom"/>
          </w:tcPr>
          <w:p>
            <w:pPr>
              <w:jc w:val="center"/>
              <w:spacing w:after="0"/>
              <w:rPr>
                <w:sz w:val="20"/>
                <w:szCs w:val="20"/>
                <w:color w:val="auto"/>
              </w:rPr>
            </w:pPr>
            <w:r>
              <w:rPr>
                <w:rFonts w:ascii="Arial" w:cs="Arial" w:eastAsia="Arial" w:hAnsi="Arial"/>
                <w:sz w:val="13"/>
                <w:szCs w:val="13"/>
                <w:color w:val="auto"/>
              </w:rPr>
              <w:t>Target: 2 times base salary</w:t>
            </w:r>
          </w:p>
        </w:tc>
        <w:tc>
          <w:tcPr>
            <w:tcW w:w="2040" w:type="dxa"/>
            <w:vAlign w:val="bottom"/>
          </w:tcPr>
          <w:p>
            <w:pPr>
              <w:jc w:val="center"/>
              <w:spacing w:after="0"/>
              <w:rPr>
                <w:sz w:val="20"/>
                <w:szCs w:val="20"/>
                <w:color w:val="auto"/>
              </w:rPr>
            </w:pPr>
            <w:r>
              <w:rPr>
                <w:rFonts w:ascii="Arial" w:cs="Arial" w:eastAsia="Arial" w:hAnsi="Arial"/>
                <w:sz w:val="13"/>
                <w:szCs w:val="13"/>
                <w:color w:val="auto"/>
              </w:rPr>
              <w:t>Target: 2 times base salary</w:t>
            </w:r>
          </w:p>
        </w:tc>
        <w:tc>
          <w:tcPr>
            <w:tcW w:w="2020" w:type="dxa"/>
            <w:vAlign w:val="bottom"/>
          </w:tcPr>
          <w:p>
            <w:pPr>
              <w:jc w:val="center"/>
              <w:spacing w:after="0"/>
              <w:rPr>
                <w:sz w:val="20"/>
                <w:szCs w:val="20"/>
                <w:color w:val="auto"/>
              </w:rPr>
            </w:pPr>
            <w:r>
              <w:rPr>
                <w:rFonts w:ascii="Arial" w:cs="Arial" w:eastAsia="Arial" w:hAnsi="Arial"/>
                <w:sz w:val="13"/>
                <w:szCs w:val="13"/>
                <w:color w:val="auto"/>
              </w:rPr>
              <w:t>Target: 2 times base salary</w:t>
            </w:r>
          </w:p>
        </w:tc>
        <w:tc>
          <w:tcPr>
            <w:tcW w:w="0" w:type="dxa"/>
            <w:vAlign w:val="bottom"/>
          </w:tcPr>
          <w:p>
            <w:pPr>
              <w:spacing w:after="0"/>
              <w:rPr>
                <w:sz w:val="1"/>
                <w:szCs w:val="1"/>
                <w:color w:val="auto"/>
              </w:rPr>
            </w:pPr>
          </w:p>
        </w:tc>
      </w:tr>
      <w:tr>
        <w:trPr>
          <w:trHeight w:val="178"/>
        </w:trPr>
        <w:tc>
          <w:tcPr>
            <w:tcW w:w="1640" w:type="dxa"/>
            <w:vAlign w:val="bottom"/>
          </w:tcPr>
          <w:p>
            <w:pPr>
              <w:ind w:left="180"/>
              <w:spacing w:after="0"/>
              <w:rPr>
                <w:sz w:val="20"/>
                <w:szCs w:val="20"/>
                <w:color w:val="auto"/>
              </w:rPr>
            </w:pPr>
            <w:r>
              <w:rPr>
                <w:rFonts w:ascii="Arial" w:cs="Arial" w:eastAsia="Arial" w:hAnsi="Arial"/>
                <w:sz w:val="13"/>
                <w:szCs w:val="13"/>
                <w:b w:val="1"/>
                <w:bCs w:val="1"/>
                <w:color w:val="auto"/>
              </w:rPr>
              <w:t>Bonus</w:t>
            </w:r>
          </w:p>
        </w:tc>
        <w:tc>
          <w:tcPr>
            <w:tcW w:w="1840" w:type="dxa"/>
            <w:vAlign w:val="bottom"/>
          </w:tcPr>
          <w:p>
            <w:pPr>
              <w:jc w:val="center"/>
              <w:spacing w:after="0"/>
              <w:rPr>
                <w:sz w:val="20"/>
                <w:szCs w:val="20"/>
                <w:color w:val="auto"/>
              </w:rPr>
            </w:pPr>
            <w:r>
              <w:rPr>
                <w:rFonts w:ascii="Arial" w:cs="Arial" w:eastAsia="Arial" w:hAnsi="Arial"/>
                <w:sz w:val="13"/>
                <w:szCs w:val="13"/>
                <w:color w:val="auto"/>
              </w:rPr>
              <w:t>($2.5 million)</w:t>
            </w:r>
          </w:p>
        </w:tc>
        <w:tc>
          <w:tcPr>
            <w:tcW w:w="1860" w:type="dxa"/>
            <w:vAlign w:val="bottom"/>
          </w:tcPr>
          <w:p>
            <w:pPr>
              <w:jc w:val="center"/>
              <w:spacing w:after="0"/>
              <w:rPr>
                <w:sz w:val="20"/>
                <w:szCs w:val="20"/>
                <w:color w:val="auto"/>
              </w:rPr>
            </w:pPr>
            <w:r>
              <w:rPr>
                <w:rFonts w:ascii="Arial" w:cs="Arial" w:eastAsia="Arial" w:hAnsi="Arial"/>
                <w:sz w:val="13"/>
                <w:szCs w:val="13"/>
                <w:color w:val="auto"/>
              </w:rPr>
              <w:t>($2.7 million)</w:t>
            </w:r>
          </w:p>
        </w:tc>
        <w:tc>
          <w:tcPr>
            <w:tcW w:w="1840" w:type="dxa"/>
            <w:vAlign w:val="bottom"/>
          </w:tcPr>
          <w:p>
            <w:pPr>
              <w:jc w:val="center"/>
              <w:spacing w:after="0"/>
              <w:rPr>
                <w:sz w:val="20"/>
                <w:szCs w:val="20"/>
                <w:color w:val="auto"/>
              </w:rPr>
            </w:pPr>
            <w:r>
              <w:rPr>
                <w:rFonts w:ascii="Arial" w:cs="Arial" w:eastAsia="Arial" w:hAnsi="Arial"/>
                <w:sz w:val="13"/>
                <w:szCs w:val="13"/>
                <w:color w:val="auto"/>
              </w:rPr>
              <w:t>($2.5 million)</w:t>
            </w:r>
          </w:p>
        </w:tc>
        <w:tc>
          <w:tcPr>
            <w:tcW w:w="2040" w:type="dxa"/>
            <w:vAlign w:val="bottom"/>
          </w:tcPr>
          <w:p>
            <w:pPr>
              <w:jc w:val="center"/>
              <w:spacing w:after="0"/>
              <w:rPr>
                <w:sz w:val="20"/>
                <w:szCs w:val="20"/>
                <w:color w:val="auto"/>
              </w:rPr>
            </w:pPr>
            <w:r>
              <w:rPr>
                <w:rFonts w:ascii="Arial" w:cs="Arial" w:eastAsia="Arial" w:hAnsi="Arial"/>
                <w:sz w:val="13"/>
                <w:szCs w:val="13"/>
                <w:color w:val="auto"/>
              </w:rPr>
              <w:t>($2.5 million)</w:t>
            </w:r>
          </w:p>
        </w:tc>
        <w:tc>
          <w:tcPr>
            <w:tcW w:w="2020" w:type="dxa"/>
            <w:vAlign w:val="bottom"/>
          </w:tcPr>
          <w:p>
            <w:pPr>
              <w:jc w:val="center"/>
              <w:spacing w:after="0"/>
              <w:rPr>
                <w:sz w:val="20"/>
                <w:szCs w:val="20"/>
                <w:color w:val="auto"/>
              </w:rPr>
            </w:pPr>
            <w:r>
              <w:rPr>
                <w:rFonts w:ascii="Arial" w:cs="Arial" w:eastAsia="Arial" w:hAnsi="Arial"/>
                <w:sz w:val="13"/>
                <w:szCs w:val="13"/>
                <w:color w:val="auto"/>
              </w:rPr>
              <w:t>($2.5 million)</w:t>
            </w:r>
          </w:p>
        </w:tc>
        <w:tc>
          <w:tcPr>
            <w:tcW w:w="0" w:type="dxa"/>
            <w:vAlign w:val="bottom"/>
          </w:tcPr>
          <w:p>
            <w:pPr>
              <w:spacing w:after="0"/>
              <w:rPr>
                <w:sz w:val="1"/>
                <w:szCs w:val="1"/>
                <w:color w:val="auto"/>
              </w:rPr>
            </w:pPr>
          </w:p>
        </w:tc>
      </w:tr>
      <w:tr>
        <w:trPr>
          <w:trHeight w:val="54"/>
        </w:trPr>
        <w:tc>
          <w:tcPr>
            <w:tcW w:w="1640" w:type="dxa"/>
            <w:vAlign w:val="bottom"/>
            <w:tcBorders>
              <w:bottom w:val="single" w:sz="8" w:color="8797B7"/>
            </w:tcBorders>
          </w:tcPr>
          <w:p>
            <w:pPr>
              <w:spacing w:after="0"/>
              <w:rPr>
                <w:sz w:val="4"/>
                <w:szCs w:val="4"/>
                <w:color w:val="auto"/>
              </w:rPr>
            </w:pPr>
          </w:p>
        </w:tc>
        <w:tc>
          <w:tcPr>
            <w:tcW w:w="1840" w:type="dxa"/>
            <w:vAlign w:val="bottom"/>
            <w:tcBorders>
              <w:bottom w:val="single" w:sz="8" w:color="8797B7"/>
            </w:tcBorders>
          </w:tcPr>
          <w:p>
            <w:pPr>
              <w:spacing w:after="0"/>
              <w:rPr>
                <w:sz w:val="4"/>
                <w:szCs w:val="4"/>
                <w:color w:val="auto"/>
              </w:rPr>
            </w:pPr>
          </w:p>
        </w:tc>
        <w:tc>
          <w:tcPr>
            <w:tcW w:w="1860" w:type="dxa"/>
            <w:vAlign w:val="bottom"/>
            <w:tcBorders>
              <w:bottom w:val="single" w:sz="8" w:color="8797B7"/>
            </w:tcBorders>
          </w:tcPr>
          <w:p>
            <w:pPr>
              <w:spacing w:after="0"/>
              <w:rPr>
                <w:sz w:val="4"/>
                <w:szCs w:val="4"/>
                <w:color w:val="auto"/>
              </w:rPr>
            </w:pPr>
          </w:p>
        </w:tc>
        <w:tc>
          <w:tcPr>
            <w:tcW w:w="1840" w:type="dxa"/>
            <w:vAlign w:val="bottom"/>
            <w:tcBorders>
              <w:bottom w:val="single" w:sz="8" w:color="8797B7"/>
            </w:tcBorders>
          </w:tcPr>
          <w:p>
            <w:pPr>
              <w:spacing w:after="0"/>
              <w:rPr>
                <w:sz w:val="4"/>
                <w:szCs w:val="4"/>
                <w:color w:val="auto"/>
              </w:rPr>
            </w:pPr>
          </w:p>
        </w:tc>
        <w:tc>
          <w:tcPr>
            <w:tcW w:w="2040" w:type="dxa"/>
            <w:vAlign w:val="bottom"/>
            <w:tcBorders>
              <w:bottom w:val="single" w:sz="8" w:color="8797B7"/>
            </w:tcBorders>
          </w:tcPr>
          <w:p>
            <w:pPr>
              <w:spacing w:after="0"/>
              <w:rPr>
                <w:sz w:val="4"/>
                <w:szCs w:val="4"/>
                <w:color w:val="auto"/>
              </w:rPr>
            </w:pPr>
          </w:p>
        </w:tc>
        <w:tc>
          <w:tcPr>
            <w:tcW w:w="2020" w:type="dxa"/>
            <w:vAlign w:val="bottom"/>
            <w:tcBorders>
              <w:bottom w:val="single" w:sz="8" w:color="8797B7"/>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640" w:type="dxa"/>
            <w:vAlign w:val="bottom"/>
            <w:tcBorders>
              <w:right w:val="single" w:sz="8" w:color="8797B7"/>
            </w:tcBorders>
          </w:tcPr>
          <w:p>
            <w:pPr>
              <w:spacing w:after="0"/>
              <w:rPr>
                <w:sz w:val="14"/>
                <w:szCs w:val="14"/>
                <w:color w:val="auto"/>
              </w:rPr>
            </w:pPr>
          </w:p>
        </w:tc>
        <w:tc>
          <w:tcPr>
            <w:tcW w:w="3700" w:type="dxa"/>
            <w:vAlign w:val="bottom"/>
            <w:tcBorders>
              <w:right w:val="single" w:sz="8" w:color="8797B7"/>
            </w:tcBorders>
            <w:gridSpan w:val="2"/>
            <w:shd w:val="clear" w:color="auto" w:fill="EBEDF3"/>
          </w:tcPr>
          <w:p>
            <w:pPr>
              <w:jc w:val="center"/>
              <w:spacing w:after="0"/>
              <w:rPr>
                <w:sz w:val="20"/>
                <w:szCs w:val="20"/>
                <w:color w:val="auto"/>
              </w:rPr>
            </w:pPr>
            <w:r>
              <w:rPr>
                <w:rFonts w:ascii="Arial" w:cs="Arial" w:eastAsia="Arial" w:hAnsi="Arial"/>
                <w:sz w:val="13"/>
                <w:szCs w:val="13"/>
                <w:color w:val="auto"/>
              </w:rPr>
              <w:t>Units valued at $3.4 million; Granted in 2017 fully vested</w:t>
            </w: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640" w:type="dxa"/>
            <w:vAlign w:val="bottom"/>
            <w:tcBorders>
              <w:right w:val="single" w:sz="8" w:color="8797B7"/>
            </w:tcBorders>
          </w:tcPr>
          <w:p>
            <w:pPr>
              <w:spacing w:after="0"/>
              <w:rPr>
                <w:sz w:val="18"/>
                <w:szCs w:val="18"/>
                <w:color w:val="auto"/>
              </w:rPr>
            </w:pPr>
          </w:p>
        </w:tc>
        <w:tc>
          <w:tcPr>
            <w:tcW w:w="3700" w:type="dxa"/>
            <w:vAlign w:val="bottom"/>
            <w:tcBorders>
              <w:bottom w:val="single" w:sz="8" w:color="EBEDF3"/>
              <w:right w:val="single" w:sz="8" w:color="8797B7"/>
            </w:tcBorders>
            <w:gridSpan w:val="2"/>
            <w:shd w:val="clear" w:color="auto" w:fill="EBEDF3"/>
          </w:tcPr>
          <w:p>
            <w:pPr>
              <w:jc w:val="center"/>
              <w:spacing w:after="0"/>
              <w:rPr>
                <w:sz w:val="20"/>
                <w:szCs w:val="20"/>
                <w:color w:val="auto"/>
              </w:rPr>
            </w:pPr>
            <w:r>
              <w:rPr>
                <w:rFonts w:ascii="Arial" w:cs="Arial" w:eastAsia="Arial" w:hAnsi="Arial"/>
                <w:sz w:val="13"/>
                <w:szCs w:val="13"/>
                <w:color w:val="auto"/>
              </w:rPr>
              <w:t>based on 2016 Performance</w:t>
            </w:r>
          </w:p>
        </w:tc>
        <w:tc>
          <w:tcPr>
            <w:tcW w:w="1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840" w:type="dxa"/>
            <w:vAlign w:val="bottom"/>
            <w:tcBorders>
              <w:top w:val="single" w:sz="8" w:color="8797B7"/>
              <w:right w:val="single" w:sz="8" w:color="8797B7"/>
            </w:tcBorders>
          </w:tcPr>
          <w:p>
            <w:pPr>
              <w:spacing w:after="0"/>
              <w:rPr>
                <w:sz w:val="14"/>
                <w:szCs w:val="14"/>
                <w:color w:val="auto"/>
              </w:rPr>
            </w:pPr>
          </w:p>
        </w:tc>
        <w:tc>
          <w:tcPr>
            <w:tcW w:w="3700" w:type="dxa"/>
            <w:vAlign w:val="bottom"/>
            <w:tcBorders>
              <w:top w:val="single" w:sz="8" w:color="8797B7"/>
              <w:right w:val="single" w:sz="8" w:color="8797B7"/>
            </w:tcBorders>
            <w:gridSpan w:val="2"/>
            <w:shd w:val="clear" w:color="auto" w:fill="EBEDF3"/>
          </w:tcPr>
          <w:p>
            <w:pPr>
              <w:jc w:val="center"/>
              <w:spacing w:after="0"/>
              <w:rPr>
                <w:sz w:val="20"/>
                <w:szCs w:val="20"/>
                <w:color w:val="auto"/>
              </w:rPr>
            </w:pPr>
            <w:r>
              <w:rPr>
                <w:rFonts w:ascii="Arial" w:cs="Arial" w:eastAsia="Arial" w:hAnsi="Arial"/>
                <w:sz w:val="13"/>
                <w:szCs w:val="13"/>
                <w:color w:val="auto"/>
              </w:rPr>
              <w:t>Units valued at $4.5 million; Granted in 2018 fully vested</w:t>
            </w:r>
          </w:p>
        </w:tc>
        <w:tc>
          <w:tcPr>
            <w:tcW w:w="2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40" w:type="dxa"/>
            <w:vAlign w:val="bottom"/>
          </w:tcPr>
          <w:p>
            <w:pPr>
              <w:ind w:left="180"/>
              <w:spacing w:after="0"/>
              <w:rPr>
                <w:sz w:val="20"/>
                <w:szCs w:val="20"/>
                <w:color w:val="auto"/>
              </w:rPr>
            </w:pPr>
            <w:r>
              <w:rPr>
                <w:rFonts w:ascii="Arial" w:cs="Arial" w:eastAsia="Arial" w:hAnsi="Arial"/>
                <w:sz w:val="13"/>
                <w:szCs w:val="13"/>
                <w:b w:val="1"/>
                <w:bCs w:val="1"/>
                <w:color w:val="auto"/>
              </w:rPr>
              <w:t>Annual Equity</w:t>
            </w:r>
          </w:p>
        </w:tc>
        <w:tc>
          <w:tcPr>
            <w:tcW w:w="1840" w:type="dxa"/>
            <w:vAlign w:val="bottom"/>
            <w:tcBorders>
              <w:right w:val="single" w:sz="8" w:color="8797B7"/>
            </w:tcBorders>
          </w:tcPr>
          <w:p>
            <w:pPr>
              <w:spacing w:after="0"/>
              <w:rPr>
                <w:sz w:val="22"/>
                <w:szCs w:val="22"/>
                <w:color w:val="auto"/>
              </w:rPr>
            </w:pPr>
          </w:p>
        </w:tc>
        <w:tc>
          <w:tcPr>
            <w:tcW w:w="3700" w:type="dxa"/>
            <w:vAlign w:val="bottom"/>
            <w:tcBorders>
              <w:bottom w:val="single" w:sz="8" w:color="EBEDF3"/>
              <w:right w:val="single" w:sz="8" w:color="8797B7"/>
            </w:tcBorders>
            <w:gridSpan w:val="2"/>
            <w:shd w:val="clear" w:color="auto" w:fill="EBEDF3"/>
          </w:tcPr>
          <w:p>
            <w:pPr>
              <w:jc w:val="center"/>
              <w:spacing w:after="0"/>
              <w:rPr>
                <w:sz w:val="20"/>
                <w:szCs w:val="20"/>
                <w:color w:val="auto"/>
              </w:rPr>
            </w:pPr>
            <w:r>
              <w:rPr>
                <w:rFonts w:ascii="Arial" w:cs="Arial" w:eastAsia="Arial" w:hAnsi="Arial"/>
                <w:sz w:val="13"/>
                <w:szCs w:val="13"/>
                <w:color w:val="auto"/>
              </w:rPr>
              <w:t>based on 2017 Performance</w:t>
            </w:r>
          </w:p>
        </w:tc>
        <w:tc>
          <w:tcPr>
            <w:tcW w:w="204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rPr>
              <w:t>Eliminated</w:t>
            </w:r>
          </w:p>
        </w:tc>
        <w:tc>
          <w:tcPr>
            <w:tcW w:w="0" w:type="dxa"/>
            <w:vAlign w:val="bottom"/>
          </w:tcPr>
          <w:p>
            <w:pPr>
              <w:spacing w:after="0"/>
              <w:rPr>
                <w:sz w:val="1"/>
                <w:szCs w:val="1"/>
                <w:color w:val="auto"/>
              </w:rPr>
            </w:pPr>
          </w:p>
        </w:tc>
      </w:tr>
      <w:tr>
        <w:trPr>
          <w:trHeight w:val="81"/>
        </w:trPr>
        <w:tc>
          <w:tcPr>
            <w:tcW w:w="1640" w:type="dxa"/>
            <w:vAlign w:val="bottom"/>
          </w:tcPr>
          <w:p>
            <w:pPr>
              <w:ind w:left="180"/>
              <w:spacing w:after="0" w:line="81" w:lineRule="exact"/>
              <w:rPr>
                <w:sz w:val="20"/>
                <w:szCs w:val="20"/>
                <w:color w:val="auto"/>
              </w:rPr>
            </w:pPr>
            <w:r>
              <w:rPr>
                <w:rFonts w:ascii="Arial" w:cs="Arial" w:eastAsia="Arial" w:hAnsi="Arial"/>
                <w:sz w:val="9"/>
                <w:szCs w:val="9"/>
                <w:b w:val="1"/>
                <w:bCs w:val="1"/>
                <w:color w:val="auto"/>
              </w:rPr>
              <w:t>Bonus</w:t>
            </w:r>
          </w:p>
        </w:tc>
        <w:tc>
          <w:tcPr>
            <w:tcW w:w="1840" w:type="dxa"/>
            <w:vAlign w:val="bottom"/>
          </w:tcPr>
          <w:p>
            <w:pPr>
              <w:spacing w:after="0"/>
              <w:rPr>
                <w:sz w:val="7"/>
                <w:szCs w:val="7"/>
                <w:color w:val="auto"/>
              </w:rPr>
            </w:pPr>
          </w:p>
        </w:tc>
        <w:tc>
          <w:tcPr>
            <w:tcW w:w="1860" w:type="dxa"/>
            <w:vAlign w:val="bottom"/>
            <w:tcBorders>
              <w:top w:val="single" w:sz="8" w:color="8797B7"/>
              <w:right w:val="single" w:sz="8" w:color="8797B7"/>
            </w:tcBorders>
          </w:tcPr>
          <w:p>
            <w:pPr>
              <w:spacing w:after="0"/>
              <w:rPr>
                <w:sz w:val="7"/>
                <w:szCs w:val="7"/>
                <w:color w:val="auto"/>
              </w:rPr>
            </w:pPr>
          </w:p>
        </w:tc>
        <w:tc>
          <w:tcPr>
            <w:tcW w:w="3880" w:type="dxa"/>
            <w:vAlign w:val="bottom"/>
            <w:tcBorders>
              <w:top w:val="single" w:sz="8" w:color="8797B7"/>
            </w:tcBorders>
            <w:gridSpan w:val="2"/>
            <w:vMerge w:val="restart"/>
            <w:shd w:val="clear" w:color="auto" w:fill="EBEDF3"/>
          </w:tcPr>
          <w:p>
            <w:pPr>
              <w:jc w:val="center"/>
              <w:spacing w:after="0" w:line="121" w:lineRule="exact"/>
              <w:rPr>
                <w:sz w:val="20"/>
                <w:szCs w:val="20"/>
                <w:color w:val="auto"/>
              </w:rPr>
            </w:pPr>
            <w:r>
              <w:rPr>
                <w:rFonts w:ascii="Arial" w:cs="Arial" w:eastAsia="Arial" w:hAnsi="Arial"/>
                <w:sz w:val="13"/>
                <w:szCs w:val="13"/>
                <w:color w:val="auto"/>
              </w:rPr>
              <w:t>Units valued at $3.5 million; Granted in 2019 fully vested</w:t>
            </w: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6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tcBorders>
              <w:right w:val="single" w:sz="8" w:color="8797B7"/>
            </w:tcBorders>
          </w:tcPr>
          <w:p>
            <w:pPr>
              <w:spacing w:after="0"/>
              <w:rPr>
                <w:sz w:val="3"/>
                <w:szCs w:val="3"/>
                <w:color w:val="auto"/>
              </w:rPr>
            </w:pPr>
          </w:p>
        </w:tc>
        <w:tc>
          <w:tcPr>
            <w:tcW w:w="3880" w:type="dxa"/>
            <w:vAlign w:val="bottom"/>
            <w:gridSpan w:val="2"/>
            <w:vMerge w:val="continue"/>
            <w:shd w:val="clear" w:color="auto" w:fill="EBEDF3"/>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60" w:type="dxa"/>
            <w:vAlign w:val="bottom"/>
            <w:tcBorders>
              <w:right w:val="single" w:sz="8" w:color="8797B7"/>
            </w:tcBorders>
          </w:tcPr>
          <w:p>
            <w:pPr>
              <w:spacing w:after="0"/>
              <w:rPr>
                <w:sz w:val="18"/>
                <w:szCs w:val="18"/>
                <w:color w:val="auto"/>
              </w:rPr>
            </w:pPr>
          </w:p>
        </w:tc>
        <w:tc>
          <w:tcPr>
            <w:tcW w:w="3880" w:type="dxa"/>
            <w:vAlign w:val="bottom"/>
            <w:tcBorders>
              <w:bottom w:val="single" w:sz="8" w:color="EBEDF3"/>
            </w:tcBorders>
            <w:gridSpan w:val="2"/>
            <w:shd w:val="clear" w:color="auto" w:fill="EBEDF3"/>
          </w:tcPr>
          <w:p>
            <w:pPr>
              <w:jc w:val="center"/>
              <w:spacing w:after="0"/>
              <w:rPr>
                <w:sz w:val="20"/>
                <w:szCs w:val="20"/>
                <w:color w:val="auto"/>
              </w:rPr>
            </w:pPr>
            <w:r>
              <w:rPr>
                <w:rFonts w:ascii="Arial" w:cs="Arial" w:eastAsia="Arial" w:hAnsi="Arial"/>
                <w:sz w:val="13"/>
                <w:szCs w:val="13"/>
                <w:color w:val="auto"/>
              </w:rPr>
              <w:t>based on 2018 Performance</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40" w:type="dxa"/>
            <w:vAlign w:val="bottom"/>
            <w:tcBorders>
              <w:top w:val="single" w:sz="8" w:color="8797B7"/>
            </w:tcBorders>
          </w:tcPr>
          <w:p>
            <w:pPr>
              <w:spacing w:after="0"/>
              <w:rPr>
                <w:sz w:val="14"/>
                <w:szCs w:val="14"/>
                <w:color w:val="auto"/>
              </w:rPr>
            </w:pPr>
          </w:p>
        </w:tc>
        <w:tc>
          <w:tcPr>
            <w:tcW w:w="2040" w:type="dxa"/>
            <w:vAlign w:val="bottom"/>
            <w:tcBorders>
              <w:top w:val="single" w:sz="8" w:color="8797B7"/>
            </w:tcBorders>
          </w:tcPr>
          <w:p>
            <w:pPr>
              <w:jc w:val="center"/>
              <w:spacing w:after="0"/>
              <w:rPr>
                <w:sz w:val="20"/>
                <w:szCs w:val="20"/>
                <w:color w:val="auto"/>
              </w:rPr>
            </w:pPr>
            <w:r>
              <w:rPr>
                <w:rFonts w:ascii="Arial" w:cs="Arial" w:eastAsia="Arial" w:hAnsi="Arial"/>
                <w:sz w:val="13"/>
                <w:szCs w:val="13"/>
                <w:color w:val="auto"/>
              </w:rPr>
              <w:t>Eliminated for 2019</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rPr>
              <w:t>onward</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640" w:type="dxa"/>
            <w:vAlign w:val="bottom"/>
            <w:tcBorders>
              <w:bottom w:val="single" w:sz="8" w:color="8797B7"/>
            </w:tcBorders>
          </w:tcPr>
          <w:p>
            <w:pPr>
              <w:spacing w:after="0"/>
              <w:rPr>
                <w:sz w:val="4"/>
                <w:szCs w:val="4"/>
                <w:color w:val="auto"/>
              </w:rPr>
            </w:pPr>
          </w:p>
        </w:tc>
        <w:tc>
          <w:tcPr>
            <w:tcW w:w="1840" w:type="dxa"/>
            <w:vAlign w:val="bottom"/>
            <w:tcBorders>
              <w:bottom w:val="single" w:sz="8" w:color="8797B7"/>
            </w:tcBorders>
          </w:tcPr>
          <w:p>
            <w:pPr>
              <w:spacing w:after="0"/>
              <w:rPr>
                <w:sz w:val="4"/>
                <w:szCs w:val="4"/>
                <w:color w:val="auto"/>
              </w:rPr>
            </w:pPr>
          </w:p>
        </w:tc>
        <w:tc>
          <w:tcPr>
            <w:tcW w:w="1860" w:type="dxa"/>
            <w:vAlign w:val="bottom"/>
            <w:tcBorders>
              <w:bottom w:val="single" w:sz="8" w:color="8797B7"/>
            </w:tcBorders>
          </w:tcPr>
          <w:p>
            <w:pPr>
              <w:spacing w:after="0"/>
              <w:rPr>
                <w:sz w:val="4"/>
                <w:szCs w:val="4"/>
                <w:color w:val="auto"/>
              </w:rPr>
            </w:pPr>
          </w:p>
        </w:tc>
        <w:tc>
          <w:tcPr>
            <w:tcW w:w="1840" w:type="dxa"/>
            <w:vAlign w:val="bottom"/>
            <w:tcBorders>
              <w:bottom w:val="single" w:sz="8" w:color="8797B7"/>
            </w:tcBorders>
          </w:tcPr>
          <w:p>
            <w:pPr>
              <w:spacing w:after="0"/>
              <w:rPr>
                <w:sz w:val="4"/>
                <w:szCs w:val="4"/>
                <w:color w:val="auto"/>
              </w:rPr>
            </w:pPr>
          </w:p>
        </w:tc>
        <w:tc>
          <w:tcPr>
            <w:tcW w:w="2040" w:type="dxa"/>
            <w:vAlign w:val="bottom"/>
            <w:tcBorders>
              <w:bottom w:val="single" w:sz="8" w:color="8797B7"/>
            </w:tcBorders>
          </w:tcPr>
          <w:p>
            <w:pPr>
              <w:spacing w:after="0"/>
              <w:rPr>
                <w:sz w:val="4"/>
                <w:szCs w:val="4"/>
                <w:color w:val="auto"/>
              </w:rPr>
            </w:pPr>
          </w:p>
        </w:tc>
        <w:tc>
          <w:tcPr>
            <w:tcW w:w="2020" w:type="dxa"/>
            <w:vAlign w:val="bottom"/>
            <w:tcBorders>
              <w:bottom w:val="single" w:sz="8" w:color="8797B7"/>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640" w:type="dxa"/>
            <w:vAlign w:val="bottom"/>
          </w:tcPr>
          <w:p>
            <w:pPr>
              <w:ind w:left="180"/>
              <w:spacing w:after="0"/>
              <w:rPr>
                <w:sz w:val="20"/>
                <w:szCs w:val="20"/>
                <w:color w:val="auto"/>
              </w:rPr>
            </w:pPr>
            <w:r>
              <w:rPr>
                <w:rFonts w:ascii="Arial" w:cs="Arial" w:eastAsia="Arial" w:hAnsi="Arial"/>
                <w:sz w:val="13"/>
                <w:szCs w:val="13"/>
                <w:b w:val="1"/>
                <w:bCs w:val="1"/>
                <w:color w:val="auto"/>
              </w:rPr>
              <w:t>Deferred</w:t>
            </w:r>
          </w:p>
        </w:tc>
        <w:tc>
          <w:tcPr>
            <w:tcW w:w="1840" w:type="dxa"/>
            <w:vAlign w:val="bottom"/>
            <w:vMerge w:val="restart"/>
          </w:tcPr>
          <w:p>
            <w:pPr>
              <w:jc w:val="right"/>
              <w:ind w:right="593"/>
              <w:spacing w:after="0"/>
              <w:rPr>
                <w:sz w:val="20"/>
                <w:szCs w:val="20"/>
                <w:color w:val="auto"/>
              </w:rPr>
            </w:pPr>
            <w:r>
              <w:rPr>
                <w:rFonts w:ascii="Arial" w:cs="Arial" w:eastAsia="Arial" w:hAnsi="Arial"/>
                <w:sz w:val="13"/>
                <w:szCs w:val="13"/>
                <w:color w:val="auto"/>
              </w:rPr>
              <w:t>$750,000</w:t>
            </w:r>
          </w:p>
        </w:tc>
        <w:tc>
          <w:tcPr>
            <w:tcW w:w="1860" w:type="dxa"/>
            <w:vAlign w:val="bottom"/>
            <w:vMerge w:val="restart"/>
          </w:tcPr>
          <w:p>
            <w:pPr>
              <w:jc w:val="right"/>
              <w:ind w:right="593"/>
              <w:spacing w:after="0"/>
              <w:rPr>
                <w:sz w:val="20"/>
                <w:szCs w:val="20"/>
                <w:color w:val="auto"/>
              </w:rPr>
            </w:pPr>
            <w:r>
              <w:rPr>
                <w:rFonts w:ascii="Arial" w:cs="Arial" w:eastAsia="Arial" w:hAnsi="Arial"/>
                <w:sz w:val="13"/>
                <w:szCs w:val="13"/>
                <w:color w:val="auto"/>
              </w:rPr>
              <w:t>$750,000</w:t>
            </w:r>
          </w:p>
        </w:tc>
        <w:tc>
          <w:tcPr>
            <w:tcW w:w="1840" w:type="dxa"/>
            <w:vAlign w:val="bottom"/>
            <w:vMerge w:val="restart"/>
          </w:tcPr>
          <w:p>
            <w:pPr>
              <w:jc w:val="right"/>
              <w:ind w:right="573"/>
              <w:spacing w:after="0"/>
              <w:rPr>
                <w:sz w:val="20"/>
                <w:szCs w:val="20"/>
                <w:color w:val="auto"/>
              </w:rPr>
            </w:pPr>
            <w:r>
              <w:rPr>
                <w:rFonts w:ascii="Arial" w:cs="Arial" w:eastAsia="Arial" w:hAnsi="Arial"/>
                <w:sz w:val="13"/>
                <w:szCs w:val="13"/>
                <w:color w:val="auto"/>
              </w:rPr>
              <w:t>$750,000</w:t>
            </w:r>
          </w:p>
        </w:tc>
        <w:tc>
          <w:tcPr>
            <w:tcW w:w="2040" w:type="dxa"/>
            <w:vAlign w:val="bottom"/>
            <w:vMerge w:val="restart"/>
          </w:tcPr>
          <w:p>
            <w:pPr>
              <w:jc w:val="center"/>
              <w:spacing w:after="0"/>
              <w:rPr>
                <w:sz w:val="20"/>
                <w:szCs w:val="20"/>
                <w:color w:val="auto"/>
              </w:rPr>
            </w:pPr>
            <w:r>
              <w:rPr>
                <w:rFonts w:ascii="Arial" w:cs="Arial" w:eastAsia="Arial" w:hAnsi="Arial"/>
                <w:sz w:val="13"/>
                <w:szCs w:val="13"/>
                <w:color w:val="auto"/>
              </w:rPr>
              <w:t>Eliminated</w:t>
            </w:r>
          </w:p>
        </w:tc>
        <w:tc>
          <w:tcPr>
            <w:tcW w:w="2020" w:type="dxa"/>
            <w:vAlign w:val="bottom"/>
            <w:vMerge w:val="restart"/>
          </w:tcPr>
          <w:p>
            <w:pPr>
              <w:jc w:val="center"/>
              <w:spacing w:after="0"/>
              <w:rPr>
                <w:sz w:val="20"/>
                <w:szCs w:val="20"/>
                <w:color w:val="auto"/>
              </w:rPr>
            </w:pPr>
            <w:r>
              <w:rPr>
                <w:rFonts w:ascii="Arial" w:cs="Arial" w:eastAsia="Arial" w:hAnsi="Arial"/>
                <w:sz w:val="13"/>
                <w:szCs w:val="13"/>
                <w:color w:val="auto"/>
              </w:rPr>
              <w:t>Eliminated</w:t>
            </w:r>
          </w:p>
        </w:tc>
        <w:tc>
          <w:tcPr>
            <w:tcW w:w="0" w:type="dxa"/>
            <w:vAlign w:val="bottom"/>
          </w:tcPr>
          <w:p>
            <w:pPr>
              <w:spacing w:after="0"/>
              <w:rPr>
                <w:sz w:val="1"/>
                <w:szCs w:val="1"/>
                <w:color w:val="auto"/>
              </w:rPr>
            </w:pPr>
          </w:p>
        </w:tc>
      </w:tr>
      <w:tr>
        <w:trPr>
          <w:trHeight w:val="97"/>
        </w:trPr>
        <w:tc>
          <w:tcPr>
            <w:tcW w:w="16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Compensation</w:t>
            </w:r>
          </w:p>
        </w:tc>
        <w:tc>
          <w:tcPr>
            <w:tcW w:w="184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2040" w:type="dxa"/>
            <w:vAlign w:val="bottom"/>
            <w:vMerge w:val="continue"/>
          </w:tcPr>
          <w:p>
            <w:pPr>
              <w:spacing w:after="0"/>
              <w:rPr>
                <w:sz w:val="8"/>
                <w:szCs w:val="8"/>
                <w:color w:val="auto"/>
              </w:rPr>
            </w:pP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64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640" w:type="dxa"/>
            <w:vAlign w:val="bottom"/>
            <w:tcBorders>
              <w:bottom w:val="single" w:sz="8" w:color="8797B7"/>
            </w:tcBorders>
          </w:tcPr>
          <w:p>
            <w:pPr>
              <w:spacing w:after="0"/>
              <w:rPr>
                <w:sz w:val="4"/>
                <w:szCs w:val="4"/>
                <w:color w:val="auto"/>
              </w:rPr>
            </w:pPr>
          </w:p>
        </w:tc>
        <w:tc>
          <w:tcPr>
            <w:tcW w:w="3700" w:type="dxa"/>
            <w:vAlign w:val="bottom"/>
            <w:tcBorders>
              <w:bottom w:val="single" w:sz="8" w:color="8797B7"/>
            </w:tcBorders>
            <w:gridSpan w:val="2"/>
          </w:tcPr>
          <w:p>
            <w:pPr>
              <w:spacing w:after="0"/>
              <w:rPr>
                <w:sz w:val="4"/>
                <w:szCs w:val="4"/>
                <w:color w:val="auto"/>
              </w:rPr>
            </w:pPr>
          </w:p>
        </w:tc>
        <w:tc>
          <w:tcPr>
            <w:tcW w:w="1840" w:type="dxa"/>
            <w:vAlign w:val="bottom"/>
            <w:tcBorders>
              <w:bottom w:val="single" w:sz="8" w:color="8797B7"/>
            </w:tcBorders>
          </w:tcPr>
          <w:p>
            <w:pPr>
              <w:spacing w:after="0"/>
              <w:rPr>
                <w:sz w:val="4"/>
                <w:szCs w:val="4"/>
                <w:color w:val="auto"/>
              </w:rPr>
            </w:pPr>
          </w:p>
        </w:tc>
        <w:tc>
          <w:tcPr>
            <w:tcW w:w="2040" w:type="dxa"/>
            <w:vAlign w:val="bottom"/>
            <w:tcBorders>
              <w:bottom w:val="single" w:sz="8" w:color="8797B7"/>
            </w:tcBorders>
          </w:tcPr>
          <w:p>
            <w:pPr>
              <w:spacing w:after="0"/>
              <w:rPr>
                <w:sz w:val="4"/>
                <w:szCs w:val="4"/>
                <w:color w:val="auto"/>
              </w:rPr>
            </w:pPr>
          </w:p>
        </w:tc>
        <w:tc>
          <w:tcPr>
            <w:tcW w:w="2020" w:type="dxa"/>
            <w:vAlign w:val="bottom"/>
            <w:tcBorders>
              <w:bottom w:val="single" w:sz="8" w:color="8797B7"/>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640" w:type="dxa"/>
            <w:vAlign w:val="bottom"/>
          </w:tcPr>
          <w:p>
            <w:pPr>
              <w:ind w:left="180"/>
              <w:spacing w:after="0"/>
              <w:rPr>
                <w:sz w:val="20"/>
                <w:szCs w:val="20"/>
                <w:color w:val="auto"/>
              </w:rPr>
            </w:pPr>
            <w:r>
              <w:rPr>
                <w:rFonts w:ascii="Arial" w:cs="Arial" w:eastAsia="Arial" w:hAnsi="Arial"/>
                <w:sz w:val="13"/>
                <w:szCs w:val="13"/>
                <w:b w:val="1"/>
                <w:bCs w:val="1"/>
                <w:color w:val="auto"/>
              </w:rPr>
              <w:t>Outperformance</w:t>
            </w:r>
          </w:p>
        </w:tc>
        <w:tc>
          <w:tcPr>
            <w:tcW w:w="3700" w:type="dxa"/>
            <w:vAlign w:val="bottom"/>
            <w:gridSpan w:val="2"/>
          </w:tcPr>
          <w:p>
            <w:pPr>
              <w:jc w:val="center"/>
              <w:spacing w:after="0"/>
              <w:rPr>
                <w:sz w:val="20"/>
                <w:szCs w:val="20"/>
                <w:color w:val="auto"/>
              </w:rPr>
            </w:pPr>
            <w:r>
              <w:rPr>
                <w:rFonts w:ascii="Arial" w:cs="Arial" w:eastAsia="Arial" w:hAnsi="Arial"/>
                <w:sz w:val="13"/>
                <w:szCs w:val="13"/>
                <w:color w:val="auto"/>
              </w:rPr>
              <w:t>Awards for three-year performance period ending August</w:t>
            </w:r>
          </w:p>
        </w:tc>
        <w:tc>
          <w:tcPr>
            <w:tcW w:w="184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Arial" w:cs="Arial" w:eastAsia="Arial" w:hAnsi="Arial"/>
                <w:sz w:val="13"/>
                <w:szCs w:val="13"/>
                <w:color w:val="auto"/>
              </w:rPr>
              <w:t>Eliminated</w:t>
            </w:r>
          </w:p>
        </w:tc>
        <w:tc>
          <w:tcPr>
            <w:tcW w:w="2020" w:type="dxa"/>
            <w:vAlign w:val="bottom"/>
            <w:vMerge w:val="restart"/>
          </w:tcPr>
          <w:p>
            <w:pPr>
              <w:jc w:val="center"/>
              <w:spacing w:after="0"/>
              <w:rPr>
                <w:sz w:val="20"/>
                <w:szCs w:val="20"/>
                <w:color w:val="auto"/>
              </w:rPr>
            </w:pPr>
            <w:r>
              <w:rPr>
                <w:rFonts w:ascii="Arial" w:cs="Arial" w:eastAsia="Arial" w:hAnsi="Arial"/>
                <w:sz w:val="13"/>
                <w:szCs w:val="13"/>
                <w:color w:val="auto"/>
              </w:rPr>
              <w:t>Eliminated</w:t>
            </w:r>
          </w:p>
        </w:tc>
        <w:tc>
          <w:tcPr>
            <w:tcW w:w="0" w:type="dxa"/>
            <w:vAlign w:val="bottom"/>
          </w:tcPr>
          <w:p>
            <w:pPr>
              <w:spacing w:after="0"/>
              <w:rPr>
                <w:sz w:val="1"/>
                <w:szCs w:val="1"/>
                <w:color w:val="auto"/>
              </w:rPr>
            </w:pPr>
          </w:p>
        </w:tc>
      </w:tr>
      <w:tr>
        <w:trPr>
          <w:trHeight w:val="97"/>
        </w:trPr>
        <w:tc>
          <w:tcPr>
            <w:tcW w:w="16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Plan</w:t>
            </w:r>
          </w:p>
        </w:tc>
        <w:tc>
          <w:tcPr>
            <w:tcW w:w="3700" w:type="dxa"/>
            <w:vAlign w:val="bottom"/>
            <w:gridSpan w:val="2"/>
            <w:vMerge w:val="restart"/>
          </w:tcPr>
          <w:p>
            <w:pPr>
              <w:jc w:val="center"/>
              <w:spacing w:after="0"/>
              <w:rPr>
                <w:sz w:val="20"/>
                <w:szCs w:val="20"/>
                <w:color w:val="auto"/>
              </w:rPr>
            </w:pPr>
            <w:r>
              <w:rPr>
                <w:rFonts w:ascii="Arial" w:cs="Arial" w:eastAsia="Arial" w:hAnsi="Arial"/>
                <w:sz w:val="13"/>
                <w:szCs w:val="13"/>
                <w:color w:val="auto"/>
              </w:rPr>
              <w:t>31, 2017 expired unearned</w:t>
            </w:r>
          </w:p>
        </w:tc>
        <w:tc>
          <w:tcPr>
            <w:tcW w:w="184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640" w:type="dxa"/>
            <w:vAlign w:val="bottom"/>
            <w:vMerge w:val="continue"/>
          </w:tcPr>
          <w:p>
            <w:pPr>
              <w:spacing w:after="0"/>
              <w:rPr>
                <w:sz w:val="7"/>
                <w:szCs w:val="7"/>
                <w:color w:val="auto"/>
              </w:rPr>
            </w:pPr>
          </w:p>
        </w:tc>
        <w:tc>
          <w:tcPr>
            <w:tcW w:w="3700" w:type="dxa"/>
            <w:vAlign w:val="bottom"/>
            <w:gridSpan w:val="2"/>
            <w:vMerge w:val="continue"/>
          </w:tcPr>
          <w:p>
            <w:pPr>
              <w:spacing w:after="0"/>
              <w:rPr>
                <w:sz w:val="7"/>
                <w:szCs w:val="7"/>
                <w:color w:val="auto"/>
              </w:rPr>
            </w:pPr>
          </w:p>
        </w:tc>
        <w:tc>
          <w:tcPr>
            <w:tcW w:w="18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640" w:type="dxa"/>
            <w:vAlign w:val="bottom"/>
            <w:tcBorders>
              <w:bottom w:val="single" w:sz="8" w:color="8797B7"/>
            </w:tcBorders>
          </w:tcPr>
          <w:p>
            <w:pPr>
              <w:spacing w:after="0"/>
              <w:rPr>
                <w:sz w:val="4"/>
                <w:szCs w:val="4"/>
                <w:color w:val="auto"/>
              </w:rPr>
            </w:pPr>
          </w:p>
        </w:tc>
        <w:tc>
          <w:tcPr>
            <w:tcW w:w="1840" w:type="dxa"/>
            <w:vAlign w:val="bottom"/>
            <w:tcBorders>
              <w:bottom w:val="single" w:sz="8" w:color="8797B7"/>
            </w:tcBorders>
          </w:tcPr>
          <w:p>
            <w:pPr>
              <w:spacing w:after="0"/>
              <w:rPr>
                <w:sz w:val="4"/>
                <w:szCs w:val="4"/>
                <w:color w:val="auto"/>
              </w:rPr>
            </w:pPr>
          </w:p>
        </w:tc>
        <w:tc>
          <w:tcPr>
            <w:tcW w:w="1860" w:type="dxa"/>
            <w:vAlign w:val="bottom"/>
            <w:tcBorders>
              <w:bottom w:val="single" w:sz="8" w:color="8797B7"/>
            </w:tcBorders>
          </w:tcPr>
          <w:p>
            <w:pPr>
              <w:spacing w:after="0"/>
              <w:rPr>
                <w:sz w:val="4"/>
                <w:szCs w:val="4"/>
                <w:color w:val="auto"/>
              </w:rPr>
            </w:pPr>
          </w:p>
        </w:tc>
        <w:tc>
          <w:tcPr>
            <w:tcW w:w="1840" w:type="dxa"/>
            <w:vAlign w:val="bottom"/>
            <w:tcBorders>
              <w:bottom w:val="single" w:sz="8" w:color="8797B7"/>
            </w:tcBorders>
          </w:tcPr>
          <w:p>
            <w:pPr>
              <w:spacing w:after="0"/>
              <w:rPr>
                <w:sz w:val="4"/>
                <w:szCs w:val="4"/>
                <w:color w:val="auto"/>
              </w:rPr>
            </w:pPr>
          </w:p>
        </w:tc>
        <w:tc>
          <w:tcPr>
            <w:tcW w:w="2040" w:type="dxa"/>
            <w:vAlign w:val="bottom"/>
            <w:tcBorders>
              <w:bottom w:val="single" w:sz="8" w:color="8797B7"/>
            </w:tcBorders>
          </w:tcPr>
          <w:p>
            <w:pPr>
              <w:spacing w:after="0"/>
              <w:rPr>
                <w:sz w:val="4"/>
                <w:szCs w:val="4"/>
                <w:color w:val="auto"/>
              </w:rPr>
            </w:pPr>
          </w:p>
        </w:tc>
        <w:tc>
          <w:tcPr>
            <w:tcW w:w="2020" w:type="dxa"/>
            <w:vAlign w:val="bottom"/>
            <w:tcBorders>
              <w:bottom w:val="single" w:sz="8" w:color="8797B7"/>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640" w:type="dxa"/>
            <w:vAlign w:val="bottom"/>
          </w:tcPr>
          <w:p>
            <w:pPr>
              <w:ind w:left="180"/>
              <w:spacing w:after="0"/>
              <w:rPr>
                <w:sz w:val="20"/>
                <w:szCs w:val="20"/>
                <w:color w:val="auto"/>
              </w:rPr>
            </w:pPr>
            <w:r>
              <w:rPr>
                <w:rFonts w:ascii="Arial" w:cs="Arial" w:eastAsia="Arial" w:hAnsi="Arial"/>
                <w:sz w:val="13"/>
                <w:szCs w:val="13"/>
                <w:b w:val="1"/>
                <w:bCs w:val="1"/>
                <w:color w:val="auto"/>
              </w:rPr>
              <w:t>Class O LTIP units</w:t>
            </w:r>
          </w:p>
        </w:tc>
        <w:tc>
          <w:tcPr>
            <w:tcW w:w="1840" w:type="dxa"/>
            <w:vAlign w:val="bottom"/>
          </w:tcPr>
          <w:p>
            <w:pPr>
              <w:jc w:val="center"/>
              <w:spacing w:after="0"/>
              <w:rPr>
                <w:sz w:val="20"/>
                <w:szCs w:val="20"/>
                <w:color w:val="auto"/>
              </w:rPr>
            </w:pPr>
            <w:r>
              <w:rPr>
                <w:rFonts w:ascii="Arial" w:cs="Arial" w:eastAsia="Arial" w:hAnsi="Arial"/>
                <w:sz w:val="13"/>
                <w:szCs w:val="13"/>
                <w:color w:val="auto"/>
              </w:rPr>
              <w:t>105,000 units</w:t>
            </w:r>
          </w:p>
        </w:tc>
        <w:tc>
          <w:tcPr>
            <w:tcW w:w="1860" w:type="dxa"/>
            <w:vAlign w:val="bottom"/>
          </w:tcPr>
          <w:p>
            <w:pPr>
              <w:jc w:val="center"/>
              <w:spacing w:after="0"/>
              <w:rPr>
                <w:sz w:val="20"/>
                <w:szCs w:val="20"/>
                <w:color w:val="auto"/>
              </w:rPr>
            </w:pPr>
            <w:r>
              <w:rPr>
                <w:rFonts w:ascii="Arial" w:cs="Arial" w:eastAsia="Arial" w:hAnsi="Arial"/>
                <w:sz w:val="13"/>
                <w:szCs w:val="13"/>
                <w:color w:val="auto"/>
              </w:rPr>
              <w:t>105,000 units</w:t>
            </w:r>
          </w:p>
        </w:tc>
        <w:tc>
          <w:tcPr>
            <w:tcW w:w="1840" w:type="dxa"/>
            <w:vAlign w:val="bottom"/>
          </w:tcPr>
          <w:p>
            <w:pPr>
              <w:jc w:val="center"/>
              <w:spacing w:after="0"/>
              <w:rPr>
                <w:sz w:val="20"/>
                <w:szCs w:val="20"/>
                <w:color w:val="auto"/>
              </w:rPr>
            </w:pPr>
            <w:r>
              <w:rPr>
                <w:rFonts w:ascii="Arial" w:cs="Arial" w:eastAsia="Arial" w:hAnsi="Arial"/>
                <w:sz w:val="13"/>
                <w:szCs w:val="13"/>
                <w:color w:val="auto"/>
              </w:rPr>
              <w:t>Eliminated</w:t>
            </w:r>
          </w:p>
        </w:tc>
        <w:tc>
          <w:tcPr>
            <w:tcW w:w="2040" w:type="dxa"/>
            <w:vAlign w:val="bottom"/>
          </w:tcPr>
          <w:p>
            <w:pPr>
              <w:jc w:val="center"/>
              <w:spacing w:after="0"/>
              <w:rPr>
                <w:sz w:val="20"/>
                <w:szCs w:val="20"/>
                <w:color w:val="auto"/>
              </w:rPr>
            </w:pPr>
            <w:r>
              <w:rPr>
                <w:rFonts w:ascii="Arial" w:cs="Arial" w:eastAsia="Arial" w:hAnsi="Arial"/>
                <w:sz w:val="13"/>
                <w:szCs w:val="13"/>
                <w:color w:val="auto"/>
              </w:rPr>
              <w:t>Eliminated</w:t>
            </w:r>
          </w:p>
        </w:tc>
        <w:tc>
          <w:tcPr>
            <w:tcW w:w="2020" w:type="dxa"/>
            <w:vAlign w:val="bottom"/>
          </w:tcPr>
          <w:p>
            <w:pPr>
              <w:jc w:val="center"/>
              <w:spacing w:after="0"/>
              <w:rPr>
                <w:sz w:val="20"/>
                <w:szCs w:val="20"/>
                <w:color w:val="auto"/>
              </w:rPr>
            </w:pPr>
            <w:r>
              <w:rPr>
                <w:rFonts w:ascii="Arial" w:cs="Arial" w:eastAsia="Arial" w:hAnsi="Arial"/>
                <w:sz w:val="13"/>
                <w:szCs w:val="13"/>
                <w:color w:val="auto"/>
              </w:rPr>
              <w:t>Eliminated</w:t>
            </w:r>
          </w:p>
        </w:tc>
        <w:tc>
          <w:tcPr>
            <w:tcW w:w="0" w:type="dxa"/>
            <w:vAlign w:val="bottom"/>
          </w:tcPr>
          <w:p>
            <w:pPr>
              <w:spacing w:after="0"/>
              <w:rPr>
                <w:sz w:val="1"/>
                <w:szCs w:val="1"/>
                <w:color w:val="auto"/>
              </w:rPr>
            </w:pPr>
          </w:p>
        </w:tc>
      </w:tr>
      <w:tr>
        <w:trPr>
          <w:trHeight w:val="54"/>
        </w:trPr>
        <w:tc>
          <w:tcPr>
            <w:tcW w:w="1640" w:type="dxa"/>
            <w:vAlign w:val="bottom"/>
            <w:tcBorders>
              <w:bottom w:val="single" w:sz="8" w:color="8797B7"/>
            </w:tcBorders>
          </w:tcPr>
          <w:p>
            <w:pPr>
              <w:spacing w:after="0"/>
              <w:rPr>
                <w:sz w:val="4"/>
                <w:szCs w:val="4"/>
                <w:color w:val="auto"/>
              </w:rPr>
            </w:pPr>
          </w:p>
        </w:tc>
        <w:tc>
          <w:tcPr>
            <w:tcW w:w="1840" w:type="dxa"/>
            <w:vAlign w:val="bottom"/>
            <w:tcBorders>
              <w:bottom w:val="single" w:sz="8" w:color="8797B7"/>
            </w:tcBorders>
          </w:tcPr>
          <w:p>
            <w:pPr>
              <w:spacing w:after="0"/>
              <w:rPr>
                <w:sz w:val="4"/>
                <w:szCs w:val="4"/>
                <w:color w:val="auto"/>
              </w:rPr>
            </w:pPr>
          </w:p>
        </w:tc>
        <w:tc>
          <w:tcPr>
            <w:tcW w:w="1860" w:type="dxa"/>
            <w:vAlign w:val="bottom"/>
            <w:tcBorders>
              <w:bottom w:val="single" w:sz="8" w:color="8797B7"/>
            </w:tcBorders>
          </w:tcPr>
          <w:p>
            <w:pPr>
              <w:spacing w:after="0"/>
              <w:rPr>
                <w:sz w:val="4"/>
                <w:szCs w:val="4"/>
                <w:color w:val="auto"/>
              </w:rPr>
            </w:pPr>
          </w:p>
        </w:tc>
        <w:tc>
          <w:tcPr>
            <w:tcW w:w="1840" w:type="dxa"/>
            <w:vAlign w:val="bottom"/>
            <w:tcBorders>
              <w:bottom w:val="single" w:sz="8" w:color="8797B7"/>
            </w:tcBorders>
          </w:tcPr>
          <w:p>
            <w:pPr>
              <w:spacing w:after="0"/>
              <w:rPr>
                <w:sz w:val="4"/>
                <w:szCs w:val="4"/>
                <w:color w:val="auto"/>
              </w:rPr>
            </w:pPr>
          </w:p>
        </w:tc>
        <w:tc>
          <w:tcPr>
            <w:tcW w:w="2040" w:type="dxa"/>
            <w:vAlign w:val="bottom"/>
            <w:tcBorders>
              <w:bottom w:val="single" w:sz="8" w:color="8797B7"/>
            </w:tcBorders>
          </w:tcPr>
          <w:p>
            <w:pPr>
              <w:spacing w:after="0"/>
              <w:rPr>
                <w:sz w:val="4"/>
                <w:szCs w:val="4"/>
                <w:color w:val="auto"/>
              </w:rPr>
            </w:pPr>
          </w:p>
        </w:tc>
        <w:tc>
          <w:tcPr>
            <w:tcW w:w="2020" w:type="dxa"/>
            <w:vAlign w:val="bottom"/>
            <w:tcBorders>
              <w:bottom w:val="single" w:sz="8" w:color="8797B7"/>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840" w:type="dxa"/>
            <w:vAlign w:val="bottom"/>
            <w:tcBorders>
              <w:right w:val="single" w:sz="8" w:color="8797B7"/>
            </w:tcBorders>
          </w:tcPr>
          <w:p>
            <w:pPr>
              <w:spacing w:after="0"/>
              <w:rPr>
                <w:sz w:val="14"/>
                <w:szCs w:val="14"/>
                <w:color w:val="auto"/>
              </w:rPr>
            </w:pPr>
          </w:p>
        </w:tc>
        <w:tc>
          <w:tcPr>
            <w:tcW w:w="1860" w:type="dxa"/>
            <w:vAlign w:val="bottom"/>
            <w:tcBorders>
              <w:right w:val="single" w:sz="8" w:color="8797B7"/>
            </w:tcBorders>
            <w:shd w:val="clear" w:color="auto" w:fill="EBEDF3"/>
          </w:tcPr>
          <w:p>
            <w:pPr>
              <w:jc w:val="center"/>
              <w:spacing w:after="0"/>
              <w:rPr>
                <w:sz w:val="20"/>
                <w:szCs w:val="20"/>
                <w:color w:val="auto"/>
              </w:rPr>
            </w:pPr>
            <w:r>
              <w:rPr>
                <w:rFonts w:ascii="Arial" w:cs="Arial" w:eastAsia="Arial" w:hAnsi="Arial"/>
                <w:sz w:val="13"/>
                <w:szCs w:val="13"/>
                <w:color w:val="auto"/>
              </w:rPr>
              <w:t>76,980 units valued at $6.9</w:t>
            </w: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840" w:type="dxa"/>
            <w:vAlign w:val="bottom"/>
            <w:tcBorders>
              <w:right w:val="single" w:sz="8" w:color="8797B7"/>
            </w:tcBorders>
          </w:tcPr>
          <w:p>
            <w:pPr>
              <w:spacing w:after="0"/>
              <w:rPr>
                <w:sz w:val="14"/>
                <w:szCs w:val="14"/>
                <w:color w:val="auto"/>
              </w:rPr>
            </w:pPr>
          </w:p>
        </w:tc>
        <w:tc>
          <w:tcPr>
            <w:tcW w:w="1860" w:type="dxa"/>
            <w:vAlign w:val="bottom"/>
            <w:tcBorders>
              <w:right w:val="single" w:sz="8" w:color="8797B7"/>
            </w:tcBorders>
            <w:shd w:val="clear" w:color="auto" w:fill="EBEDF3"/>
          </w:tcPr>
          <w:p>
            <w:pPr>
              <w:jc w:val="center"/>
              <w:spacing w:after="0"/>
              <w:rPr>
                <w:sz w:val="20"/>
                <w:szCs w:val="20"/>
                <w:color w:val="auto"/>
              </w:rPr>
            </w:pPr>
            <w:r>
              <w:rPr>
                <w:rFonts w:ascii="Arial" w:cs="Arial" w:eastAsia="Arial" w:hAnsi="Arial"/>
                <w:sz w:val="13"/>
                <w:szCs w:val="13"/>
                <w:color w:val="auto"/>
              </w:rPr>
              <w:t>million</w:t>
            </w: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640" w:type="dxa"/>
            <w:vAlign w:val="bottom"/>
          </w:tcPr>
          <w:p>
            <w:pPr>
              <w:spacing w:after="0"/>
              <w:rPr>
                <w:sz w:val="3"/>
                <w:szCs w:val="3"/>
                <w:color w:val="auto"/>
              </w:rPr>
            </w:pPr>
          </w:p>
        </w:tc>
        <w:tc>
          <w:tcPr>
            <w:tcW w:w="1840" w:type="dxa"/>
            <w:vAlign w:val="bottom"/>
            <w:tcBorders>
              <w:bottom w:val="single" w:sz="8" w:color="8797B7"/>
              <w:right w:val="single" w:sz="8" w:color="8797B7"/>
            </w:tcBorders>
          </w:tcPr>
          <w:p>
            <w:pPr>
              <w:spacing w:after="0"/>
              <w:rPr>
                <w:sz w:val="3"/>
                <w:szCs w:val="3"/>
                <w:color w:val="auto"/>
              </w:rPr>
            </w:pPr>
          </w:p>
        </w:tc>
        <w:tc>
          <w:tcPr>
            <w:tcW w:w="1860" w:type="dxa"/>
            <w:vAlign w:val="bottom"/>
            <w:tcBorders>
              <w:bottom w:val="single" w:sz="8" w:color="EBEDF3"/>
              <w:right w:val="single" w:sz="8" w:color="8797B7"/>
            </w:tcBorders>
            <w:shd w:val="clear" w:color="auto" w:fill="EBEDF3"/>
          </w:tcPr>
          <w:p>
            <w:pPr>
              <w:spacing w:after="0"/>
              <w:rPr>
                <w:sz w:val="3"/>
                <w:szCs w:val="3"/>
                <w:color w:val="auto"/>
              </w:rPr>
            </w:pPr>
          </w:p>
        </w:tc>
        <w:tc>
          <w:tcPr>
            <w:tcW w:w="1840" w:type="dxa"/>
            <w:vAlign w:val="bottom"/>
            <w:tcBorders>
              <w:bottom w:val="single" w:sz="8" w:color="8797B7"/>
            </w:tcBorders>
          </w:tcPr>
          <w:p>
            <w:pPr>
              <w:spacing w:after="0"/>
              <w:rPr>
                <w:sz w:val="3"/>
                <w:szCs w:val="3"/>
                <w:color w:val="auto"/>
              </w:rPr>
            </w:pPr>
          </w:p>
        </w:tc>
        <w:tc>
          <w:tcPr>
            <w:tcW w:w="20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1640" w:type="dxa"/>
            <w:vAlign w:val="bottom"/>
            <w:tcBorders>
              <w:right w:val="single" w:sz="8" w:color="8797B7"/>
            </w:tcBorders>
            <w:vMerge w:val="restart"/>
          </w:tcPr>
          <w:p>
            <w:pPr>
              <w:ind w:left="180"/>
              <w:spacing w:after="0"/>
              <w:rPr>
                <w:sz w:val="20"/>
                <w:szCs w:val="20"/>
                <w:color w:val="auto"/>
              </w:rPr>
            </w:pPr>
            <w:r>
              <w:rPr>
                <w:rFonts w:ascii="Arial" w:cs="Arial" w:eastAsia="Arial" w:hAnsi="Arial"/>
                <w:sz w:val="13"/>
                <w:szCs w:val="13"/>
                <w:b w:val="1"/>
                <w:bCs w:val="1"/>
                <w:color w:val="auto"/>
              </w:rPr>
              <w:t>Contract</w:t>
            </w:r>
          </w:p>
        </w:tc>
        <w:tc>
          <w:tcPr>
            <w:tcW w:w="3700" w:type="dxa"/>
            <w:vAlign w:val="bottom"/>
            <w:tcBorders>
              <w:right w:val="single" w:sz="8" w:color="8797B7"/>
            </w:tcBorders>
            <w:gridSpan w:val="2"/>
            <w:shd w:val="clear" w:color="auto" w:fill="EBEDF3"/>
          </w:tcPr>
          <w:p>
            <w:pPr>
              <w:ind w:left="80"/>
              <w:spacing w:after="0"/>
              <w:rPr>
                <w:sz w:val="20"/>
                <w:szCs w:val="20"/>
                <w:color w:val="auto"/>
              </w:rPr>
            </w:pPr>
            <w:r>
              <w:rPr>
                <w:rFonts w:ascii="Arial" w:cs="Arial" w:eastAsia="Arial" w:hAnsi="Arial"/>
                <w:sz w:val="13"/>
                <w:szCs w:val="13"/>
                <w:color w:val="auto"/>
              </w:rPr>
              <w:t>Granted 2017 based on 2016 Company performance</w:t>
            </w:r>
          </w:p>
        </w:tc>
        <w:tc>
          <w:tcPr>
            <w:tcW w:w="1840" w:type="dxa"/>
            <w:vAlign w:val="bottom"/>
            <w:tcBorders>
              <w:right w:val="single" w:sz="8" w:color="8797B7"/>
            </w:tcBorders>
            <w:shd w:val="clear" w:color="auto" w:fill="EBEDF3"/>
          </w:tcPr>
          <w:p>
            <w:pPr>
              <w:jc w:val="center"/>
              <w:spacing w:after="0"/>
              <w:rPr>
                <w:sz w:val="20"/>
                <w:szCs w:val="20"/>
                <w:color w:val="auto"/>
              </w:rPr>
            </w:pPr>
            <w:r>
              <w:rPr>
                <w:rFonts w:ascii="Arial" w:cs="Arial" w:eastAsia="Arial" w:hAnsi="Arial"/>
                <w:sz w:val="13"/>
                <w:szCs w:val="13"/>
                <w:color w:val="auto"/>
              </w:rPr>
              <w:t>61,584 units valued at $4.9</w:t>
            </w:r>
          </w:p>
        </w:tc>
        <w:tc>
          <w:tcPr>
            <w:tcW w:w="2040" w:type="dxa"/>
            <w:vAlign w:val="bottom"/>
            <w:vMerge w:val="restart"/>
          </w:tcPr>
          <w:p>
            <w:pPr>
              <w:jc w:val="center"/>
              <w:spacing w:after="0"/>
              <w:rPr>
                <w:sz w:val="20"/>
                <w:szCs w:val="20"/>
                <w:color w:val="auto"/>
              </w:rPr>
            </w:pPr>
            <w:r>
              <w:rPr>
                <w:rFonts w:ascii="Arial" w:cs="Arial" w:eastAsia="Arial" w:hAnsi="Arial"/>
                <w:sz w:val="13"/>
                <w:szCs w:val="13"/>
                <w:color w:val="auto"/>
              </w:rPr>
              <w:t>Eliminated for 2019 onward</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640" w:type="dxa"/>
            <w:vAlign w:val="bottom"/>
            <w:tcBorders>
              <w:right w:val="single" w:sz="8" w:color="8797B7"/>
            </w:tcBorders>
            <w:vMerge w:val="continue"/>
          </w:tcPr>
          <w:p>
            <w:pPr>
              <w:spacing w:after="0"/>
              <w:rPr>
                <w:sz w:val="7"/>
                <w:szCs w:val="7"/>
                <w:color w:val="auto"/>
              </w:rPr>
            </w:pPr>
          </w:p>
        </w:tc>
        <w:tc>
          <w:tcPr>
            <w:tcW w:w="1840" w:type="dxa"/>
            <w:vAlign w:val="bottom"/>
            <w:tcBorders>
              <w:right w:val="single" w:sz="8" w:color="EBEDF3"/>
            </w:tcBorders>
            <w:vMerge w:val="restart"/>
            <w:shd w:val="clear" w:color="auto" w:fill="EBEDF3"/>
          </w:tcPr>
          <w:p>
            <w:pPr>
              <w:ind w:left="80"/>
              <w:spacing w:after="0" w:line="123" w:lineRule="exact"/>
              <w:rPr>
                <w:sz w:val="20"/>
                <w:szCs w:val="20"/>
                <w:color w:val="auto"/>
              </w:rPr>
            </w:pPr>
            <w:r>
              <w:rPr>
                <w:rFonts w:ascii="Arial" w:cs="Arial" w:eastAsia="Arial" w:hAnsi="Arial"/>
                <w:sz w:val="13"/>
                <w:szCs w:val="13"/>
                <w:color w:val="auto"/>
              </w:rPr>
              <w:t>under 2016 agreement</w:t>
            </w:r>
          </w:p>
        </w:tc>
        <w:tc>
          <w:tcPr>
            <w:tcW w:w="1860" w:type="dxa"/>
            <w:vAlign w:val="bottom"/>
            <w:tcBorders>
              <w:right w:val="single" w:sz="8" w:color="8797B7"/>
            </w:tcBorders>
            <w:shd w:val="clear" w:color="auto" w:fill="EBEDF3"/>
          </w:tcPr>
          <w:p>
            <w:pPr>
              <w:spacing w:after="0"/>
              <w:rPr>
                <w:sz w:val="7"/>
                <w:szCs w:val="7"/>
                <w:color w:val="auto"/>
              </w:rPr>
            </w:pPr>
          </w:p>
        </w:tc>
        <w:tc>
          <w:tcPr>
            <w:tcW w:w="1840" w:type="dxa"/>
            <w:vAlign w:val="bottom"/>
            <w:tcBorders>
              <w:right w:val="single" w:sz="8" w:color="8797B7"/>
            </w:tcBorders>
            <w:vMerge w:val="restart"/>
            <w:shd w:val="clear" w:color="auto" w:fill="EBEDF3"/>
          </w:tcPr>
          <w:p>
            <w:pPr>
              <w:jc w:val="center"/>
              <w:spacing w:after="0" w:line="123" w:lineRule="exact"/>
              <w:rPr>
                <w:sz w:val="20"/>
                <w:szCs w:val="20"/>
                <w:color w:val="auto"/>
              </w:rPr>
            </w:pPr>
            <w:r>
              <w:rPr>
                <w:rFonts w:ascii="Arial" w:cs="Arial" w:eastAsia="Arial" w:hAnsi="Arial"/>
                <w:sz w:val="13"/>
                <w:szCs w:val="13"/>
                <w:color w:val="auto"/>
              </w:rPr>
              <w:t>million</w:t>
            </w:r>
          </w:p>
        </w:tc>
        <w:tc>
          <w:tcPr>
            <w:tcW w:w="2040" w:type="dxa"/>
            <w:vAlign w:val="bottom"/>
            <w:vMerge w:val="continue"/>
          </w:tcPr>
          <w:p>
            <w:pPr>
              <w:spacing w:after="0"/>
              <w:rPr>
                <w:sz w:val="7"/>
                <w:szCs w:val="7"/>
                <w:color w:val="auto"/>
              </w:rPr>
            </w:pPr>
          </w:p>
        </w:tc>
        <w:tc>
          <w:tcPr>
            <w:tcW w:w="2020" w:type="dxa"/>
            <w:vAlign w:val="bottom"/>
            <w:vMerge w:val="restart"/>
          </w:tcPr>
          <w:p>
            <w:pPr>
              <w:jc w:val="center"/>
              <w:spacing w:after="0"/>
              <w:rPr>
                <w:sz w:val="20"/>
                <w:szCs w:val="20"/>
                <w:color w:val="auto"/>
              </w:rPr>
            </w:pPr>
            <w:r>
              <w:rPr>
                <w:rFonts w:ascii="Arial" w:cs="Arial" w:eastAsia="Arial" w:hAnsi="Arial"/>
                <w:sz w:val="13"/>
                <w:szCs w:val="13"/>
                <w:color w:val="auto"/>
              </w:rPr>
              <w:t>Eliminated</w:t>
            </w:r>
          </w:p>
        </w:tc>
        <w:tc>
          <w:tcPr>
            <w:tcW w:w="0" w:type="dxa"/>
            <w:vAlign w:val="bottom"/>
          </w:tcPr>
          <w:p>
            <w:pPr>
              <w:spacing w:after="0"/>
              <w:rPr>
                <w:sz w:val="1"/>
                <w:szCs w:val="1"/>
                <w:color w:val="auto"/>
              </w:rPr>
            </w:pPr>
          </w:p>
        </w:tc>
      </w:tr>
      <w:tr>
        <w:trPr>
          <w:trHeight w:val="41"/>
        </w:trPr>
        <w:tc>
          <w:tcPr>
            <w:tcW w:w="1640" w:type="dxa"/>
            <w:vAlign w:val="bottom"/>
            <w:tcBorders>
              <w:right w:val="single" w:sz="8" w:color="8797B7"/>
            </w:tcBorders>
            <w:vMerge w:val="continue"/>
          </w:tcPr>
          <w:p>
            <w:pPr>
              <w:spacing w:after="0"/>
              <w:rPr>
                <w:sz w:val="3"/>
                <w:szCs w:val="3"/>
                <w:color w:val="auto"/>
              </w:rPr>
            </w:pPr>
          </w:p>
        </w:tc>
        <w:tc>
          <w:tcPr>
            <w:tcW w:w="1840" w:type="dxa"/>
            <w:vAlign w:val="bottom"/>
            <w:tcBorders>
              <w:right w:val="single" w:sz="8" w:color="EBEDF3"/>
            </w:tcBorders>
            <w:vMerge w:val="continue"/>
            <w:shd w:val="clear" w:color="auto" w:fill="EBEDF3"/>
          </w:tcPr>
          <w:p>
            <w:pPr>
              <w:spacing w:after="0"/>
              <w:rPr>
                <w:sz w:val="3"/>
                <w:szCs w:val="3"/>
                <w:color w:val="auto"/>
              </w:rPr>
            </w:pPr>
          </w:p>
        </w:tc>
        <w:tc>
          <w:tcPr>
            <w:tcW w:w="1860" w:type="dxa"/>
            <w:vAlign w:val="bottom"/>
            <w:tcBorders>
              <w:right w:val="single" w:sz="8" w:color="8797B7"/>
            </w:tcBorders>
            <w:shd w:val="clear" w:color="auto" w:fill="EBEDF3"/>
          </w:tcPr>
          <w:p>
            <w:pPr>
              <w:spacing w:after="0"/>
              <w:rPr>
                <w:sz w:val="3"/>
                <w:szCs w:val="3"/>
                <w:color w:val="auto"/>
              </w:rPr>
            </w:pPr>
          </w:p>
        </w:tc>
        <w:tc>
          <w:tcPr>
            <w:tcW w:w="1840" w:type="dxa"/>
            <w:vAlign w:val="bottom"/>
            <w:tcBorders>
              <w:right w:val="single" w:sz="8" w:color="8797B7"/>
            </w:tcBorders>
            <w:vMerge w:val="continue"/>
            <w:shd w:val="clear" w:color="auto" w:fill="EBEDF3"/>
          </w:tcPr>
          <w:p>
            <w:pPr>
              <w:spacing w:after="0"/>
              <w:rPr>
                <w:sz w:val="3"/>
                <w:szCs w:val="3"/>
                <w:color w:val="auto"/>
              </w:rPr>
            </w:pPr>
          </w:p>
        </w:tc>
        <w:tc>
          <w:tcPr>
            <w:tcW w:w="2040" w:type="dxa"/>
            <w:vAlign w:val="bottom"/>
          </w:tcPr>
          <w:p>
            <w:pPr>
              <w:spacing w:after="0"/>
              <w:rPr>
                <w:sz w:val="3"/>
                <w:szCs w:val="3"/>
                <w:color w:val="auto"/>
              </w:rPr>
            </w:pPr>
          </w:p>
        </w:tc>
        <w:tc>
          <w:tcPr>
            <w:tcW w:w="2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640" w:type="dxa"/>
            <w:vAlign w:val="bottom"/>
            <w:tcBorders>
              <w:right w:val="single" w:sz="8" w:color="8797B7"/>
            </w:tcBorders>
            <w:vMerge w:val="restart"/>
          </w:tcPr>
          <w:p>
            <w:pPr>
              <w:ind w:left="180"/>
              <w:spacing w:after="0"/>
              <w:rPr>
                <w:sz w:val="20"/>
                <w:szCs w:val="20"/>
                <w:color w:val="auto"/>
              </w:rPr>
            </w:pPr>
            <w:r>
              <w:rPr>
                <w:rFonts w:ascii="Arial" w:cs="Arial" w:eastAsia="Arial" w:hAnsi="Arial"/>
                <w:sz w:val="13"/>
                <w:szCs w:val="13"/>
                <w:b w:val="1"/>
                <w:bCs w:val="1"/>
                <w:color w:val="auto"/>
              </w:rPr>
              <w:t>Equity Awards</w:t>
            </w:r>
          </w:p>
        </w:tc>
        <w:tc>
          <w:tcPr>
            <w:tcW w:w="1840" w:type="dxa"/>
            <w:vAlign w:val="bottom"/>
            <w:tcBorders>
              <w:bottom w:val="single" w:sz="8" w:color="8797B7"/>
              <w:right w:val="single" w:sz="8" w:color="EBEDF3"/>
            </w:tcBorders>
            <w:shd w:val="clear" w:color="auto" w:fill="EBEDF3"/>
          </w:tcPr>
          <w:p>
            <w:pPr>
              <w:spacing w:after="0"/>
              <w:rPr>
                <w:sz w:val="8"/>
                <w:szCs w:val="8"/>
                <w:color w:val="auto"/>
              </w:rPr>
            </w:pPr>
          </w:p>
        </w:tc>
        <w:tc>
          <w:tcPr>
            <w:tcW w:w="1860" w:type="dxa"/>
            <w:vAlign w:val="bottom"/>
            <w:tcBorders>
              <w:bottom w:val="single" w:sz="8" w:color="8797B7"/>
              <w:right w:val="single" w:sz="8" w:color="8797B7"/>
            </w:tcBorders>
            <w:shd w:val="clear" w:color="auto" w:fill="EBEDF3"/>
          </w:tcPr>
          <w:p>
            <w:pPr>
              <w:spacing w:after="0"/>
              <w:rPr>
                <w:sz w:val="8"/>
                <w:szCs w:val="8"/>
                <w:color w:val="auto"/>
              </w:rPr>
            </w:pPr>
          </w:p>
        </w:tc>
        <w:tc>
          <w:tcPr>
            <w:tcW w:w="1840" w:type="dxa"/>
            <w:vAlign w:val="bottom"/>
            <w:tcBorders>
              <w:bottom w:val="single" w:sz="8" w:color="EBEDF3"/>
              <w:right w:val="single" w:sz="8" w:color="8797B7"/>
            </w:tcBorders>
            <w:shd w:val="clear" w:color="auto" w:fill="EBEDF3"/>
          </w:tcPr>
          <w:p>
            <w:pPr>
              <w:spacing w:after="0"/>
              <w:rPr>
                <w:sz w:val="8"/>
                <w:szCs w:val="8"/>
                <w:color w:val="auto"/>
              </w:rPr>
            </w:pPr>
          </w:p>
        </w:tc>
        <w:tc>
          <w:tcPr>
            <w:tcW w:w="2040" w:type="dxa"/>
            <w:vAlign w:val="bottom"/>
            <w:tcBorders>
              <w:bottom w:val="single" w:sz="8" w:color="8797B7"/>
            </w:tcBorders>
          </w:tcPr>
          <w:p>
            <w:pPr>
              <w:spacing w:after="0"/>
              <w:rPr>
                <w:sz w:val="8"/>
                <w:szCs w:val="8"/>
                <w:color w:val="auto"/>
              </w:rPr>
            </w:pP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640" w:type="dxa"/>
            <w:vAlign w:val="bottom"/>
            <w:tcBorders>
              <w:right w:val="single" w:sz="8" w:color="8797B7"/>
            </w:tcBorders>
            <w:vMerge w:val="continue"/>
          </w:tcPr>
          <w:p>
            <w:pPr>
              <w:spacing w:after="0"/>
              <w:rPr>
                <w:sz w:val="5"/>
                <w:szCs w:val="5"/>
                <w:color w:val="auto"/>
              </w:rPr>
            </w:pPr>
          </w:p>
        </w:tc>
        <w:tc>
          <w:tcPr>
            <w:tcW w:w="5540" w:type="dxa"/>
            <w:vAlign w:val="bottom"/>
            <w:tcBorders>
              <w:right w:val="single" w:sz="8" w:color="8797B7"/>
            </w:tcBorders>
            <w:gridSpan w:val="3"/>
            <w:vMerge w:val="restart"/>
            <w:shd w:val="clear" w:color="auto" w:fill="EBEDF3"/>
          </w:tcPr>
          <w:p>
            <w:pPr>
              <w:ind w:left="80"/>
              <w:spacing w:after="0"/>
              <w:rPr>
                <w:sz w:val="20"/>
                <w:szCs w:val="20"/>
                <w:color w:val="auto"/>
              </w:rPr>
            </w:pPr>
            <w:r>
              <w:rPr>
                <w:rFonts w:ascii="Arial" w:cs="Arial" w:eastAsia="Arial" w:hAnsi="Arial"/>
                <w:sz w:val="13"/>
                <w:szCs w:val="13"/>
                <w:color w:val="auto"/>
              </w:rPr>
              <w:t>Granted 2018 based on cumulative 2016 and 2017 Company performance under 2016</w:t>
            </w:r>
          </w:p>
        </w:tc>
        <w:tc>
          <w:tcPr>
            <w:tcW w:w="2040" w:type="dxa"/>
            <w:vAlign w:val="bottom"/>
            <w:vMerge w:val="restart"/>
            <w:shd w:val="clear" w:color="auto" w:fill="EBEDF3"/>
          </w:tcPr>
          <w:p>
            <w:pPr>
              <w:jc w:val="center"/>
              <w:spacing w:after="0"/>
              <w:rPr>
                <w:sz w:val="20"/>
                <w:szCs w:val="20"/>
                <w:color w:val="auto"/>
              </w:rPr>
            </w:pPr>
            <w:r>
              <w:rPr>
                <w:rFonts w:ascii="Arial" w:cs="Arial" w:eastAsia="Arial" w:hAnsi="Arial"/>
                <w:sz w:val="13"/>
                <w:szCs w:val="13"/>
                <w:color w:val="auto"/>
              </w:rPr>
              <w:t>61,584 units valued at $4.4</w:t>
            </w: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640" w:type="dxa"/>
            <w:vAlign w:val="bottom"/>
            <w:tcBorders>
              <w:right w:val="single" w:sz="8" w:color="8797B7"/>
            </w:tcBorders>
          </w:tcPr>
          <w:p>
            <w:pPr>
              <w:spacing w:after="0"/>
              <w:rPr>
                <w:sz w:val="9"/>
                <w:szCs w:val="9"/>
                <w:color w:val="auto"/>
              </w:rPr>
            </w:pPr>
          </w:p>
        </w:tc>
        <w:tc>
          <w:tcPr>
            <w:tcW w:w="5540" w:type="dxa"/>
            <w:vAlign w:val="bottom"/>
            <w:tcBorders>
              <w:right w:val="single" w:sz="8" w:color="8797B7"/>
            </w:tcBorders>
            <w:gridSpan w:val="3"/>
            <w:vMerge w:val="continue"/>
            <w:shd w:val="clear" w:color="auto" w:fill="EBEDF3"/>
          </w:tcPr>
          <w:p>
            <w:pPr>
              <w:spacing w:after="0"/>
              <w:rPr>
                <w:sz w:val="9"/>
                <w:szCs w:val="9"/>
                <w:color w:val="auto"/>
              </w:rPr>
            </w:pPr>
          </w:p>
        </w:tc>
        <w:tc>
          <w:tcPr>
            <w:tcW w:w="2040" w:type="dxa"/>
            <w:vAlign w:val="bottom"/>
            <w:vMerge w:val="continue"/>
            <w:shd w:val="clear" w:color="auto" w:fill="EBEDF3"/>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640" w:type="dxa"/>
            <w:vAlign w:val="bottom"/>
            <w:tcBorders>
              <w:right w:val="single" w:sz="8" w:color="8797B7"/>
            </w:tcBorders>
          </w:tcPr>
          <w:p>
            <w:pPr>
              <w:spacing w:after="0"/>
              <w:rPr>
                <w:sz w:val="17"/>
                <w:szCs w:val="17"/>
                <w:color w:val="auto"/>
              </w:rPr>
            </w:pPr>
          </w:p>
        </w:tc>
        <w:tc>
          <w:tcPr>
            <w:tcW w:w="1840" w:type="dxa"/>
            <w:vAlign w:val="bottom"/>
            <w:tcBorders>
              <w:bottom w:val="single" w:sz="8" w:color="EBEDF3"/>
              <w:right w:val="single" w:sz="8" w:color="EBEDF3"/>
            </w:tcBorders>
            <w:shd w:val="clear" w:color="auto" w:fill="EBEDF3"/>
          </w:tcPr>
          <w:p>
            <w:pPr>
              <w:ind w:left="80"/>
              <w:spacing w:after="0"/>
              <w:rPr>
                <w:sz w:val="20"/>
                <w:szCs w:val="20"/>
                <w:color w:val="auto"/>
              </w:rPr>
            </w:pPr>
            <w:r>
              <w:rPr>
                <w:rFonts w:ascii="Arial" w:cs="Arial" w:eastAsia="Arial" w:hAnsi="Arial"/>
                <w:sz w:val="13"/>
                <w:szCs w:val="13"/>
                <w:color w:val="auto"/>
              </w:rPr>
              <w:t>agreement</w:t>
            </w:r>
          </w:p>
        </w:tc>
        <w:tc>
          <w:tcPr>
            <w:tcW w:w="1860" w:type="dxa"/>
            <w:vAlign w:val="bottom"/>
            <w:tcBorders>
              <w:bottom w:val="single" w:sz="8" w:color="EBEDF3"/>
              <w:right w:val="single" w:sz="8" w:color="EBEDF3"/>
            </w:tcBorders>
            <w:shd w:val="clear" w:color="auto" w:fill="EBEDF3"/>
          </w:tcPr>
          <w:p>
            <w:pPr>
              <w:spacing w:after="0"/>
              <w:rPr>
                <w:sz w:val="17"/>
                <w:szCs w:val="17"/>
                <w:color w:val="auto"/>
              </w:rPr>
            </w:pPr>
          </w:p>
        </w:tc>
        <w:tc>
          <w:tcPr>
            <w:tcW w:w="1840" w:type="dxa"/>
            <w:vAlign w:val="bottom"/>
            <w:tcBorders>
              <w:bottom w:val="single" w:sz="8" w:color="EBEDF3"/>
              <w:right w:val="single" w:sz="8" w:color="8797B7"/>
            </w:tcBorders>
            <w:shd w:val="clear" w:color="auto" w:fill="EBEDF3"/>
          </w:tcPr>
          <w:p>
            <w:pPr>
              <w:spacing w:after="0"/>
              <w:rPr>
                <w:sz w:val="17"/>
                <w:szCs w:val="17"/>
                <w:color w:val="auto"/>
              </w:rPr>
            </w:pPr>
          </w:p>
        </w:tc>
        <w:tc>
          <w:tcPr>
            <w:tcW w:w="2040" w:type="dxa"/>
            <w:vAlign w:val="bottom"/>
            <w:tcBorders>
              <w:bottom w:val="single" w:sz="8" w:color="EBEDF3"/>
            </w:tcBorders>
            <w:shd w:val="clear" w:color="auto" w:fill="EBEDF3"/>
          </w:tcPr>
          <w:p>
            <w:pPr>
              <w:jc w:val="center"/>
              <w:spacing w:after="0"/>
              <w:rPr>
                <w:sz w:val="20"/>
                <w:szCs w:val="20"/>
                <w:color w:val="auto"/>
              </w:rPr>
            </w:pPr>
            <w:r>
              <w:rPr>
                <w:rFonts w:ascii="Arial" w:cs="Arial" w:eastAsia="Arial" w:hAnsi="Arial"/>
                <w:sz w:val="13"/>
                <w:szCs w:val="13"/>
                <w:color w:val="auto"/>
              </w:rPr>
              <w:t>million</w:t>
            </w: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Borders>
              <w:right w:val="single" w:sz="8" w:color="8797B7"/>
            </w:tcBorders>
          </w:tcPr>
          <w:p>
            <w:pPr>
              <w:spacing w:after="0" w:line="20" w:lineRule="exact"/>
              <w:rPr>
                <w:sz w:val="1"/>
                <w:szCs w:val="1"/>
                <w:color w:val="auto"/>
              </w:rPr>
            </w:pPr>
          </w:p>
        </w:tc>
        <w:tc>
          <w:tcPr>
            <w:tcW w:w="1840" w:type="dxa"/>
            <w:vAlign w:val="bottom"/>
            <w:tcBorders>
              <w:right w:val="single" w:sz="8" w:color="8797B7"/>
            </w:tcBorders>
            <w:shd w:val="clear" w:color="auto" w:fill="8797B7"/>
          </w:tcPr>
          <w:p>
            <w:pPr>
              <w:spacing w:after="0" w:line="20" w:lineRule="exact"/>
              <w:rPr>
                <w:sz w:val="1"/>
                <w:szCs w:val="1"/>
                <w:color w:val="auto"/>
              </w:rPr>
            </w:pPr>
          </w:p>
        </w:tc>
        <w:tc>
          <w:tcPr>
            <w:tcW w:w="1860" w:type="dxa"/>
            <w:vAlign w:val="bottom"/>
            <w:tcBorders>
              <w:right w:val="single" w:sz="8" w:color="8797B7"/>
            </w:tcBorders>
            <w:shd w:val="clear" w:color="auto" w:fill="8797B7"/>
          </w:tcPr>
          <w:p>
            <w:pPr>
              <w:spacing w:after="0" w:line="20" w:lineRule="exact"/>
              <w:rPr>
                <w:sz w:val="1"/>
                <w:szCs w:val="1"/>
                <w:color w:val="auto"/>
              </w:rPr>
            </w:pPr>
          </w:p>
        </w:tc>
        <w:tc>
          <w:tcPr>
            <w:tcW w:w="1840" w:type="dxa"/>
            <w:vAlign w:val="bottom"/>
            <w:tcBorders>
              <w:right w:val="single" w:sz="8" w:color="8797B7"/>
            </w:tcBorders>
            <w:shd w:val="clear" w:color="auto" w:fill="8797B7"/>
          </w:tcPr>
          <w:p>
            <w:pPr>
              <w:spacing w:after="0" w:line="20" w:lineRule="exact"/>
              <w:rPr>
                <w:sz w:val="1"/>
                <w:szCs w:val="1"/>
                <w:color w:val="auto"/>
              </w:rPr>
            </w:pPr>
          </w:p>
        </w:tc>
        <w:tc>
          <w:tcPr>
            <w:tcW w:w="2040" w:type="dxa"/>
            <w:vAlign w:val="bottom"/>
            <w:shd w:val="clear" w:color="auto" w:fill="EBEDF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40" w:type="dxa"/>
            <w:vAlign w:val="bottom"/>
            <w:tcBorders>
              <w:right w:val="single" w:sz="8" w:color="8797B7"/>
            </w:tcBorders>
          </w:tcPr>
          <w:p>
            <w:pPr>
              <w:spacing w:after="0"/>
              <w:rPr>
                <w:sz w:val="20"/>
                <w:szCs w:val="20"/>
                <w:color w:val="auto"/>
              </w:rPr>
            </w:pPr>
          </w:p>
        </w:tc>
        <w:tc>
          <w:tcPr>
            <w:tcW w:w="7580" w:type="dxa"/>
            <w:vAlign w:val="bottom"/>
            <w:tcBorders>
              <w:bottom w:val="single" w:sz="8" w:color="EBEDF3"/>
            </w:tcBorders>
            <w:gridSpan w:val="4"/>
            <w:shd w:val="clear" w:color="auto" w:fill="EBEDF3"/>
          </w:tcPr>
          <w:p>
            <w:pPr>
              <w:ind w:left="80"/>
              <w:spacing w:after="0"/>
              <w:rPr>
                <w:sz w:val="20"/>
                <w:szCs w:val="20"/>
                <w:color w:val="auto"/>
              </w:rPr>
            </w:pPr>
            <w:r>
              <w:rPr>
                <w:rFonts w:ascii="Arial" w:cs="Arial" w:eastAsia="Arial" w:hAnsi="Arial"/>
                <w:sz w:val="13"/>
                <w:szCs w:val="13"/>
                <w:color w:val="auto"/>
              </w:rPr>
              <w:t>Granted 2019 based on cumulative 2016, 2017, and 2018 Company performance under 2016 agreement</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640" w:type="dxa"/>
            <w:vAlign w:val="bottom"/>
            <w:tcBorders>
              <w:top w:val="single" w:sz="8" w:color="8797B7"/>
            </w:tcBorders>
          </w:tcPr>
          <w:p>
            <w:pPr>
              <w:spacing w:after="0"/>
              <w:rPr>
                <w:sz w:val="20"/>
                <w:szCs w:val="20"/>
                <w:color w:val="auto"/>
              </w:rPr>
            </w:pPr>
          </w:p>
        </w:tc>
        <w:tc>
          <w:tcPr>
            <w:tcW w:w="1840" w:type="dxa"/>
            <w:vAlign w:val="bottom"/>
            <w:tcBorders>
              <w:top w:val="single" w:sz="8" w:color="8797B7"/>
            </w:tcBorders>
          </w:tcPr>
          <w:p>
            <w:pPr>
              <w:spacing w:after="0"/>
              <w:rPr>
                <w:sz w:val="20"/>
                <w:szCs w:val="20"/>
                <w:color w:val="auto"/>
              </w:rPr>
            </w:pPr>
          </w:p>
        </w:tc>
        <w:tc>
          <w:tcPr>
            <w:tcW w:w="1860" w:type="dxa"/>
            <w:vAlign w:val="bottom"/>
            <w:tcBorders>
              <w:top w:val="single" w:sz="8" w:color="8797B7"/>
            </w:tcBorders>
          </w:tcPr>
          <w:p>
            <w:pPr>
              <w:spacing w:after="0"/>
              <w:rPr>
                <w:sz w:val="20"/>
                <w:szCs w:val="20"/>
                <w:color w:val="auto"/>
              </w:rPr>
            </w:pPr>
          </w:p>
        </w:tc>
        <w:tc>
          <w:tcPr>
            <w:tcW w:w="1840" w:type="dxa"/>
            <w:vAlign w:val="bottom"/>
            <w:tcBorders>
              <w:top w:val="single" w:sz="8" w:color="8797B7"/>
              <w:right w:val="single" w:sz="8" w:color="8797B7"/>
            </w:tcBorders>
          </w:tcPr>
          <w:p>
            <w:pPr>
              <w:spacing w:after="0"/>
              <w:rPr>
                <w:sz w:val="20"/>
                <w:szCs w:val="20"/>
                <w:color w:val="auto"/>
              </w:rPr>
            </w:pPr>
          </w:p>
        </w:tc>
        <w:tc>
          <w:tcPr>
            <w:tcW w:w="4060" w:type="dxa"/>
            <w:vAlign w:val="bottom"/>
            <w:tcBorders>
              <w:top w:val="single" w:sz="8" w:color="8797B7"/>
              <w:bottom w:val="single" w:sz="8" w:color="EBEDF3"/>
            </w:tcBorders>
            <w:gridSpan w:val="2"/>
            <w:shd w:val="clear" w:color="auto" w:fill="EBEDF3"/>
          </w:tcPr>
          <w:p>
            <w:pPr>
              <w:jc w:val="center"/>
              <w:spacing w:after="0"/>
              <w:rPr>
                <w:sz w:val="20"/>
                <w:szCs w:val="20"/>
                <w:color w:val="auto"/>
              </w:rPr>
            </w:pPr>
            <w:r>
              <w:rPr>
                <w:rFonts w:ascii="Arial" w:cs="Arial" w:eastAsia="Arial" w:hAnsi="Arial"/>
                <w:sz w:val="13"/>
                <w:szCs w:val="13"/>
                <w:color w:val="auto"/>
              </w:rPr>
              <w:t>Target: $7.5 million; 3-year performance period 2019-2021</w:t>
            </w:r>
          </w:p>
        </w:tc>
        <w:tc>
          <w:tcPr>
            <w:tcW w:w="0" w:type="dxa"/>
            <w:vAlign w:val="bottom"/>
          </w:tcPr>
          <w:p>
            <w:pPr>
              <w:spacing w:after="0"/>
              <w:rPr>
                <w:sz w:val="1"/>
                <w:szCs w:val="1"/>
                <w:color w:val="auto"/>
              </w:rPr>
            </w:pPr>
          </w:p>
        </w:tc>
      </w:tr>
      <w:tr>
        <w:trPr>
          <w:trHeight w:val="168"/>
        </w:trPr>
        <w:tc>
          <w:tcPr>
            <w:tcW w:w="3480" w:type="dxa"/>
            <w:vAlign w:val="bottom"/>
            <w:gridSpan w:val="2"/>
          </w:tcPr>
          <w:p>
            <w:pPr>
              <w:ind w:left="80"/>
              <w:spacing w:after="0"/>
              <w:rPr>
                <w:sz w:val="20"/>
                <w:szCs w:val="20"/>
                <w:color w:val="auto"/>
              </w:rPr>
            </w:pPr>
            <w:r>
              <w:rPr>
                <w:rFonts w:ascii="Arial" w:cs="Arial" w:eastAsia="Arial" w:hAnsi="Arial"/>
                <w:sz w:val="13"/>
                <w:szCs w:val="13"/>
                <w:b w:val="1"/>
                <w:bCs w:val="1"/>
                <w:color w:val="auto"/>
              </w:rPr>
              <w:t>Performance-Based LTIP Units</w:t>
            </w:r>
          </w:p>
        </w:tc>
        <w:tc>
          <w:tcPr>
            <w:tcW w:w="1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tcBorders>
              <w:top w:val="single" w:sz="8" w:color="8797B7"/>
            </w:tcBorders>
          </w:tcPr>
          <w:p>
            <w:pPr>
              <w:spacing w:after="0"/>
              <w:rPr>
                <w:sz w:val="14"/>
                <w:szCs w:val="14"/>
                <w:color w:val="auto"/>
              </w:rPr>
            </w:pPr>
          </w:p>
        </w:tc>
        <w:tc>
          <w:tcPr>
            <w:tcW w:w="2020" w:type="dxa"/>
            <w:vAlign w:val="bottom"/>
            <w:tcBorders>
              <w:top w:val="single" w:sz="8" w:color="8797B7"/>
            </w:tcBorders>
          </w:tcPr>
          <w:p>
            <w:pPr>
              <w:jc w:val="center"/>
              <w:spacing w:after="0"/>
              <w:rPr>
                <w:sz w:val="20"/>
                <w:szCs w:val="20"/>
                <w:color w:val="auto"/>
              </w:rPr>
            </w:pPr>
            <w:r>
              <w:rPr>
                <w:rFonts w:ascii="Arial" w:cs="Arial" w:eastAsia="Arial" w:hAnsi="Arial"/>
                <w:sz w:val="13"/>
                <w:szCs w:val="13"/>
                <w:color w:val="auto"/>
              </w:rPr>
              <w:t>Target: $7.5 million; 3-year</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rPr>
              <w:t>performance period 2020-</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rPr>
              <w:t>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-3950970</wp:posOffset>
            </wp:positionV>
            <wp:extent cx="7132320" cy="42691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42691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2"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Time-Based</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LTIP Units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2480"/>
        <w:spacing w:after="0"/>
        <w:rPr>
          <w:sz w:val="20"/>
          <w:szCs w:val="20"/>
          <w:color w:val="auto"/>
        </w:rPr>
      </w:pPr>
      <w:r>
        <w:rPr>
          <w:rFonts w:ascii="Arial" w:cs="Arial" w:eastAsia="Arial" w:hAnsi="Arial"/>
          <w:sz w:val="13"/>
          <w:szCs w:val="13"/>
          <w:color w:val="auto"/>
        </w:rPr>
        <w:t>Granted 2020 for</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2019 performance, subject to 3-year vesting</w:t>
      </w:r>
    </w:p>
    <w:p>
      <w:pPr>
        <w:spacing w:after="0" w:line="200" w:lineRule="exact"/>
        <w:rPr>
          <w:sz w:val="20"/>
          <w:szCs w:val="20"/>
          <w:color w:val="auto"/>
        </w:rPr>
      </w:pPr>
    </w:p>
    <w:p>
      <w:pPr>
        <w:sectPr>
          <w:pgSz w:w="11900" w:h="16838" w:orient="portrait"/>
          <w:cols w:equalWidth="0" w:num="2">
            <w:col w:w="6540" w:space="720"/>
            <w:col w:w="3980"/>
          </w:cols>
          <w:pgMar w:left="320" w:top="121" w:right="339" w:bottom="1440" w:gutter="0" w:footer="0" w:header="0"/>
          <w:type w:val="continuous"/>
        </w:sectPr>
      </w:pPr>
    </w:p>
    <w:p>
      <w:pPr>
        <w:spacing w:after="0" w:line="100" w:lineRule="exact"/>
        <w:rPr>
          <w:sz w:val="20"/>
          <w:szCs w:val="20"/>
          <w:color w:val="auto"/>
        </w:rPr>
      </w:pPr>
    </w:p>
    <w:p>
      <w:pPr>
        <w:ind w:left="300" w:hanging="292"/>
        <w:spacing w:after="0"/>
        <w:tabs>
          <w:tab w:leader="none" w:pos="300" w:val="left"/>
        </w:tabs>
        <w:numPr>
          <w:ilvl w:val="0"/>
          <w:numId w:val="65"/>
        </w:numPr>
        <w:rPr>
          <w:rFonts w:ascii="Arial" w:cs="Arial" w:eastAsia="Arial" w:hAnsi="Arial"/>
          <w:sz w:val="16"/>
          <w:szCs w:val="16"/>
          <w:color w:val="3558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2019 CEO Compensation</w:t>
      </w:r>
    </w:p>
    <w:p>
      <w:pPr>
        <w:spacing w:after="0" w:line="2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following table compares the 2019 CEO compensation amounts required by SEC rules to be shown in the Summary Compensation Table, or SCT, to the target amounts awarded by the Committee for 2019 and the actual value of that compensation as of December 31, 2019. Because SEC rules require that the SCT include equity awards granted in 2019 based on 2018 performance and exclude equity awards granted in 2020 for 2019 performance, we believe this presentation provides investors with a clearer understanding of the compensation decisions made by the Committee for 2019.</w:t>
      </w: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040" w:type="dxa"/>
            <w:vAlign w:val="bottom"/>
          </w:tcPr>
          <w:p>
            <w:pPr>
              <w:spacing w:after="0"/>
              <w:rPr>
                <w:sz w:val="17"/>
                <w:szCs w:val="17"/>
                <w:color w:val="auto"/>
              </w:rPr>
            </w:pPr>
          </w:p>
        </w:tc>
        <w:tc>
          <w:tcPr>
            <w:tcW w:w="180" w:type="dxa"/>
            <w:vAlign w:val="bottom"/>
            <w:tcBorders>
              <w:bottom w:val="single" w:sz="8" w:color="355889"/>
            </w:tcBorders>
          </w:tcPr>
          <w:p>
            <w:pPr>
              <w:spacing w:after="0"/>
              <w:rPr>
                <w:sz w:val="17"/>
                <w:szCs w:val="17"/>
                <w:color w:val="auto"/>
              </w:rPr>
            </w:pPr>
          </w:p>
        </w:tc>
        <w:tc>
          <w:tcPr>
            <w:tcW w:w="2740" w:type="dxa"/>
            <w:vAlign w:val="bottom"/>
            <w:tcBorders>
              <w:bottom w:val="single" w:sz="8" w:color="355889"/>
            </w:tcBorders>
            <w:gridSpan w:val="3"/>
          </w:tcPr>
          <w:p>
            <w:pPr>
              <w:jc w:val="right"/>
              <w:spacing w:after="0"/>
              <w:rPr>
                <w:sz w:val="20"/>
                <w:szCs w:val="20"/>
                <w:color w:val="auto"/>
              </w:rPr>
            </w:pPr>
            <w:r>
              <w:rPr>
                <w:rFonts w:ascii="Arial" w:cs="Arial" w:eastAsia="Arial" w:hAnsi="Arial"/>
                <w:sz w:val="13"/>
                <w:szCs w:val="13"/>
                <w:b w:val="1"/>
                <w:bCs w:val="1"/>
                <w:color w:val="355889"/>
              </w:rPr>
              <w:t>2019 CEO Compensation</w:t>
            </w:r>
          </w:p>
        </w:tc>
        <w:tc>
          <w:tcPr>
            <w:tcW w:w="200" w:type="dxa"/>
            <w:vAlign w:val="bottom"/>
            <w:tcBorders>
              <w:bottom w:val="single" w:sz="8" w:color="355889"/>
            </w:tcBorders>
          </w:tcPr>
          <w:p>
            <w:pPr>
              <w:spacing w:after="0"/>
              <w:rPr>
                <w:sz w:val="17"/>
                <w:szCs w:val="17"/>
                <w:color w:val="auto"/>
              </w:rPr>
            </w:pPr>
          </w:p>
        </w:tc>
        <w:tc>
          <w:tcPr>
            <w:tcW w:w="940" w:type="dxa"/>
            <w:vAlign w:val="bottom"/>
            <w:tcBorders>
              <w:bottom w:val="single" w:sz="8" w:color="355889"/>
            </w:tcBorders>
          </w:tcPr>
          <w:p>
            <w:pPr>
              <w:spacing w:after="0"/>
              <w:rPr>
                <w:sz w:val="17"/>
                <w:szCs w:val="17"/>
                <w:color w:val="auto"/>
              </w:rPr>
            </w:pPr>
          </w:p>
        </w:tc>
      </w:tr>
      <w:tr>
        <w:trPr>
          <w:trHeight w:val="159"/>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56"/>
              <w:spacing w:after="0"/>
              <w:rPr>
                <w:sz w:val="20"/>
                <w:szCs w:val="20"/>
                <w:color w:val="auto"/>
              </w:rPr>
            </w:pPr>
            <w:r>
              <w:rPr>
                <w:rFonts w:ascii="Arial" w:cs="Arial" w:eastAsia="Arial" w:hAnsi="Arial"/>
                <w:sz w:val="13"/>
                <w:szCs w:val="13"/>
                <w:b w:val="1"/>
                <w:bCs w:val="1"/>
                <w:color w:val="355889"/>
              </w:rPr>
              <w:t>Actual</w:t>
            </w:r>
          </w:p>
        </w:tc>
      </w:tr>
      <w:tr>
        <w:trPr>
          <w:trHeight w:val="148"/>
        </w:trPr>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right"/>
              <w:ind w:right="458"/>
              <w:spacing w:after="0"/>
              <w:rPr>
                <w:sz w:val="20"/>
                <w:szCs w:val="20"/>
                <w:color w:val="auto"/>
              </w:rPr>
            </w:pPr>
            <w:r>
              <w:rPr>
                <w:rFonts w:ascii="Arial" w:cs="Arial" w:eastAsia="Arial" w:hAnsi="Arial"/>
                <w:sz w:val="13"/>
                <w:szCs w:val="13"/>
                <w:b w:val="1"/>
                <w:bCs w:val="1"/>
                <w:color w:val="355889"/>
              </w:rPr>
              <w:t>Summary</w:t>
            </w:r>
          </w:p>
        </w:tc>
        <w:tc>
          <w:tcPr>
            <w:tcW w:w="220" w:type="dxa"/>
            <w:vAlign w:val="bottom"/>
          </w:tcPr>
          <w:p>
            <w:pPr>
              <w:spacing w:after="0"/>
              <w:rPr>
                <w:sz w:val="12"/>
                <w:szCs w:val="12"/>
                <w:color w:val="auto"/>
              </w:rPr>
            </w:pPr>
          </w:p>
        </w:tc>
        <w:tc>
          <w:tcPr>
            <w:tcW w:w="1020" w:type="dxa"/>
            <w:vAlign w:val="bottom"/>
          </w:tcPr>
          <w:p>
            <w:pPr>
              <w:jc w:val="right"/>
              <w:ind w:right="335"/>
              <w:spacing w:after="0"/>
              <w:rPr>
                <w:sz w:val="20"/>
                <w:szCs w:val="20"/>
                <w:color w:val="auto"/>
              </w:rPr>
            </w:pPr>
            <w:r>
              <w:rPr>
                <w:rFonts w:ascii="Arial" w:cs="Arial" w:eastAsia="Arial" w:hAnsi="Arial"/>
                <w:sz w:val="13"/>
                <w:szCs w:val="13"/>
                <w:b w:val="1"/>
                <w:bCs w:val="1"/>
                <w:color w:val="355889"/>
              </w:rPr>
              <w:t>Target</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355889"/>
              </w:rPr>
              <w:t>Compensation</w:t>
            </w:r>
          </w:p>
        </w:tc>
      </w:tr>
      <w:tr>
        <w:trPr>
          <w:trHeight w:val="199"/>
        </w:trPr>
        <w:tc>
          <w:tcPr>
            <w:tcW w:w="4040" w:type="dxa"/>
            <w:vAlign w:val="bottom"/>
            <w:tcBorders>
              <w:bottom w:val="single" w:sz="8" w:color="355889"/>
            </w:tcBorders>
          </w:tcPr>
          <w:p>
            <w:pPr>
              <w:spacing w:after="0"/>
              <w:rPr>
                <w:sz w:val="20"/>
                <w:szCs w:val="20"/>
                <w:color w:val="auto"/>
              </w:rPr>
            </w:pPr>
            <w:r>
              <w:rPr>
                <w:rFonts w:ascii="Arial" w:cs="Arial" w:eastAsia="Arial" w:hAnsi="Arial"/>
                <w:sz w:val="13"/>
                <w:szCs w:val="13"/>
                <w:b w:val="1"/>
                <w:bCs w:val="1"/>
                <w:color w:val="auto"/>
              </w:rPr>
              <w:t>Element of Compensation</w:t>
            </w:r>
          </w:p>
        </w:tc>
        <w:tc>
          <w:tcPr>
            <w:tcW w:w="180" w:type="dxa"/>
            <w:vAlign w:val="bottom"/>
            <w:tcBorders>
              <w:bottom w:val="single" w:sz="8" w:color="355889"/>
            </w:tcBorders>
          </w:tcPr>
          <w:p>
            <w:pPr>
              <w:spacing w:after="0"/>
              <w:rPr>
                <w:sz w:val="17"/>
                <w:szCs w:val="17"/>
                <w:color w:val="auto"/>
              </w:rPr>
            </w:pPr>
          </w:p>
        </w:tc>
        <w:tc>
          <w:tcPr>
            <w:tcW w:w="1500" w:type="dxa"/>
            <w:vAlign w:val="bottom"/>
            <w:tcBorders>
              <w:bottom w:val="single" w:sz="8" w:color="355889"/>
            </w:tcBorders>
          </w:tcPr>
          <w:p>
            <w:pPr>
              <w:jc w:val="right"/>
              <w:ind w:right="98"/>
              <w:spacing w:after="0"/>
              <w:rPr>
                <w:sz w:val="20"/>
                <w:szCs w:val="20"/>
                <w:color w:val="auto"/>
              </w:rPr>
            </w:pPr>
            <w:r>
              <w:rPr>
                <w:rFonts w:ascii="Arial" w:cs="Arial" w:eastAsia="Arial" w:hAnsi="Arial"/>
                <w:sz w:val="13"/>
                <w:szCs w:val="13"/>
                <w:b w:val="1"/>
                <w:bCs w:val="1"/>
                <w:color w:val="355889"/>
              </w:rPr>
              <w:t>Compensation Table</w:t>
            </w:r>
          </w:p>
        </w:tc>
        <w:tc>
          <w:tcPr>
            <w:tcW w:w="1240" w:type="dxa"/>
            <w:vAlign w:val="bottom"/>
            <w:tcBorders>
              <w:bottom w:val="single" w:sz="8" w:color="355889"/>
            </w:tcBorders>
            <w:gridSpan w:val="2"/>
          </w:tcPr>
          <w:p>
            <w:pPr>
              <w:jc w:val="right"/>
              <w:ind w:right="75"/>
              <w:spacing w:after="0"/>
              <w:rPr>
                <w:sz w:val="20"/>
                <w:szCs w:val="20"/>
                <w:color w:val="auto"/>
              </w:rPr>
            </w:pPr>
            <w:r>
              <w:rPr>
                <w:rFonts w:ascii="Arial" w:cs="Arial" w:eastAsia="Arial" w:hAnsi="Arial"/>
                <w:sz w:val="13"/>
                <w:szCs w:val="13"/>
                <w:b w:val="1"/>
                <w:bCs w:val="1"/>
                <w:color w:val="355889"/>
              </w:rPr>
              <w:t>Compensation</w:t>
            </w:r>
          </w:p>
        </w:tc>
        <w:tc>
          <w:tcPr>
            <w:tcW w:w="200" w:type="dxa"/>
            <w:vAlign w:val="bottom"/>
            <w:tcBorders>
              <w:bottom w:val="single" w:sz="8" w:color="355889"/>
            </w:tcBorders>
          </w:tcPr>
          <w:p>
            <w:pPr>
              <w:spacing w:after="0"/>
              <w:rPr>
                <w:sz w:val="17"/>
                <w:szCs w:val="17"/>
                <w:color w:val="auto"/>
              </w:rPr>
            </w:pPr>
          </w:p>
        </w:tc>
        <w:tc>
          <w:tcPr>
            <w:tcW w:w="940" w:type="dxa"/>
            <w:vAlign w:val="bottom"/>
            <w:tcBorders>
              <w:bottom w:val="single" w:sz="8" w:color="355889"/>
            </w:tcBorders>
          </w:tcPr>
          <w:p>
            <w:pPr>
              <w:jc w:val="center"/>
              <w:ind w:right="56"/>
              <w:spacing w:after="0"/>
              <w:rPr>
                <w:sz w:val="20"/>
                <w:szCs w:val="20"/>
                <w:color w:val="auto"/>
              </w:rPr>
            </w:pPr>
            <w:r>
              <w:rPr>
                <w:rFonts w:ascii="Arial" w:cs="Arial" w:eastAsia="Arial" w:hAnsi="Arial"/>
                <w:sz w:val="13"/>
                <w:szCs w:val="13"/>
                <w:b w:val="1"/>
                <w:bCs w:val="1"/>
                <w:color w:val="355889"/>
              </w:rPr>
              <w:t xml:space="preserve">(at </w:t>
            </w:r>
            <w:r>
              <w:rPr>
                <w:rFonts w:ascii="Arial" w:cs="Arial" w:eastAsia="Arial" w:hAnsi="Arial"/>
                <w:sz w:val="13"/>
                <w:szCs w:val="13"/>
                <w:b w:val="1"/>
                <w:bCs w:val="1"/>
                <w:color w:val="000000"/>
              </w:rPr>
              <w:t>12/31/19)</w:t>
            </w:r>
          </w:p>
        </w:tc>
      </w:tr>
      <w:tr>
        <w:trPr>
          <w:trHeight w:val="250"/>
        </w:trPr>
        <w:tc>
          <w:tcPr>
            <w:tcW w:w="404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Base Salary</w:t>
            </w:r>
          </w:p>
        </w:tc>
        <w:tc>
          <w:tcPr>
            <w:tcW w:w="18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1,250,000</w:t>
            </w:r>
          </w:p>
        </w:tc>
        <w:tc>
          <w:tcPr>
            <w:tcW w:w="22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1,250,000</w:t>
            </w:r>
          </w:p>
        </w:tc>
        <w:tc>
          <w:tcPr>
            <w:tcW w:w="20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1,250,000</w:t>
            </w:r>
          </w:p>
        </w:tc>
      </w:tr>
      <w:tr>
        <w:trPr>
          <w:trHeight w:val="297"/>
        </w:trPr>
        <w:tc>
          <w:tcPr>
            <w:tcW w:w="4040" w:type="dxa"/>
            <w:vAlign w:val="bottom"/>
            <w:tcBorders>
              <w:bottom w:val="single" w:sz="8" w:color="8797B7"/>
            </w:tcBorders>
          </w:tcPr>
          <w:p>
            <w:pPr>
              <w:spacing w:after="0" w:line="296" w:lineRule="exact"/>
              <w:rPr>
                <w:sz w:val="20"/>
                <w:szCs w:val="20"/>
                <w:color w:val="auto"/>
              </w:rPr>
            </w:pPr>
            <w:r>
              <w:rPr>
                <w:rFonts w:ascii="Arial" w:cs="Arial" w:eastAsia="Arial" w:hAnsi="Arial"/>
                <w:sz w:val="18"/>
                <w:szCs w:val="18"/>
                <w:color w:val="auto"/>
              </w:rPr>
              <w:t>Annual Cash Bonus</w:t>
            </w:r>
            <w:r>
              <w:rPr>
                <w:rFonts w:ascii="Arial" w:cs="Arial" w:eastAsia="Arial" w:hAnsi="Arial"/>
                <w:sz w:val="29"/>
                <w:szCs w:val="29"/>
                <w:color w:val="auto"/>
                <w:vertAlign w:val="superscript"/>
              </w:rPr>
              <w:t>(1)</w:t>
            </w:r>
          </w:p>
        </w:tc>
        <w:tc>
          <w:tcPr>
            <w:tcW w:w="18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3,293,070</w:t>
            </w:r>
          </w:p>
        </w:tc>
        <w:tc>
          <w:tcPr>
            <w:tcW w:w="22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2,500,000</w:t>
            </w:r>
          </w:p>
        </w:tc>
        <w:tc>
          <w:tcPr>
            <w:tcW w:w="20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3,215,000</w:t>
            </w:r>
          </w:p>
        </w:tc>
      </w:tr>
      <w:tr>
        <w:trPr>
          <w:trHeight w:val="290"/>
        </w:trPr>
        <w:tc>
          <w:tcPr>
            <w:tcW w:w="4040" w:type="dxa"/>
            <w:vAlign w:val="bottom"/>
            <w:tcBorders>
              <w:bottom w:val="single" w:sz="8" w:color="8797B7"/>
            </w:tcBorders>
            <w:shd w:val="clear" w:color="auto" w:fill="ECECEC"/>
          </w:tcPr>
          <w:p>
            <w:pPr>
              <w:spacing w:after="0" w:line="291" w:lineRule="exact"/>
              <w:rPr>
                <w:sz w:val="20"/>
                <w:szCs w:val="20"/>
                <w:color w:val="auto"/>
              </w:rPr>
            </w:pPr>
            <w:r>
              <w:rPr>
                <w:rFonts w:ascii="Arial" w:cs="Arial" w:eastAsia="Arial" w:hAnsi="Arial"/>
                <w:sz w:val="18"/>
                <w:szCs w:val="18"/>
                <w:color w:val="auto"/>
              </w:rPr>
              <w:t>Annual Equity Bonus</w:t>
            </w:r>
            <w:r>
              <w:rPr>
                <w:rFonts w:ascii="Arial" w:cs="Arial" w:eastAsia="Arial" w:hAnsi="Arial"/>
                <w:sz w:val="29"/>
                <w:szCs w:val="29"/>
                <w:color w:val="auto"/>
                <w:vertAlign w:val="superscript"/>
              </w:rPr>
              <w:t>(2)</w:t>
            </w:r>
          </w:p>
        </w:tc>
        <w:tc>
          <w:tcPr>
            <w:tcW w:w="18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3,536,754</w:t>
            </w:r>
          </w:p>
        </w:tc>
        <w:tc>
          <w:tcPr>
            <w:tcW w:w="220" w:type="dxa"/>
            <w:vAlign w:val="bottom"/>
            <w:tcBorders>
              <w:bottom w:val="single" w:sz="8" w:color="8797B7"/>
            </w:tcBorders>
            <w:shd w:val="clear" w:color="auto" w:fill="ECECEC"/>
          </w:tcPr>
          <w:p>
            <w:pPr>
              <w:spacing w:after="0"/>
              <w:rPr>
                <w:sz w:val="24"/>
                <w:szCs w:val="24"/>
                <w:color w:val="auto"/>
              </w:rPr>
            </w:pPr>
          </w:p>
        </w:tc>
        <w:tc>
          <w:tcPr>
            <w:tcW w:w="102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8797B7"/>
            </w:tcBorders>
            <w:shd w:val="clear" w:color="auto" w:fill="ECECEC"/>
          </w:tcPr>
          <w:p>
            <w:pPr>
              <w:spacing w:after="0"/>
              <w:rPr>
                <w:sz w:val="24"/>
                <w:szCs w:val="24"/>
                <w:color w:val="auto"/>
              </w:rPr>
            </w:pPr>
          </w:p>
        </w:tc>
        <w:tc>
          <w:tcPr>
            <w:tcW w:w="94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w:t>
            </w:r>
          </w:p>
        </w:tc>
      </w:tr>
      <w:tr>
        <w:trPr>
          <w:trHeight w:val="291"/>
        </w:trPr>
        <w:tc>
          <w:tcPr>
            <w:tcW w:w="4040" w:type="dxa"/>
            <w:vAlign w:val="bottom"/>
            <w:tcBorders>
              <w:bottom w:val="single" w:sz="8" w:color="8797B7"/>
            </w:tcBorders>
            <w:shd w:val="clear" w:color="auto" w:fill="ECECEC"/>
          </w:tcPr>
          <w:p>
            <w:pPr>
              <w:spacing w:after="0" w:line="291" w:lineRule="exact"/>
              <w:rPr>
                <w:sz w:val="20"/>
                <w:szCs w:val="20"/>
                <w:color w:val="auto"/>
              </w:rPr>
            </w:pPr>
            <w:r>
              <w:rPr>
                <w:rFonts w:ascii="Arial" w:cs="Arial" w:eastAsia="Arial" w:hAnsi="Arial"/>
                <w:sz w:val="18"/>
                <w:szCs w:val="18"/>
                <w:color w:val="auto"/>
              </w:rPr>
              <w:t>Prior Contract Equity Award</w:t>
            </w:r>
            <w:r>
              <w:rPr>
                <w:rFonts w:ascii="Arial" w:cs="Arial" w:eastAsia="Arial" w:hAnsi="Arial"/>
                <w:sz w:val="29"/>
                <w:szCs w:val="29"/>
                <w:color w:val="auto"/>
                <w:vertAlign w:val="superscript"/>
              </w:rPr>
              <w:t>(3)</w:t>
            </w:r>
          </w:p>
        </w:tc>
        <w:tc>
          <w:tcPr>
            <w:tcW w:w="18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4,449,444</w:t>
            </w:r>
          </w:p>
        </w:tc>
        <w:tc>
          <w:tcPr>
            <w:tcW w:w="220" w:type="dxa"/>
            <w:vAlign w:val="bottom"/>
            <w:tcBorders>
              <w:bottom w:val="single" w:sz="8" w:color="8797B7"/>
            </w:tcBorders>
            <w:shd w:val="clear" w:color="auto" w:fill="ECECEC"/>
          </w:tcPr>
          <w:p>
            <w:pPr>
              <w:spacing w:after="0"/>
              <w:rPr>
                <w:sz w:val="24"/>
                <w:szCs w:val="24"/>
                <w:color w:val="auto"/>
              </w:rPr>
            </w:pPr>
          </w:p>
        </w:tc>
        <w:tc>
          <w:tcPr>
            <w:tcW w:w="102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8797B7"/>
            </w:tcBorders>
            <w:shd w:val="clear" w:color="auto" w:fill="ECECEC"/>
          </w:tcPr>
          <w:p>
            <w:pPr>
              <w:spacing w:after="0"/>
              <w:rPr>
                <w:sz w:val="24"/>
                <w:szCs w:val="24"/>
                <w:color w:val="auto"/>
              </w:rPr>
            </w:pPr>
          </w:p>
        </w:tc>
        <w:tc>
          <w:tcPr>
            <w:tcW w:w="94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w:t>
            </w:r>
          </w:p>
        </w:tc>
      </w:tr>
      <w:tr>
        <w:trPr>
          <w:trHeight w:val="290"/>
        </w:trPr>
        <w:tc>
          <w:tcPr>
            <w:tcW w:w="4040" w:type="dxa"/>
            <w:vAlign w:val="bottom"/>
            <w:tcBorders>
              <w:bottom w:val="single" w:sz="8" w:color="8797B7"/>
            </w:tcBorders>
            <w:shd w:val="clear" w:color="auto" w:fill="ECECEC"/>
          </w:tcPr>
          <w:p>
            <w:pPr>
              <w:spacing w:after="0" w:line="291" w:lineRule="exact"/>
              <w:rPr>
                <w:sz w:val="20"/>
                <w:szCs w:val="20"/>
                <w:color w:val="auto"/>
              </w:rPr>
            </w:pPr>
            <w:r>
              <w:rPr>
                <w:rFonts w:ascii="Arial" w:cs="Arial" w:eastAsia="Arial" w:hAnsi="Arial"/>
                <w:sz w:val="18"/>
                <w:szCs w:val="18"/>
                <w:color w:val="auto"/>
              </w:rPr>
              <w:t>Annual Time-Based Award</w:t>
            </w:r>
            <w:r>
              <w:rPr>
                <w:rFonts w:ascii="Arial" w:cs="Arial" w:eastAsia="Arial" w:hAnsi="Arial"/>
                <w:sz w:val="29"/>
                <w:szCs w:val="29"/>
                <w:color w:val="auto"/>
                <w:vertAlign w:val="superscript"/>
              </w:rPr>
              <w:t>(4)</w:t>
            </w:r>
          </w:p>
        </w:tc>
        <w:tc>
          <w:tcPr>
            <w:tcW w:w="180" w:type="dxa"/>
            <w:vAlign w:val="bottom"/>
            <w:tcBorders>
              <w:bottom w:val="single" w:sz="8" w:color="8797B7"/>
            </w:tcBorders>
            <w:shd w:val="clear" w:color="auto" w:fill="ECECEC"/>
          </w:tcPr>
          <w:p>
            <w:pPr>
              <w:spacing w:after="0"/>
              <w:rPr>
                <w:sz w:val="24"/>
                <w:szCs w:val="24"/>
                <w:color w:val="auto"/>
              </w:rPr>
            </w:pPr>
          </w:p>
        </w:tc>
        <w:tc>
          <w:tcPr>
            <w:tcW w:w="150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4,500,000</w:t>
            </w:r>
          </w:p>
        </w:tc>
        <w:tc>
          <w:tcPr>
            <w:tcW w:w="20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4,500,000</w:t>
            </w:r>
          </w:p>
        </w:tc>
      </w:tr>
      <w:tr>
        <w:trPr>
          <w:trHeight w:val="291"/>
        </w:trPr>
        <w:tc>
          <w:tcPr>
            <w:tcW w:w="4040" w:type="dxa"/>
            <w:vAlign w:val="bottom"/>
            <w:tcBorders>
              <w:bottom w:val="single" w:sz="8" w:color="8797B7"/>
            </w:tcBorders>
            <w:shd w:val="clear" w:color="auto" w:fill="ECECEC"/>
          </w:tcPr>
          <w:p>
            <w:pPr>
              <w:spacing w:after="0" w:line="291" w:lineRule="exact"/>
              <w:rPr>
                <w:sz w:val="20"/>
                <w:szCs w:val="20"/>
                <w:color w:val="auto"/>
              </w:rPr>
            </w:pPr>
            <w:r>
              <w:rPr>
                <w:rFonts w:ascii="Arial" w:cs="Arial" w:eastAsia="Arial" w:hAnsi="Arial"/>
                <w:sz w:val="18"/>
                <w:szCs w:val="18"/>
                <w:color w:val="auto"/>
              </w:rPr>
              <w:t>Annual Performance-Based Award</w:t>
            </w:r>
            <w:r>
              <w:rPr>
                <w:rFonts w:ascii="Arial" w:cs="Arial" w:eastAsia="Arial" w:hAnsi="Arial"/>
                <w:sz w:val="29"/>
                <w:szCs w:val="29"/>
                <w:color w:val="auto"/>
                <w:vertAlign w:val="superscript"/>
              </w:rPr>
              <w:t>(5)</w:t>
            </w:r>
          </w:p>
        </w:tc>
        <w:tc>
          <w:tcPr>
            <w:tcW w:w="18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8,410,933</w:t>
            </w:r>
          </w:p>
        </w:tc>
        <w:tc>
          <w:tcPr>
            <w:tcW w:w="22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7,500,000</w:t>
            </w:r>
          </w:p>
        </w:tc>
        <w:tc>
          <w:tcPr>
            <w:tcW w:w="20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8797B7"/>
            </w:tcBorders>
            <w:shd w:val="clear" w:color="auto" w:fill="ECECEC"/>
          </w:tcPr>
          <w:p>
            <w:pPr>
              <w:jc w:val="right"/>
              <w:spacing w:after="0"/>
              <w:rPr>
                <w:sz w:val="20"/>
                <w:szCs w:val="20"/>
                <w:color w:val="auto"/>
              </w:rPr>
            </w:pPr>
            <w:r>
              <w:rPr>
                <w:rFonts w:ascii="Arial" w:cs="Arial" w:eastAsia="Arial" w:hAnsi="Arial"/>
                <w:sz w:val="18"/>
                <w:szCs w:val="18"/>
                <w:color w:val="auto"/>
              </w:rPr>
              <w:t>5,561,496</w:t>
            </w:r>
          </w:p>
        </w:tc>
      </w:tr>
      <w:tr>
        <w:trPr>
          <w:trHeight w:val="243"/>
        </w:trPr>
        <w:tc>
          <w:tcPr>
            <w:tcW w:w="404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Other Compensation</w:t>
            </w:r>
          </w:p>
        </w:tc>
        <w:tc>
          <w:tcPr>
            <w:tcW w:w="18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49,815</w:t>
            </w:r>
          </w:p>
        </w:tc>
        <w:tc>
          <w:tcPr>
            <w:tcW w:w="22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49,815</w:t>
            </w:r>
          </w:p>
        </w:tc>
        <w:tc>
          <w:tcPr>
            <w:tcW w:w="20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49,815</w:t>
            </w:r>
          </w:p>
        </w:tc>
      </w:tr>
      <w:tr>
        <w:trPr>
          <w:trHeight w:val="263"/>
        </w:trPr>
        <w:tc>
          <w:tcPr>
            <w:tcW w:w="4040" w:type="dxa"/>
            <w:vAlign w:val="bottom"/>
            <w:tcBorders>
              <w:bottom w:val="single" w:sz="8" w:color="355889"/>
            </w:tcBorders>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355889"/>
            </w:tcBorders>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355889"/>
            </w:tcBorders>
          </w:tcPr>
          <w:p>
            <w:pPr>
              <w:jc w:val="right"/>
              <w:spacing w:after="0"/>
              <w:rPr>
                <w:sz w:val="20"/>
                <w:szCs w:val="20"/>
                <w:color w:val="auto"/>
              </w:rPr>
            </w:pPr>
            <w:r>
              <w:rPr>
                <w:rFonts w:ascii="Arial" w:cs="Arial" w:eastAsia="Arial" w:hAnsi="Arial"/>
                <w:sz w:val="18"/>
                <w:szCs w:val="18"/>
                <w:b w:val="1"/>
                <w:bCs w:val="1"/>
                <w:color w:val="auto"/>
              </w:rPr>
              <w:t>20,990,016</w:t>
            </w:r>
          </w:p>
        </w:tc>
        <w:tc>
          <w:tcPr>
            <w:tcW w:w="220" w:type="dxa"/>
            <w:vAlign w:val="bottom"/>
            <w:tcBorders>
              <w:bottom w:val="single" w:sz="8" w:color="355889"/>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355889"/>
            </w:tcBorders>
          </w:tcPr>
          <w:p>
            <w:pPr>
              <w:jc w:val="right"/>
              <w:spacing w:after="0"/>
              <w:rPr>
                <w:sz w:val="20"/>
                <w:szCs w:val="20"/>
                <w:color w:val="auto"/>
              </w:rPr>
            </w:pPr>
            <w:r>
              <w:rPr>
                <w:rFonts w:ascii="Arial" w:cs="Arial" w:eastAsia="Arial" w:hAnsi="Arial"/>
                <w:sz w:val="18"/>
                <w:szCs w:val="18"/>
                <w:b w:val="1"/>
                <w:bCs w:val="1"/>
                <w:color w:val="auto"/>
              </w:rPr>
              <w:t>15,799,815</w:t>
            </w:r>
          </w:p>
        </w:tc>
        <w:tc>
          <w:tcPr>
            <w:tcW w:w="200" w:type="dxa"/>
            <w:vAlign w:val="bottom"/>
            <w:tcBorders>
              <w:bottom w:val="single" w:sz="8" w:color="355889"/>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355889"/>
            </w:tcBorders>
          </w:tcPr>
          <w:p>
            <w:pPr>
              <w:jc w:val="right"/>
              <w:spacing w:after="0"/>
              <w:rPr>
                <w:sz w:val="20"/>
                <w:szCs w:val="20"/>
                <w:color w:val="auto"/>
              </w:rPr>
            </w:pPr>
            <w:r>
              <w:rPr>
                <w:rFonts w:ascii="Arial" w:cs="Arial" w:eastAsia="Arial" w:hAnsi="Arial"/>
                <w:sz w:val="18"/>
                <w:szCs w:val="18"/>
                <w:b w:val="1"/>
                <w:bCs w:val="1"/>
                <w:color w:val="auto"/>
              </w:rPr>
              <w:t>14,576,311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-1139190</wp:posOffset>
            </wp:positionV>
            <wp:extent cx="8890" cy="7886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788670"/>
                    </a:xfrm>
                    <a:prstGeom prst="rect">
                      <a:avLst/>
                    </a:prstGeom>
                    <a:noFill/>
                  </pic:spPr>
                </pic:pic>
              </a:graphicData>
            </a:graphic>
          </wp:anchor>
        </w:drawing>
      </w:r>
    </w:p>
    <w:p>
      <w:pPr>
        <w:spacing w:after="0" w:line="87"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SCT amount includes $78,070, which represented a true-up of 2018 annual cash bonus.</w:t>
      </w:r>
    </w:p>
    <w:p>
      <w:pPr>
        <w:spacing w:after="0" w:line="66" w:lineRule="exact"/>
        <w:rPr>
          <w:rFonts w:ascii="Arial" w:cs="Arial" w:eastAsia="Arial" w:hAnsi="Arial"/>
          <w:sz w:val="13"/>
          <w:szCs w:val="13"/>
          <w:color w:val="auto"/>
        </w:rPr>
      </w:pPr>
    </w:p>
    <w:p>
      <w:pPr>
        <w:ind w:left="320" w:hanging="312"/>
        <w:spacing w:after="0"/>
        <w:tabs>
          <w:tab w:leader="none" w:pos="3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Represents annual equity bonus for 2018 granted in 2019. Discretionary annual equity bonus was eliminated in 2019.</w:t>
      </w:r>
    </w:p>
    <w:p>
      <w:pPr>
        <w:spacing w:after="0" w:line="66" w:lineRule="exact"/>
        <w:rPr>
          <w:rFonts w:ascii="Arial" w:cs="Arial" w:eastAsia="Arial" w:hAnsi="Arial"/>
          <w:sz w:val="13"/>
          <w:szCs w:val="13"/>
          <w:color w:val="auto"/>
        </w:rPr>
      </w:pPr>
    </w:p>
    <w:p>
      <w:pPr>
        <w:ind w:left="320" w:hanging="312"/>
        <w:spacing w:after="0"/>
        <w:tabs>
          <w:tab w:leader="none" w:pos="3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Represents a 2018 performance-based equity award under a prior employment agreement granted in 2019.</w:t>
      </w:r>
    </w:p>
    <w:p>
      <w:pPr>
        <w:spacing w:after="0" w:line="66" w:lineRule="exact"/>
        <w:rPr>
          <w:rFonts w:ascii="Arial" w:cs="Arial" w:eastAsia="Arial" w:hAnsi="Arial"/>
          <w:sz w:val="13"/>
          <w:szCs w:val="13"/>
          <w:color w:val="auto"/>
        </w:rPr>
      </w:pPr>
    </w:p>
    <w:p>
      <w:pPr>
        <w:ind w:left="320" w:hanging="312"/>
        <w:spacing w:after="0"/>
        <w:tabs>
          <w:tab w:leader="none" w:pos="3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Granted for 2019 performance in 2020, subject to time-based vesting over three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355889"/>
        </w:rPr>
        <w:t>“Stock Awards” vs. Stock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-348615</wp:posOffset>
            </wp:positionV>
            <wp:extent cx="1722755" cy="13290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22755" cy="1329055"/>
                    </a:xfrm>
                    <a:prstGeom prst="rect">
                      <a:avLst/>
                    </a:prstGeom>
                    <a:noFill/>
                  </pic:spPr>
                </pic:pic>
              </a:graphicData>
            </a:graphic>
          </wp:anchor>
        </w:drawing>
      </w:r>
    </w:p>
    <w:p>
      <w:pPr>
        <w:spacing w:after="0" w:line="94" w:lineRule="exact"/>
        <w:rPr>
          <w:sz w:val="20"/>
          <w:szCs w:val="20"/>
          <w:color w:val="auto"/>
        </w:rPr>
      </w:pPr>
    </w:p>
    <w:p>
      <w:pPr>
        <w:jc w:val="both"/>
        <w:ind w:right="340"/>
        <w:spacing w:after="0" w:line="275" w:lineRule="auto"/>
        <w:rPr>
          <w:sz w:val="20"/>
          <w:szCs w:val="20"/>
          <w:color w:val="auto"/>
        </w:rPr>
      </w:pPr>
      <w:r>
        <w:rPr>
          <w:rFonts w:ascii="Arial" w:cs="Arial" w:eastAsia="Arial" w:hAnsi="Arial"/>
          <w:sz w:val="16"/>
          <w:szCs w:val="16"/>
          <w:color w:val="355889"/>
        </w:rPr>
        <w:t xml:space="preserve">Due to SEC rules, the “Stock Awards” column of the 2019 SCT includes </w:t>
      </w:r>
      <w:r>
        <w:rPr>
          <w:rFonts w:ascii="Arial" w:cs="Arial" w:eastAsia="Arial" w:hAnsi="Arial"/>
          <w:sz w:val="16"/>
          <w:szCs w:val="16"/>
          <w:color w:val="FFFFFF"/>
        </w:rPr>
        <w:t>$8.0M</w:t>
      </w:r>
      <w:r>
        <w:rPr>
          <w:rFonts w:ascii="Arial" w:cs="Arial" w:eastAsia="Arial" w:hAnsi="Arial"/>
          <w:sz w:val="16"/>
          <w:szCs w:val="16"/>
          <w:color w:val="355889"/>
        </w:rPr>
        <w:t xml:space="preserve"> of 2018 compensation</w:t>
      </w:r>
    </w:p>
    <w:p>
      <w:pPr>
        <w:spacing w:after="0" w:line="1839" w:lineRule="exact"/>
        <w:rPr>
          <w:sz w:val="20"/>
          <w:szCs w:val="20"/>
          <w:color w:val="auto"/>
        </w:rPr>
      </w:pPr>
    </w:p>
    <w:p>
      <w:pPr>
        <w:sectPr>
          <w:pgSz w:w="11900" w:h="16838" w:orient="portrait"/>
          <w:cols w:equalWidth="0" w:num="2">
            <w:col w:w="8100" w:space="560"/>
            <w:col w:w="2580"/>
          </w:cols>
          <w:pgMar w:left="320" w:top="121" w:right="339" w:bottom="1440" w:gutter="0" w:footer="0" w:header="0"/>
          <w:type w:val="continuous"/>
        </w:sectPr>
      </w:pPr>
    </w:p>
    <w:p>
      <w:pPr>
        <w:ind w:left="320" w:right="100" w:hanging="312"/>
        <w:spacing w:after="0" w:line="248" w:lineRule="auto"/>
        <w:tabs>
          <w:tab w:leader="none" w:pos="320" w:val="left"/>
        </w:tabs>
        <w:numPr>
          <w:ilvl w:val="0"/>
          <w:numId w:val="67"/>
        </w:numPr>
        <w:rPr>
          <w:rFonts w:ascii="Arial" w:cs="Arial" w:eastAsia="Arial" w:hAnsi="Arial"/>
          <w:sz w:val="13"/>
          <w:szCs w:val="13"/>
          <w:color w:val="auto"/>
        </w:rPr>
      </w:pPr>
      <w:r>
        <w:rPr>
          <w:rFonts w:ascii="Arial" w:cs="Arial" w:eastAsia="Arial" w:hAnsi="Arial"/>
          <w:sz w:val="13"/>
          <w:szCs w:val="13"/>
          <w:color w:val="auto"/>
        </w:rPr>
        <w:t>For Actual Compensation (at 12/31/19), Annual Performance-Based Awards are shown based on the value at December 31, 2019 of the number of units that were earned based on operational performance through such date and excludes the value of units that remain subject to TSR performance through the full performance period. The SCT amount represents the grant date accounting value.</w:t>
      </w:r>
    </w:p>
    <w:p>
      <w:pPr>
        <w:spacing w:after="0" w:line="20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reviewing the information above, it is important to note that amounts actually realized by our CEO for 2019 compensation may differ from the amounts above based on (i) actual earning of performance-based awards following the conclusion of the three-year performance period scheduled to end on December 31, 2021, (ii) satisfaction of vesting requirements based on continued employment and (iii) fluctuation of market values through the expiration of applicable post-vesting required holding periods.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Our Executive Compensation Philosophy</w:t>
      </w:r>
    </w:p>
    <w:p>
      <w:pPr>
        <w:spacing w:after="0" w:line="233"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We adopted an executive compensation philosophy that rewards the achievement of annual and long-term goals of both the Company and individual executives, while achieving the following objectives:</w:t>
      </w:r>
    </w:p>
    <w:p>
      <w:pPr>
        <w:spacing w:after="0" w:line="209" w:lineRule="exact"/>
        <w:rPr>
          <w:sz w:val="20"/>
          <w:szCs w:val="20"/>
          <w:color w:val="auto"/>
        </w:rPr>
      </w:pPr>
    </w:p>
    <w:p>
      <w:pPr>
        <w:ind w:left="540" w:hanging="262"/>
        <w:spacing w:after="0"/>
        <w:tabs>
          <w:tab w:leader="none" w:pos="540" w:val="left"/>
        </w:tabs>
        <w:numPr>
          <w:ilvl w:val="0"/>
          <w:numId w:val="68"/>
        </w:numPr>
        <w:rPr>
          <w:rFonts w:ascii="Arial" w:cs="Arial" w:eastAsia="Arial" w:hAnsi="Arial"/>
          <w:sz w:val="17"/>
          <w:szCs w:val="17"/>
          <w:color w:val="355889"/>
        </w:rPr>
      </w:pPr>
      <w:r>
        <w:rPr>
          <w:rFonts w:ascii="Arial" w:cs="Arial" w:eastAsia="Arial" w:hAnsi="Arial"/>
          <w:sz w:val="18"/>
          <w:szCs w:val="18"/>
          <w:color w:val="auto"/>
        </w:rPr>
        <w:t>providing performance-based incentives that create a strong alignment of management and stockholder interests</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68"/>
        </w:numPr>
        <w:rPr>
          <w:rFonts w:ascii="Arial" w:cs="Arial" w:eastAsia="Arial" w:hAnsi="Arial"/>
          <w:sz w:val="17"/>
          <w:szCs w:val="17"/>
          <w:color w:val="355889"/>
        </w:rPr>
      </w:pPr>
      <w:r>
        <w:rPr>
          <w:rFonts w:ascii="Arial" w:cs="Arial" w:eastAsia="Arial" w:hAnsi="Arial"/>
          <w:sz w:val="18"/>
          <w:szCs w:val="18"/>
          <w:color w:val="auto"/>
        </w:rPr>
        <w:t>attracting and retaining top talent in a market that is highly competitive for New York City commercial real estate management</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68"/>
        </w:numPr>
        <w:rPr>
          <w:rFonts w:ascii="Arial" w:cs="Arial" w:eastAsia="Arial" w:hAnsi="Arial"/>
          <w:sz w:val="17"/>
          <w:szCs w:val="17"/>
          <w:color w:val="355889"/>
        </w:rPr>
      </w:pPr>
      <w:r>
        <w:rPr>
          <w:rFonts w:ascii="Arial" w:cs="Arial" w:eastAsia="Arial" w:hAnsi="Arial"/>
          <w:sz w:val="18"/>
          <w:szCs w:val="18"/>
          <w:color w:val="auto"/>
        </w:rPr>
        <w:t>motivating our executives to achieve, and reward them for achieving, superior performance</w:t>
      </w:r>
    </w:p>
    <w:p>
      <w:pPr>
        <w:spacing w:after="0" w:line="63" w:lineRule="exact"/>
        <w:rPr>
          <w:rFonts w:ascii="Arial" w:cs="Arial" w:eastAsia="Arial" w:hAnsi="Arial"/>
          <w:sz w:val="17"/>
          <w:szCs w:val="17"/>
          <w:color w:val="355889"/>
        </w:rPr>
      </w:pPr>
    </w:p>
    <w:p>
      <w:pPr>
        <w:ind w:left="540" w:hanging="262"/>
        <w:spacing w:after="0" w:line="239" w:lineRule="auto"/>
        <w:tabs>
          <w:tab w:leader="none" w:pos="540" w:val="left"/>
        </w:tabs>
        <w:numPr>
          <w:ilvl w:val="0"/>
          <w:numId w:val="68"/>
        </w:numPr>
        <w:rPr>
          <w:rFonts w:ascii="Arial" w:cs="Arial" w:eastAsia="Arial" w:hAnsi="Arial"/>
          <w:sz w:val="17"/>
          <w:szCs w:val="17"/>
          <w:color w:val="355889"/>
        </w:rPr>
      </w:pPr>
      <w:r>
        <w:rPr>
          <w:rFonts w:ascii="Arial" w:cs="Arial" w:eastAsia="Arial" w:hAnsi="Arial"/>
          <w:sz w:val="18"/>
          <w:szCs w:val="18"/>
          <w:color w:val="auto"/>
        </w:rPr>
        <w:t>achieving an appropriate balance between risk and reward in our compensation programs that does not create incentives for unnecessary or excessive risk taking</w:t>
      </w:r>
    </w:p>
    <w:p>
      <w:pPr>
        <w:spacing w:after="0" w:line="60" w:lineRule="exact"/>
        <w:rPr>
          <w:rFonts w:ascii="Arial" w:cs="Arial" w:eastAsia="Arial" w:hAnsi="Arial"/>
          <w:sz w:val="17"/>
          <w:szCs w:val="17"/>
          <w:color w:val="355889"/>
        </w:rPr>
      </w:pPr>
    </w:p>
    <w:p>
      <w:pPr>
        <w:ind w:left="540" w:hanging="262"/>
        <w:spacing w:after="0"/>
        <w:tabs>
          <w:tab w:leader="none" w:pos="540" w:val="left"/>
        </w:tabs>
        <w:numPr>
          <w:ilvl w:val="0"/>
          <w:numId w:val="68"/>
        </w:numPr>
        <w:rPr>
          <w:rFonts w:ascii="Arial" w:cs="Arial" w:eastAsia="Arial" w:hAnsi="Arial"/>
          <w:sz w:val="16"/>
          <w:szCs w:val="16"/>
          <w:color w:val="355889"/>
        </w:rPr>
      </w:pPr>
      <w:r>
        <w:rPr>
          <w:rFonts w:ascii="Arial" w:cs="Arial" w:eastAsia="Arial" w:hAnsi="Arial"/>
          <w:sz w:val="16"/>
          <w:szCs w:val="16"/>
          <w:color w:val="auto"/>
        </w:rPr>
        <w:t>fostering the dedication required to succeed against our competitors, while maintaining low overall general and administrative expense</w:t>
      </w:r>
    </w:p>
    <w:p>
      <w:pPr>
        <w:spacing w:after="0" w:line="235"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In order to reach these goals, the Committee, in consultation with our Chief Executive Officer and the Committee’s independent compensation consultant, adopted executive compensation practices that promote a pay-for-performance philosophy. Our primary business objective of maximizing TSR through growth in FFO while seeking appreciation in the value of our investment properties demands a long-term focus. Therefore, on both a current and historical basis, our executive compensation programs are based heavily on the achievement of both annual and multi-year performance measures.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Competitive Market for Talent</w:t>
      </w:r>
    </w:p>
    <w:p>
      <w:pPr>
        <w:spacing w:after="0" w:line="235"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In the market for talent and compensation, SLG is most comparable to real estate companies and other complex financial services-related industries. We evaluate our compensation in the same way: as a “fee, expense or load.” To that end, we evaluate our compensation relative to our total assets and revenue – fundamental performance metrics that industry analysts use to measure efficiency and the effectiveness of management teams.</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a REIT focused specifically on real estate in New York City – a high cost and very complex market – we compete with companies, both public and private, for a small number of talented executives. Among the top 15 New York City real estate companies – in terms of Manhattan office-space ownership – only six of those companies, including SL Green, are public. Many of our competitors are private companies and are not required to publicly disclose their compensation arrangements.</w:t>
      </w:r>
    </w:p>
    <w:p>
      <w:pPr>
        <w:spacing w:after="0" w:line="208"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Given the unique nature of our company – manifested by three primary characteristics: Active and Engaged Business Strategy, Operations on Multiple Platforms, and NYC-Focused Business Model – the Compensation Committee is continuously evaluating our executive compensation program to ensure that it aligns with our current business priorities and external market factors.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Compensation Practices</w:t>
      </w:r>
    </w:p>
    <w:p>
      <w:pPr>
        <w:spacing w:after="0" w:line="23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believe that our executive compensation programs provide appropriate performance-based incentives to attract and retain leadership talent in the highly competitive New York City real estate market, to align management and stockholder interests and to continue to drive our long-term track record of superior return to stockholders. The following are key features of our executive compensation programs, reflecting changes we have adopted following our extensive stockholder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136130" cy="15468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6130" cy="154686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337" w:lineRule="exact"/>
        <w:rPr>
          <w:sz w:val="20"/>
          <w:szCs w:val="20"/>
          <w:color w:val="auto"/>
        </w:rPr>
      </w:pPr>
    </w:p>
    <w:p>
      <w:pPr>
        <w:jc w:val="center"/>
        <w:ind w:left="400"/>
        <w:spacing w:after="0"/>
        <w:rPr>
          <w:sz w:val="20"/>
          <w:szCs w:val="20"/>
          <w:color w:val="auto"/>
        </w:rPr>
      </w:pPr>
      <w:r>
        <w:rPr>
          <w:rFonts w:ascii="Arial" w:cs="Arial" w:eastAsia="Arial" w:hAnsi="Arial"/>
          <w:sz w:val="13"/>
          <w:szCs w:val="13"/>
          <w:b w:val="1"/>
          <w:bCs w:val="1"/>
          <w:color w:val="355889"/>
        </w:rPr>
        <w:t>WHAT WE DO</w:t>
      </w:r>
    </w:p>
    <w:p>
      <w:pPr>
        <w:spacing w:after="0" w:line="86" w:lineRule="exact"/>
        <w:rPr>
          <w:sz w:val="20"/>
          <w:szCs w:val="20"/>
          <w:color w:val="auto"/>
        </w:rPr>
      </w:pPr>
    </w:p>
    <w:p>
      <w:pPr>
        <w:ind w:left="420" w:hanging="286"/>
        <w:spacing w:after="0"/>
        <w:tabs>
          <w:tab w:leader="none" w:pos="420" w:val="left"/>
        </w:tabs>
        <w:numPr>
          <w:ilvl w:val="0"/>
          <w:numId w:val="69"/>
        </w:numPr>
        <w:rPr>
          <w:rFonts w:ascii="MS PGothic" w:cs="MS PGothic" w:eastAsia="MS PGothic" w:hAnsi="MS PGothic"/>
          <w:sz w:val="17"/>
          <w:szCs w:val="17"/>
          <w:color w:val="355889"/>
        </w:rPr>
      </w:pPr>
      <w:r>
        <w:rPr>
          <w:rFonts w:ascii="Arial" w:cs="Arial" w:eastAsia="Arial" w:hAnsi="Arial"/>
          <w:sz w:val="18"/>
          <w:szCs w:val="18"/>
          <w:color w:val="auto"/>
        </w:rPr>
        <w:t>Pay for performance and create alignment with stockholders</w:t>
      </w:r>
    </w:p>
    <w:p>
      <w:pPr>
        <w:spacing w:after="0" w:line="9" w:lineRule="exact"/>
        <w:rPr>
          <w:rFonts w:ascii="MS PGothic" w:cs="MS PGothic" w:eastAsia="MS PGothic" w:hAnsi="MS PGothic"/>
          <w:sz w:val="17"/>
          <w:szCs w:val="17"/>
          <w:color w:val="355889"/>
        </w:rPr>
      </w:pPr>
    </w:p>
    <w:p>
      <w:pPr>
        <w:ind w:left="420" w:hanging="286"/>
        <w:spacing w:after="0"/>
        <w:tabs>
          <w:tab w:leader="none" w:pos="420" w:val="left"/>
        </w:tabs>
        <w:numPr>
          <w:ilvl w:val="0"/>
          <w:numId w:val="69"/>
        </w:numPr>
        <w:rPr>
          <w:rFonts w:ascii="MS PGothic" w:cs="MS PGothic" w:eastAsia="MS PGothic" w:hAnsi="MS PGothic"/>
          <w:sz w:val="17"/>
          <w:szCs w:val="17"/>
          <w:color w:val="355889"/>
        </w:rPr>
      </w:pPr>
      <w:r>
        <w:rPr>
          <w:rFonts w:ascii="Arial" w:cs="Arial" w:eastAsia="Arial" w:hAnsi="Arial"/>
          <w:sz w:val="18"/>
          <w:szCs w:val="18"/>
          <w:color w:val="auto"/>
        </w:rPr>
        <w:t>Include robust hurdles in our incentive plans</w:t>
      </w:r>
    </w:p>
    <w:p>
      <w:pPr>
        <w:spacing w:after="0" w:line="9" w:lineRule="exact"/>
        <w:rPr>
          <w:rFonts w:ascii="MS PGothic" w:cs="MS PGothic" w:eastAsia="MS PGothic" w:hAnsi="MS PGothic"/>
          <w:sz w:val="17"/>
          <w:szCs w:val="17"/>
          <w:color w:val="355889"/>
        </w:rPr>
      </w:pPr>
    </w:p>
    <w:p>
      <w:pPr>
        <w:ind w:left="400" w:right="120" w:hanging="266"/>
        <w:spacing w:after="0" w:line="242" w:lineRule="auto"/>
        <w:tabs>
          <w:tab w:leader="none" w:pos="413" w:val="left"/>
        </w:tabs>
        <w:numPr>
          <w:ilvl w:val="0"/>
          <w:numId w:val="69"/>
        </w:numPr>
        <w:rPr>
          <w:rFonts w:ascii="MS PGothic" w:cs="MS PGothic" w:eastAsia="MS PGothic" w:hAnsi="MS PGothic"/>
          <w:sz w:val="17"/>
          <w:szCs w:val="17"/>
          <w:color w:val="355889"/>
        </w:rPr>
      </w:pPr>
      <w:r>
        <w:rPr>
          <w:rFonts w:ascii="Arial" w:cs="Arial" w:eastAsia="Arial" w:hAnsi="Arial"/>
          <w:sz w:val="18"/>
          <w:szCs w:val="18"/>
          <w:color w:val="auto"/>
        </w:rPr>
        <w:t>Pay a majority of total compensation for our CEO and named executive officers in equity</w:t>
      </w:r>
    </w:p>
    <w:p>
      <w:pPr>
        <w:spacing w:after="0" w:line="1" w:lineRule="exact"/>
        <w:rPr>
          <w:rFonts w:ascii="MS PGothic" w:cs="MS PGothic" w:eastAsia="MS PGothic" w:hAnsi="MS PGothic"/>
          <w:sz w:val="17"/>
          <w:szCs w:val="17"/>
          <w:color w:val="355889"/>
        </w:rPr>
      </w:pPr>
    </w:p>
    <w:p>
      <w:pPr>
        <w:ind w:left="400" w:hanging="266"/>
        <w:spacing w:after="0" w:line="242" w:lineRule="auto"/>
        <w:tabs>
          <w:tab w:leader="none" w:pos="413" w:val="left"/>
        </w:tabs>
        <w:numPr>
          <w:ilvl w:val="0"/>
          <w:numId w:val="69"/>
        </w:numPr>
        <w:rPr>
          <w:rFonts w:ascii="MS PGothic" w:cs="MS PGothic" w:eastAsia="MS PGothic" w:hAnsi="MS PGothic"/>
          <w:sz w:val="17"/>
          <w:szCs w:val="17"/>
          <w:color w:val="355889"/>
        </w:rPr>
      </w:pPr>
      <w:r>
        <w:rPr>
          <w:rFonts w:ascii="Arial" w:cs="Arial" w:eastAsia="Arial" w:hAnsi="Arial"/>
          <w:sz w:val="18"/>
          <w:szCs w:val="18"/>
          <w:color w:val="auto"/>
        </w:rPr>
        <w:t>Follow robust equity ownership guidelines for our directors and named executive officers</w:t>
      </w:r>
    </w:p>
    <w:p>
      <w:pPr>
        <w:spacing w:after="0" w:line="1" w:lineRule="exact"/>
        <w:rPr>
          <w:rFonts w:ascii="MS PGothic" w:cs="MS PGothic" w:eastAsia="MS PGothic" w:hAnsi="MS PGothic"/>
          <w:sz w:val="17"/>
          <w:szCs w:val="17"/>
          <w:color w:val="355889"/>
        </w:rPr>
      </w:pPr>
    </w:p>
    <w:p>
      <w:pPr>
        <w:ind w:left="420" w:hanging="286"/>
        <w:spacing w:after="0"/>
        <w:tabs>
          <w:tab w:leader="none" w:pos="420" w:val="left"/>
        </w:tabs>
        <w:numPr>
          <w:ilvl w:val="0"/>
          <w:numId w:val="69"/>
        </w:numPr>
        <w:rPr>
          <w:rFonts w:ascii="MS PGothic" w:cs="MS PGothic" w:eastAsia="MS PGothic" w:hAnsi="MS PGothic"/>
          <w:sz w:val="17"/>
          <w:szCs w:val="17"/>
          <w:color w:val="355889"/>
        </w:rPr>
      </w:pPr>
      <w:r>
        <w:rPr>
          <w:rFonts w:ascii="Arial" w:cs="Arial" w:eastAsia="Arial" w:hAnsi="Arial"/>
          <w:sz w:val="18"/>
          <w:szCs w:val="18"/>
          <w:color w:val="auto"/>
        </w:rPr>
        <w:t>Impose a clawback policy with respect to incentive payments</w:t>
      </w:r>
    </w:p>
    <w:p>
      <w:pPr>
        <w:spacing w:after="0" w:line="9" w:lineRule="exact"/>
        <w:rPr>
          <w:rFonts w:ascii="MS PGothic" w:cs="MS PGothic" w:eastAsia="MS PGothic" w:hAnsi="MS PGothic"/>
          <w:sz w:val="17"/>
          <w:szCs w:val="17"/>
          <w:color w:val="355889"/>
        </w:rPr>
      </w:pPr>
    </w:p>
    <w:p>
      <w:pPr>
        <w:ind w:left="400" w:right="160" w:hanging="266"/>
        <w:spacing w:after="0" w:line="254" w:lineRule="auto"/>
        <w:tabs>
          <w:tab w:leader="none" w:pos="413" w:val="left"/>
        </w:tabs>
        <w:numPr>
          <w:ilvl w:val="0"/>
          <w:numId w:val="69"/>
        </w:numPr>
        <w:rPr>
          <w:rFonts w:ascii="MS PGothic" w:cs="MS PGothic" w:eastAsia="MS PGothic" w:hAnsi="MS PGothic"/>
          <w:sz w:val="17"/>
          <w:szCs w:val="17"/>
          <w:color w:val="355889"/>
        </w:rPr>
      </w:pPr>
      <w:r>
        <w:rPr>
          <w:rFonts w:ascii="Arial" w:cs="Arial" w:eastAsia="Arial" w:hAnsi="Arial"/>
          <w:sz w:val="18"/>
          <w:szCs w:val="18"/>
          <w:color w:val="auto"/>
        </w:rPr>
        <w:t>Require a double trigger for cash severance and accelerated vesting in connection with a change in control</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left="1983"/>
        <w:spacing w:after="0"/>
        <w:rPr>
          <w:sz w:val="20"/>
          <w:szCs w:val="20"/>
          <w:color w:val="auto"/>
        </w:rPr>
      </w:pPr>
      <w:r>
        <w:rPr>
          <w:rFonts w:ascii="Arial" w:cs="Arial" w:eastAsia="Arial" w:hAnsi="Arial"/>
          <w:sz w:val="13"/>
          <w:szCs w:val="13"/>
          <w:b w:val="1"/>
          <w:bCs w:val="1"/>
          <w:color w:val="959595"/>
        </w:rPr>
        <w:t>WHAT WE DON’T DO</w:t>
      </w:r>
    </w:p>
    <w:p>
      <w:pPr>
        <w:spacing w:after="0" w:line="86" w:lineRule="exact"/>
        <w:rPr>
          <w:sz w:val="20"/>
          <w:szCs w:val="20"/>
          <w:color w:val="auto"/>
        </w:rPr>
      </w:pPr>
    </w:p>
    <w:p>
      <w:pPr>
        <w:ind w:left="263" w:right="360" w:hanging="263"/>
        <w:spacing w:after="0" w:line="242" w:lineRule="auto"/>
        <w:tabs>
          <w:tab w:leader="none" w:pos="319" w:val="left"/>
        </w:tabs>
        <w:numPr>
          <w:ilvl w:val="0"/>
          <w:numId w:val="70"/>
        </w:numPr>
        <w:rPr>
          <w:rFonts w:ascii="MS PGothic" w:cs="MS PGothic" w:eastAsia="MS PGothic" w:hAnsi="MS PGothic"/>
          <w:sz w:val="17"/>
          <w:szCs w:val="17"/>
          <w:color w:val="959595"/>
        </w:rPr>
      </w:pPr>
      <w:r>
        <w:rPr>
          <w:rFonts w:ascii="Arial" w:cs="Arial" w:eastAsia="Arial" w:hAnsi="Arial"/>
          <w:sz w:val="18"/>
          <w:szCs w:val="18"/>
          <w:color w:val="auto"/>
        </w:rPr>
        <w:t>No dividends or distributions paid on unearned equity awards subject to performance-based vesting</w:t>
      </w:r>
    </w:p>
    <w:p>
      <w:pPr>
        <w:spacing w:after="0" w:line="1" w:lineRule="exact"/>
        <w:rPr>
          <w:rFonts w:ascii="MS PGothic" w:cs="MS PGothic" w:eastAsia="MS PGothic" w:hAnsi="MS PGothic"/>
          <w:sz w:val="17"/>
          <w:szCs w:val="17"/>
          <w:color w:val="959595"/>
        </w:rPr>
      </w:pPr>
    </w:p>
    <w:p>
      <w:pPr>
        <w:ind w:left="323" w:hanging="323"/>
        <w:spacing w:after="0"/>
        <w:tabs>
          <w:tab w:leader="none" w:pos="323" w:val="left"/>
        </w:tabs>
        <w:numPr>
          <w:ilvl w:val="0"/>
          <w:numId w:val="70"/>
        </w:numPr>
        <w:rPr>
          <w:rFonts w:ascii="MS PGothic" w:cs="MS PGothic" w:eastAsia="MS PGothic" w:hAnsi="MS PGothic"/>
          <w:sz w:val="17"/>
          <w:szCs w:val="17"/>
          <w:color w:val="959595"/>
        </w:rPr>
      </w:pPr>
      <w:r>
        <w:rPr>
          <w:rFonts w:ascii="Arial" w:cs="Arial" w:eastAsia="Arial" w:hAnsi="Arial"/>
          <w:sz w:val="18"/>
          <w:szCs w:val="18"/>
          <w:color w:val="auto"/>
        </w:rPr>
        <w:t>No excise tax gross-up provisions</w:t>
      </w:r>
    </w:p>
    <w:p>
      <w:pPr>
        <w:spacing w:after="0" w:line="9" w:lineRule="exact"/>
        <w:rPr>
          <w:rFonts w:ascii="MS PGothic" w:cs="MS PGothic" w:eastAsia="MS PGothic" w:hAnsi="MS PGothic"/>
          <w:sz w:val="17"/>
          <w:szCs w:val="17"/>
          <w:color w:val="959595"/>
        </w:rPr>
      </w:pPr>
    </w:p>
    <w:p>
      <w:pPr>
        <w:ind w:left="323" w:hanging="323"/>
        <w:spacing w:after="0"/>
        <w:tabs>
          <w:tab w:leader="none" w:pos="323" w:val="left"/>
        </w:tabs>
        <w:numPr>
          <w:ilvl w:val="0"/>
          <w:numId w:val="70"/>
        </w:numPr>
        <w:rPr>
          <w:rFonts w:ascii="MS PGothic" w:cs="MS PGothic" w:eastAsia="MS PGothic" w:hAnsi="MS PGothic"/>
          <w:sz w:val="17"/>
          <w:szCs w:val="17"/>
          <w:color w:val="959595"/>
        </w:rPr>
      </w:pPr>
      <w:r>
        <w:rPr>
          <w:rFonts w:ascii="Arial" w:cs="Arial" w:eastAsia="Arial" w:hAnsi="Arial"/>
          <w:sz w:val="18"/>
          <w:szCs w:val="18"/>
          <w:color w:val="auto"/>
        </w:rPr>
        <w:t>No repricing of stock options</w:t>
      </w:r>
    </w:p>
    <w:p>
      <w:pPr>
        <w:spacing w:after="0" w:line="9" w:lineRule="exact"/>
        <w:rPr>
          <w:rFonts w:ascii="MS PGothic" w:cs="MS PGothic" w:eastAsia="MS PGothic" w:hAnsi="MS PGothic"/>
          <w:sz w:val="17"/>
          <w:szCs w:val="17"/>
          <w:color w:val="959595"/>
        </w:rPr>
      </w:pPr>
    </w:p>
    <w:p>
      <w:pPr>
        <w:ind w:left="263" w:right="620" w:hanging="263"/>
        <w:spacing w:after="0" w:line="242" w:lineRule="auto"/>
        <w:tabs>
          <w:tab w:leader="none" w:pos="319" w:val="left"/>
        </w:tabs>
        <w:numPr>
          <w:ilvl w:val="0"/>
          <w:numId w:val="70"/>
        </w:numPr>
        <w:rPr>
          <w:rFonts w:ascii="MS PGothic" w:cs="MS PGothic" w:eastAsia="MS PGothic" w:hAnsi="MS PGothic"/>
          <w:sz w:val="17"/>
          <w:szCs w:val="17"/>
          <w:color w:val="959595"/>
        </w:rPr>
      </w:pPr>
      <w:r>
        <w:rPr>
          <w:rFonts w:ascii="Arial" w:cs="Arial" w:eastAsia="Arial" w:hAnsi="Arial"/>
          <w:sz w:val="18"/>
          <w:szCs w:val="18"/>
          <w:color w:val="auto"/>
        </w:rPr>
        <w:t>No single trigger cash severance or accelerated vesting in connection with a change in control</w:t>
      </w:r>
    </w:p>
    <w:p>
      <w:pPr>
        <w:spacing w:after="0" w:line="1" w:lineRule="exact"/>
        <w:rPr>
          <w:rFonts w:ascii="MS PGothic" w:cs="MS PGothic" w:eastAsia="MS PGothic" w:hAnsi="MS PGothic"/>
          <w:sz w:val="17"/>
          <w:szCs w:val="17"/>
          <w:color w:val="959595"/>
        </w:rPr>
      </w:pPr>
    </w:p>
    <w:p>
      <w:pPr>
        <w:ind w:left="323" w:hanging="323"/>
        <w:spacing w:after="0"/>
        <w:tabs>
          <w:tab w:leader="none" w:pos="323" w:val="left"/>
        </w:tabs>
        <w:numPr>
          <w:ilvl w:val="0"/>
          <w:numId w:val="70"/>
        </w:numPr>
        <w:rPr>
          <w:rFonts w:ascii="MS PGothic" w:cs="MS PGothic" w:eastAsia="MS PGothic" w:hAnsi="MS PGothic"/>
          <w:sz w:val="17"/>
          <w:szCs w:val="17"/>
          <w:color w:val="959595"/>
        </w:rPr>
      </w:pPr>
      <w:r>
        <w:rPr>
          <w:rFonts w:ascii="Arial" w:cs="Arial" w:eastAsia="Arial" w:hAnsi="Arial"/>
          <w:sz w:val="18"/>
          <w:szCs w:val="18"/>
          <w:color w:val="auto"/>
        </w:rPr>
        <w:t>Don’t allow directors or officers to hedge our securities</w:t>
      </w:r>
    </w:p>
    <w:p>
      <w:pPr>
        <w:spacing w:after="0" w:line="647" w:lineRule="exact"/>
        <w:rPr>
          <w:sz w:val="20"/>
          <w:szCs w:val="20"/>
          <w:color w:val="auto"/>
        </w:rPr>
      </w:pPr>
    </w:p>
    <w:p>
      <w:pPr>
        <w:sectPr>
          <w:pgSz w:w="11900" w:h="16838" w:orient="portrait"/>
          <w:cols w:equalWidth="0" w:num="2">
            <w:col w:w="5280" w:space="497"/>
            <w:col w:w="5443"/>
          </w:cols>
          <w:pgMar w:left="320" w:top="121" w:right="359" w:bottom="1440" w:gutter="0" w:footer="0" w:header="0"/>
          <w:type w:val="continuous"/>
        </w:sectPr>
      </w:pPr>
    </w:p>
    <w:p>
      <w:pPr>
        <w:spacing w:after="0" w:line="158" w:lineRule="exact"/>
        <w:rPr>
          <w:sz w:val="20"/>
          <w:szCs w:val="20"/>
          <w:color w:val="auto"/>
        </w:rPr>
      </w:pPr>
    </w:p>
    <w:p>
      <w:pPr>
        <w:ind w:left="300" w:hanging="292"/>
        <w:spacing w:after="0"/>
        <w:tabs>
          <w:tab w:leader="none" w:pos="300" w:val="left"/>
        </w:tabs>
        <w:numPr>
          <w:ilvl w:val="0"/>
          <w:numId w:val="71"/>
        </w:numPr>
        <w:rPr>
          <w:rFonts w:ascii="Arial" w:cs="Arial" w:eastAsia="Arial" w:hAnsi="Arial"/>
          <w:sz w:val="16"/>
          <w:szCs w:val="16"/>
          <w:color w:val="3558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Our 2019 Executive Compensation Program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For 2019, our named executive officers’ compensation had four components:</w:t>
      </w:r>
    </w:p>
    <w:p>
      <w:pPr>
        <w:spacing w:after="0" w:line="212" w:lineRule="exact"/>
        <w:rPr>
          <w:sz w:val="20"/>
          <w:szCs w:val="20"/>
          <w:color w:val="auto"/>
        </w:rPr>
      </w:pPr>
    </w:p>
    <w:p>
      <w:pPr>
        <w:ind w:left="540" w:hanging="262"/>
        <w:spacing w:after="0"/>
        <w:tabs>
          <w:tab w:leader="none" w:pos="540" w:val="left"/>
        </w:tabs>
        <w:numPr>
          <w:ilvl w:val="0"/>
          <w:numId w:val="72"/>
        </w:numPr>
        <w:rPr>
          <w:rFonts w:ascii="Arial" w:cs="Arial" w:eastAsia="Arial" w:hAnsi="Arial"/>
          <w:sz w:val="17"/>
          <w:szCs w:val="17"/>
          <w:color w:val="355889"/>
        </w:rPr>
      </w:pPr>
      <w:r>
        <w:rPr>
          <w:rFonts w:ascii="Arial" w:cs="Arial" w:eastAsia="Arial" w:hAnsi="Arial"/>
          <w:sz w:val="18"/>
          <w:szCs w:val="18"/>
          <w:color w:val="auto"/>
        </w:rPr>
        <w:t>annual base salary;</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72"/>
        </w:numPr>
        <w:rPr>
          <w:rFonts w:ascii="Arial" w:cs="Arial" w:eastAsia="Arial" w:hAnsi="Arial"/>
          <w:sz w:val="17"/>
          <w:szCs w:val="17"/>
          <w:color w:val="355889"/>
        </w:rPr>
      </w:pPr>
      <w:r>
        <w:rPr>
          <w:rFonts w:ascii="Arial" w:cs="Arial" w:eastAsia="Arial" w:hAnsi="Arial"/>
          <w:sz w:val="18"/>
          <w:szCs w:val="18"/>
          <w:color w:val="auto"/>
        </w:rPr>
        <w:t>annual cash bonus;</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72"/>
        </w:numPr>
        <w:rPr>
          <w:rFonts w:ascii="Arial" w:cs="Arial" w:eastAsia="Arial" w:hAnsi="Arial"/>
          <w:sz w:val="17"/>
          <w:szCs w:val="17"/>
          <w:color w:val="355889"/>
        </w:rPr>
      </w:pPr>
      <w:r>
        <w:rPr>
          <w:rFonts w:ascii="Arial" w:cs="Arial" w:eastAsia="Arial" w:hAnsi="Arial"/>
          <w:sz w:val="18"/>
          <w:szCs w:val="18"/>
          <w:color w:val="auto"/>
        </w:rPr>
        <w:t>performance-based long-term equity incentive awards; and</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72"/>
        </w:numPr>
        <w:rPr>
          <w:rFonts w:ascii="Arial" w:cs="Arial" w:eastAsia="Arial" w:hAnsi="Arial"/>
          <w:sz w:val="17"/>
          <w:szCs w:val="17"/>
          <w:color w:val="355889"/>
        </w:rPr>
      </w:pPr>
      <w:r>
        <w:rPr>
          <w:rFonts w:ascii="Arial" w:cs="Arial" w:eastAsia="Arial" w:hAnsi="Arial"/>
          <w:sz w:val="18"/>
          <w:szCs w:val="18"/>
          <w:color w:val="auto"/>
        </w:rPr>
        <w:t>time-based long-term equity incentive awards.</w:t>
      </w:r>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This simplified compensation structure is the culmination of our extensive, multi-year shareholder outreach program. Over the last five years, we have listened to shareholder concerns about the complexity and lack of transparency in our compensation programs, and at every opportunity the Committee has taken thoughtful and decisive action to respond to each of the issues raised by our shareholders. As a result, we have transformed our compensation programs to align with shareholder feedback, while maintaining an overall incentive structure that is flexible and attractive enough to retain our strong senior management team in the competitive New York City market.</w:t>
      </w:r>
    </w:p>
    <w:p>
      <w:pPr>
        <w:spacing w:after="0" w:line="211"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Through this process, we reduced the number of compensation elements used for our executive officers from seven to four, increased transparency through the use of incentives driven by company performance and enhanced the connection between pay and performance by eliminating retesting features, focusing on multi-year performance periods and eliminating guaranteed equity grants.</w:t>
      </w:r>
    </w:p>
    <w:p>
      <w:pPr>
        <w:spacing w:after="0" w:line="208"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These elements of compensation are built into the employment agreements we entered into with our CEO, President and General Counsel in 2018. Our CFO’s current employment agreement was entered into in early 2018 before we had completed the restructuring of our named executive officers’ compensation and, accordingly, the long-term equity incentive awards Mr. DiLiberto received upon entering into the agreement include certain features that we have removed from our other executives’ current employment agreements.</w:t>
      </w:r>
    </w:p>
    <w:p>
      <w:pPr>
        <w:spacing w:after="0" w:line="20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continue to emphasize variable pay, which constitutes the vast majority of our executives’ compensation, and allows the Committee to reward superior performance, while the substantial long-term equity incentive portions of our compensation programs serve to align the interests of our named executive officers with those of our stockholders.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shd w:val="clear" w:color="auto" w:fill="355889"/>
          </w:tcPr>
          <w:p>
            <w:pPr>
              <w:spacing w:after="0"/>
              <w:rPr>
                <w:sz w:val="17"/>
                <w:szCs w:val="17"/>
                <w:color w:val="auto"/>
              </w:rPr>
            </w:pPr>
          </w:p>
        </w:tc>
        <w:tc>
          <w:tcPr>
            <w:tcW w:w="2520" w:type="dxa"/>
            <w:vAlign w:val="bottom"/>
            <w:shd w:val="clear" w:color="auto" w:fill="355889"/>
          </w:tcPr>
          <w:p>
            <w:pPr>
              <w:ind w:left="180"/>
              <w:spacing w:after="0"/>
              <w:rPr>
                <w:sz w:val="20"/>
                <w:szCs w:val="20"/>
                <w:color w:val="auto"/>
              </w:rPr>
            </w:pPr>
            <w:r>
              <w:rPr>
                <w:rFonts w:ascii="Arial" w:cs="Arial" w:eastAsia="Arial" w:hAnsi="Arial"/>
                <w:sz w:val="13"/>
                <w:szCs w:val="13"/>
                <w:b w:val="1"/>
                <w:bCs w:val="1"/>
                <w:color w:val="FFFFFF"/>
              </w:rPr>
              <w:t>Pay Element</w:t>
            </w:r>
          </w:p>
        </w:tc>
        <w:tc>
          <w:tcPr>
            <w:tcW w:w="7560" w:type="dxa"/>
            <w:vAlign w:val="bottom"/>
            <w:shd w:val="clear" w:color="auto" w:fill="355889"/>
          </w:tcPr>
          <w:p>
            <w:pPr>
              <w:ind w:left="180"/>
              <w:spacing w:after="0"/>
              <w:rPr>
                <w:sz w:val="20"/>
                <w:szCs w:val="20"/>
                <w:color w:val="auto"/>
              </w:rPr>
            </w:pPr>
            <w:r>
              <w:rPr>
                <w:rFonts w:ascii="Arial" w:cs="Arial" w:eastAsia="Arial" w:hAnsi="Arial"/>
                <w:sz w:val="13"/>
                <w:szCs w:val="13"/>
                <w:b w:val="1"/>
                <w:bCs w:val="1"/>
                <w:color w:val="FFFFFF"/>
              </w:rPr>
              <w:t>Key Characteristics</w:t>
            </w:r>
          </w:p>
        </w:tc>
        <w:tc>
          <w:tcPr>
            <w:tcW w:w="0" w:type="dxa"/>
            <w:vAlign w:val="bottom"/>
          </w:tcPr>
          <w:p>
            <w:pPr>
              <w:spacing w:after="0"/>
              <w:rPr>
                <w:sz w:val="1"/>
                <w:szCs w:val="1"/>
                <w:color w:val="auto"/>
              </w:rPr>
            </w:pPr>
          </w:p>
        </w:tc>
      </w:tr>
      <w:tr>
        <w:trPr>
          <w:trHeight w:val="241"/>
        </w:trPr>
        <w:tc>
          <w:tcPr>
            <w:tcW w:w="1160" w:type="dxa"/>
            <w:vAlign w:val="bottom"/>
            <w:vMerge w:val="restart"/>
            <w:shd w:val="clear" w:color="auto" w:fill="8797B7"/>
          </w:tcPr>
          <w:p>
            <w:pPr>
              <w:jc w:val="center"/>
              <w:spacing w:after="0"/>
              <w:rPr>
                <w:sz w:val="20"/>
                <w:szCs w:val="20"/>
                <w:color w:val="auto"/>
              </w:rPr>
            </w:pPr>
            <w:r>
              <w:rPr>
                <w:rFonts w:ascii="Arial" w:cs="Arial" w:eastAsia="Arial" w:hAnsi="Arial"/>
                <w:sz w:val="18"/>
                <w:szCs w:val="18"/>
                <w:b w:val="1"/>
                <w:bCs w:val="1"/>
                <w:color w:val="FFFFFF"/>
                <w:w w:val="97"/>
              </w:rPr>
              <w:t>Fixed</w:t>
            </w:r>
          </w:p>
        </w:tc>
        <w:tc>
          <w:tcPr>
            <w:tcW w:w="2520" w:type="dxa"/>
            <w:vAlign w:val="bottom"/>
            <w:shd w:val="clear" w:color="auto" w:fill="CCD3E1"/>
          </w:tcPr>
          <w:p>
            <w:pPr>
              <w:ind w:left="180"/>
              <w:spacing w:after="0"/>
              <w:rPr>
                <w:sz w:val="20"/>
                <w:szCs w:val="20"/>
                <w:color w:val="auto"/>
              </w:rPr>
            </w:pPr>
            <w:r>
              <w:rPr>
                <w:rFonts w:ascii="Arial" w:cs="Arial" w:eastAsia="Arial" w:hAnsi="Arial"/>
                <w:sz w:val="18"/>
                <w:szCs w:val="18"/>
                <w:color w:val="auto"/>
              </w:rPr>
              <w:t>Annual Base Salary</w:t>
            </w:r>
          </w:p>
        </w:tc>
        <w:tc>
          <w:tcPr>
            <w:tcW w:w="7560" w:type="dxa"/>
            <w:vAlign w:val="bottom"/>
          </w:tcPr>
          <w:p>
            <w:pPr>
              <w:ind w:left="18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Reflects the scope of each executive officer’s duties and responsibilities taking into</w:t>
            </w:r>
          </w:p>
        </w:tc>
        <w:tc>
          <w:tcPr>
            <w:tcW w:w="0" w:type="dxa"/>
            <w:vAlign w:val="bottom"/>
          </w:tcPr>
          <w:p>
            <w:pPr>
              <w:spacing w:after="0"/>
              <w:rPr>
                <w:sz w:val="1"/>
                <w:szCs w:val="1"/>
                <w:color w:val="auto"/>
              </w:rPr>
            </w:pPr>
          </w:p>
        </w:tc>
      </w:tr>
      <w:tr>
        <w:trPr>
          <w:trHeight w:val="208"/>
        </w:trPr>
        <w:tc>
          <w:tcPr>
            <w:tcW w:w="1160" w:type="dxa"/>
            <w:vAlign w:val="bottom"/>
            <w:vMerge w:val="continue"/>
            <w:shd w:val="clear" w:color="auto" w:fill="8797B7"/>
          </w:tcPr>
          <w:p>
            <w:pPr>
              <w:spacing w:after="0"/>
              <w:rPr>
                <w:sz w:val="18"/>
                <w:szCs w:val="18"/>
                <w:color w:val="auto"/>
              </w:rPr>
            </w:pPr>
          </w:p>
        </w:tc>
        <w:tc>
          <w:tcPr>
            <w:tcW w:w="2520" w:type="dxa"/>
            <w:vAlign w:val="bottom"/>
            <w:shd w:val="clear" w:color="auto" w:fill="CCD3E1"/>
          </w:tcPr>
          <w:p>
            <w:pPr>
              <w:spacing w:after="0"/>
              <w:rPr>
                <w:sz w:val="18"/>
                <w:szCs w:val="18"/>
                <w:color w:val="auto"/>
              </w:rPr>
            </w:pPr>
          </w:p>
        </w:tc>
        <w:tc>
          <w:tcPr>
            <w:tcW w:w="7560" w:type="dxa"/>
            <w:vAlign w:val="bottom"/>
          </w:tcPr>
          <w:p>
            <w:pPr>
              <w:ind w:left="460"/>
              <w:spacing w:after="0"/>
              <w:rPr>
                <w:sz w:val="20"/>
                <w:szCs w:val="20"/>
                <w:color w:val="auto"/>
              </w:rPr>
            </w:pPr>
            <w:r>
              <w:rPr>
                <w:rFonts w:ascii="Arial" w:cs="Arial" w:eastAsia="Arial" w:hAnsi="Arial"/>
                <w:sz w:val="18"/>
                <w:szCs w:val="18"/>
                <w:color w:val="auto"/>
              </w:rPr>
              <w:t>account the competitive market compensation paid by other companies for similar</w:t>
            </w:r>
          </w:p>
        </w:tc>
        <w:tc>
          <w:tcPr>
            <w:tcW w:w="0" w:type="dxa"/>
            <w:vAlign w:val="bottom"/>
          </w:tcPr>
          <w:p>
            <w:pPr>
              <w:spacing w:after="0"/>
              <w:rPr>
                <w:sz w:val="1"/>
                <w:szCs w:val="1"/>
                <w:color w:val="auto"/>
              </w:rPr>
            </w:pPr>
          </w:p>
        </w:tc>
      </w:tr>
      <w:tr>
        <w:trPr>
          <w:trHeight w:val="220"/>
        </w:trPr>
        <w:tc>
          <w:tcPr>
            <w:tcW w:w="1160" w:type="dxa"/>
            <w:vAlign w:val="bottom"/>
            <w:tcBorders>
              <w:bottom w:val="single" w:sz="8" w:color="8797B7"/>
            </w:tcBorders>
            <w:shd w:val="clear" w:color="auto" w:fill="8797B7"/>
          </w:tcPr>
          <w:p>
            <w:pPr>
              <w:spacing w:after="0"/>
              <w:rPr>
                <w:sz w:val="19"/>
                <w:szCs w:val="19"/>
                <w:color w:val="auto"/>
              </w:rPr>
            </w:pPr>
          </w:p>
        </w:tc>
        <w:tc>
          <w:tcPr>
            <w:tcW w:w="2520" w:type="dxa"/>
            <w:vAlign w:val="bottom"/>
            <w:tcBorders>
              <w:bottom w:val="single" w:sz="8" w:color="8797B7"/>
            </w:tcBorders>
            <w:shd w:val="clear" w:color="auto" w:fill="CCD3E1"/>
          </w:tcPr>
          <w:p>
            <w:pPr>
              <w:spacing w:after="0"/>
              <w:rPr>
                <w:sz w:val="19"/>
                <w:szCs w:val="19"/>
                <w:color w:val="auto"/>
              </w:rPr>
            </w:pPr>
          </w:p>
        </w:tc>
        <w:tc>
          <w:tcPr>
            <w:tcW w:w="7560" w:type="dxa"/>
            <w:vAlign w:val="bottom"/>
            <w:tcBorders>
              <w:bottom w:val="single" w:sz="8" w:color="8797B7"/>
            </w:tcBorders>
          </w:tcPr>
          <w:p>
            <w:pPr>
              <w:ind w:left="460"/>
              <w:spacing w:after="0"/>
              <w:rPr>
                <w:sz w:val="20"/>
                <w:szCs w:val="20"/>
                <w:color w:val="auto"/>
              </w:rPr>
            </w:pPr>
            <w:r>
              <w:rPr>
                <w:rFonts w:ascii="Arial" w:cs="Arial" w:eastAsia="Arial" w:hAnsi="Arial"/>
                <w:sz w:val="18"/>
                <w:szCs w:val="18"/>
                <w:color w:val="auto"/>
              </w:rPr>
              <w:t>positions</w:t>
            </w:r>
          </w:p>
        </w:tc>
        <w:tc>
          <w:tcPr>
            <w:tcW w:w="0" w:type="dxa"/>
            <w:vAlign w:val="bottom"/>
          </w:tcPr>
          <w:p>
            <w:pPr>
              <w:spacing w:after="0"/>
              <w:rPr>
                <w:sz w:val="1"/>
                <w:szCs w:val="1"/>
                <w:color w:val="auto"/>
              </w:rPr>
            </w:pPr>
          </w:p>
        </w:tc>
      </w:tr>
      <w:tr>
        <w:trPr>
          <w:trHeight w:val="241"/>
        </w:trPr>
        <w:tc>
          <w:tcPr>
            <w:tcW w:w="1160" w:type="dxa"/>
            <w:vAlign w:val="bottom"/>
            <w:shd w:val="clear" w:color="auto" w:fill="959595"/>
          </w:tcPr>
          <w:p>
            <w:pPr>
              <w:spacing w:after="0"/>
              <w:rPr>
                <w:sz w:val="20"/>
                <w:szCs w:val="20"/>
                <w:color w:val="auto"/>
              </w:rPr>
            </w:pPr>
          </w:p>
        </w:tc>
        <w:tc>
          <w:tcPr>
            <w:tcW w:w="2520" w:type="dxa"/>
            <w:vAlign w:val="bottom"/>
            <w:shd w:val="clear" w:color="auto" w:fill="D6D6D6"/>
          </w:tcPr>
          <w:p>
            <w:pPr>
              <w:ind w:left="180"/>
              <w:spacing w:after="0"/>
              <w:rPr>
                <w:sz w:val="20"/>
                <w:szCs w:val="20"/>
                <w:color w:val="auto"/>
              </w:rPr>
            </w:pPr>
            <w:r>
              <w:rPr>
                <w:rFonts w:ascii="Arial" w:cs="Arial" w:eastAsia="Arial" w:hAnsi="Arial"/>
                <w:sz w:val="18"/>
                <w:szCs w:val="18"/>
                <w:color w:val="auto"/>
              </w:rPr>
              <w:t>Annual Cash Bonus</w:t>
            </w:r>
          </w:p>
        </w:tc>
        <w:tc>
          <w:tcPr>
            <w:tcW w:w="7560" w:type="dxa"/>
            <w:vAlign w:val="bottom"/>
          </w:tcPr>
          <w:p>
            <w:pPr>
              <w:ind w:left="18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100% formulaic payout for our CEO and President, based on specific performance</w:t>
            </w:r>
          </w:p>
        </w:tc>
        <w:tc>
          <w:tcPr>
            <w:tcW w:w="0" w:type="dxa"/>
            <w:vAlign w:val="bottom"/>
          </w:tcPr>
          <w:p>
            <w:pPr>
              <w:spacing w:after="0"/>
              <w:rPr>
                <w:sz w:val="1"/>
                <w:szCs w:val="1"/>
                <w:color w:val="auto"/>
              </w:rPr>
            </w:pPr>
          </w:p>
        </w:tc>
      </w:tr>
      <w:tr>
        <w:trPr>
          <w:trHeight w:val="225"/>
        </w:trPr>
        <w:tc>
          <w:tcPr>
            <w:tcW w:w="1160" w:type="dxa"/>
            <w:vAlign w:val="bottom"/>
            <w:tcBorders>
              <w:bottom w:val="single" w:sz="8" w:color="959595"/>
            </w:tcBorders>
            <w:shd w:val="clear" w:color="auto" w:fill="959595"/>
          </w:tcPr>
          <w:p>
            <w:pPr>
              <w:spacing w:after="0"/>
              <w:rPr>
                <w:sz w:val="19"/>
                <w:szCs w:val="19"/>
                <w:color w:val="auto"/>
              </w:rPr>
            </w:pPr>
          </w:p>
        </w:tc>
        <w:tc>
          <w:tcPr>
            <w:tcW w:w="2520" w:type="dxa"/>
            <w:vAlign w:val="bottom"/>
            <w:tcBorders>
              <w:bottom w:val="single" w:sz="8" w:color="8797B7"/>
            </w:tcBorders>
            <w:shd w:val="clear" w:color="auto" w:fill="D6D6D6"/>
          </w:tcPr>
          <w:p>
            <w:pPr>
              <w:spacing w:after="0"/>
              <w:rPr>
                <w:sz w:val="19"/>
                <w:szCs w:val="19"/>
                <w:color w:val="auto"/>
              </w:rPr>
            </w:pPr>
          </w:p>
        </w:tc>
        <w:tc>
          <w:tcPr>
            <w:tcW w:w="7560" w:type="dxa"/>
            <w:vAlign w:val="bottom"/>
            <w:tcBorders>
              <w:bottom w:val="single" w:sz="8" w:color="8797B7"/>
            </w:tcBorders>
          </w:tcPr>
          <w:p>
            <w:pPr>
              <w:ind w:left="460"/>
              <w:spacing w:after="0"/>
              <w:rPr>
                <w:sz w:val="20"/>
                <w:szCs w:val="20"/>
                <w:color w:val="auto"/>
              </w:rPr>
            </w:pPr>
            <w:r>
              <w:rPr>
                <w:rFonts w:ascii="Arial" w:cs="Arial" w:eastAsia="Arial" w:hAnsi="Arial"/>
                <w:sz w:val="18"/>
                <w:szCs w:val="18"/>
                <w:color w:val="auto"/>
              </w:rPr>
              <w:t>criteria linked to our strategy; discretionary for our other named executive officers</w:t>
            </w:r>
          </w:p>
        </w:tc>
        <w:tc>
          <w:tcPr>
            <w:tcW w:w="0" w:type="dxa"/>
            <w:vAlign w:val="bottom"/>
          </w:tcPr>
          <w:p>
            <w:pPr>
              <w:spacing w:after="0"/>
              <w:rPr>
                <w:sz w:val="1"/>
                <w:szCs w:val="1"/>
                <w:color w:val="auto"/>
              </w:rPr>
            </w:pPr>
          </w:p>
        </w:tc>
      </w:tr>
      <w:tr>
        <w:trPr>
          <w:trHeight w:val="233"/>
        </w:trPr>
        <w:tc>
          <w:tcPr>
            <w:tcW w:w="1160" w:type="dxa"/>
            <w:vAlign w:val="bottom"/>
            <w:vMerge w:val="restart"/>
            <w:shd w:val="clear" w:color="auto" w:fill="959595"/>
          </w:tcPr>
          <w:p>
            <w:pPr>
              <w:jc w:val="center"/>
              <w:spacing w:after="0"/>
              <w:rPr>
                <w:sz w:val="20"/>
                <w:szCs w:val="20"/>
                <w:color w:val="auto"/>
              </w:rPr>
            </w:pPr>
            <w:r>
              <w:rPr>
                <w:rFonts w:ascii="Arial" w:cs="Arial" w:eastAsia="Arial" w:hAnsi="Arial"/>
                <w:sz w:val="18"/>
                <w:szCs w:val="18"/>
                <w:b w:val="1"/>
                <w:bCs w:val="1"/>
                <w:color w:val="FFFFFF"/>
                <w:w w:val="97"/>
              </w:rPr>
              <w:t>Variable</w:t>
            </w:r>
          </w:p>
        </w:tc>
        <w:tc>
          <w:tcPr>
            <w:tcW w:w="2520" w:type="dxa"/>
            <w:vAlign w:val="bottom"/>
            <w:shd w:val="clear" w:color="auto" w:fill="CCD3E1"/>
          </w:tcPr>
          <w:p>
            <w:pPr>
              <w:ind w:left="180"/>
              <w:spacing w:after="0"/>
              <w:rPr>
                <w:sz w:val="20"/>
                <w:szCs w:val="20"/>
                <w:color w:val="auto"/>
              </w:rPr>
            </w:pPr>
            <w:r>
              <w:rPr>
                <w:rFonts w:ascii="Arial" w:cs="Arial" w:eastAsia="Arial" w:hAnsi="Arial"/>
                <w:sz w:val="18"/>
                <w:szCs w:val="18"/>
                <w:color w:val="auto"/>
              </w:rPr>
              <w:t>Performance-Based</w:t>
            </w:r>
          </w:p>
        </w:tc>
        <w:tc>
          <w:tcPr>
            <w:tcW w:w="7560" w:type="dxa"/>
            <w:vAlign w:val="bottom"/>
          </w:tcPr>
          <w:p>
            <w:pPr>
              <w:ind w:left="18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Performance-based equity award that can be earned based on (i) operational measures</w:t>
            </w:r>
          </w:p>
        </w:tc>
        <w:tc>
          <w:tcPr>
            <w:tcW w:w="0" w:type="dxa"/>
            <w:vAlign w:val="bottom"/>
          </w:tcPr>
          <w:p>
            <w:pPr>
              <w:spacing w:after="0"/>
              <w:rPr>
                <w:sz w:val="1"/>
                <w:szCs w:val="1"/>
                <w:color w:val="auto"/>
              </w:rPr>
            </w:pPr>
          </w:p>
        </w:tc>
      </w:tr>
      <w:tr>
        <w:trPr>
          <w:trHeight w:val="216"/>
        </w:trPr>
        <w:tc>
          <w:tcPr>
            <w:tcW w:w="1160" w:type="dxa"/>
            <w:vAlign w:val="bottom"/>
            <w:vMerge w:val="continue"/>
            <w:shd w:val="clear" w:color="auto" w:fill="959595"/>
          </w:tcPr>
          <w:p>
            <w:pPr>
              <w:spacing w:after="0"/>
              <w:rPr>
                <w:sz w:val="18"/>
                <w:szCs w:val="18"/>
                <w:color w:val="auto"/>
              </w:rPr>
            </w:pPr>
          </w:p>
        </w:tc>
        <w:tc>
          <w:tcPr>
            <w:tcW w:w="2520" w:type="dxa"/>
            <w:vAlign w:val="bottom"/>
            <w:shd w:val="clear" w:color="auto" w:fill="CCD3E1"/>
          </w:tcPr>
          <w:p>
            <w:pPr>
              <w:ind w:left="180"/>
              <w:spacing w:after="0"/>
              <w:rPr>
                <w:sz w:val="20"/>
                <w:szCs w:val="20"/>
                <w:color w:val="auto"/>
              </w:rPr>
            </w:pPr>
            <w:r>
              <w:rPr>
                <w:rFonts w:ascii="Arial" w:cs="Arial" w:eastAsia="Arial" w:hAnsi="Arial"/>
                <w:sz w:val="18"/>
                <w:szCs w:val="18"/>
                <w:color w:val="auto"/>
              </w:rPr>
              <w:t>Equity Awards</w:t>
            </w:r>
          </w:p>
        </w:tc>
        <w:tc>
          <w:tcPr>
            <w:tcW w:w="7560" w:type="dxa"/>
            <w:vAlign w:val="bottom"/>
          </w:tcPr>
          <w:p>
            <w:pPr>
              <w:ind w:left="460"/>
              <w:spacing w:after="0"/>
              <w:rPr>
                <w:sz w:val="20"/>
                <w:szCs w:val="20"/>
                <w:color w:val="auto"/>
              </w:rPr>
            </w:pPr>
            <w:r>
              <w:rPr>
                <w:rFonts w:ascii="Arial" w:cs="Arial" w:eastAsia="Arial" w:hAnsi="Arial"/>
                <w:sz w:val="18"/>
                <w:szCs w:val="18"/>
                <w:color w:val="auto"/>
              </w:rPr>
              <w:t>with an absolute TSR modifier (50%) and (ii) relative TSR (50%) (with no “retesting”</w:t>
            </w:r>
          </w:p>
        </w:tc>
        <w:tc>
          <w:tcPr>
            <w:tcW w:w="0" w:type="dxa"/>
            <w:vAlign w:val="bottom"/>
          </w:tcPr>
          <w:p>
            <w:pPr>
              <w:spacing w:after="0"/>
              <w:rPr>
                <w:sz w:val="1"/>
                <w:szCs w:val="1"/>
                <w:color w:val="auto"/>
              </w:rPr>
            </w:pPr>
          </w:p>
        </w:tc>
      </w:tr>
      <w:tr>
        <w:trPr>
          <w:trHeight w:val="220"/>
        </w:trPr>
        <w:tc>
          <w:tcPr>
            <w:tcW w:w="1160" w:type="dxa"/>
            <w:vAlign w:val="bottom"/>
            <w:tcBorders>
              <w:bottom w:val="single" w:sz="8" w:color="959595"/>
            </w:tcBorders>
            <w:shd w:val="clear" w:color="auto" w:fill="959595"/>
          </w:tcPr>
          <w:p>
            <w:pPr>
              <w:spacing w:after="0"/>
              <w:rPr>
                <w:sz w:val="19"/>
                <w:szCs w:val="19"/>
                <w:color w:val="auto"/>
              </w:rPr>
            </w:pPr>
          </w:p>
        </w:tc>
        <w:tc>
          <w:tcPr>
            <w:tcW w:w="2520" w:type="dxa"/>
            <w:vAlign w:val="bottom"/>
            <w:tcBorders>
              <w:bottom w:val="single" w:sz="8" w:color="8797B7"/>
            </w:tcBorders>
            <w:shd w:val="clear" w:color="auto" w:fill="CCD3E1"/>
          </w:tcPr>
          <w:p>
            <w:pPr>
              <w:spacing w:after="0"/>
              <w:rPr>
                <w:sz w:val="19"/>
                <w:szCs w:val="19"/>
                <w:color w:val="auto"/>
              </w:rPr>
            </w:pPr>
          </w:p>
        </w:tc>
        <w:tc>
          <w:tcPr>
            <w:tcW w:w="7560" w:type="dxa"/>
            <w:vAlign w:val="bottom"/>
            <w:tcBorders>
              <w:bottom w:val="single" w:sz="8" w:color="8797B7"/>
            </w:tcBorders>
          </w:tcPr>
          <w:p>
            <w:pPr>
              <w:ind w:left="460"/>
              <w:spacing w:after="0"/>
              <w:rPr>
                <w:sz w:val="20"/>
                <w:szCs w:val="20"/>
                <w:color w:val="auto"/>
              </w:rPr>
            </w:pPr>
            <w:r>
              <w:rPr>
                <w:rFonts w:ascii="Arial" w:cs="Arial" w:eastAsia="Arial" w:hAnsi="Arial"/>
                <w:sz w:val="18"/>
                <w:szCs w:val="18"/>
                <w:color w:val="auto"/>
              </w:rPr>
              <w:t>feature)</w:t>
            </w:r>
          </w:p>
        </w:tc>
        <w:tc>
          <w:tcPr>
            <w:tcW w:w="0" w:type="dxa"/>
            <w:vAlign w:val="bottom"/>
          </w:tcPr>
          <w:p>
            <w:pPr>
              <w:spacing w:after="0"/>
              <w:rPr>
                <w:sz w:val="1"/>
                <w:szCs w:val="1"/>
                <w:color w:val="auto"/>
              </w:rPr>
            </w:pPr>
          </w:p>
        </w:tc>
      </w:tr>
      <w:tr>
        <w:trPr>
          <w:trHeight w:val="241"/>
        </w:trPr>
        <w:tc>
          <w:tcPr>
            <w:tcW w:w="1160" w:type="dxa"/>
            <w:vAlign w:val="bottom"/>
            <w:shd w:val="clear" w:color="auto" w:fill="959595"/>
          </w:tcPr>
          <w:p>
            <w:pPr>
              <w:spacing w:after="0"/>
              <w:rPr>
                <w:sz w:val="20"/>
                <w:szCs w:val="20"/>
                <w:color w:val="auto"/>
              </w:rPr>
            </w:pPr>
          </w:p>
        </w:tc>
        <w:tc>
          <w:tcPr>
            <w:tcW w:w="2520" w:type="dxa"/>
            <w:vAlign w:val="bottom"/>
            <w:shd w:val="clear" w:color="auto" w:fill="D6D6D6"/>
          </w:tcPr>
          <w:p>
            <w:pPr>
              <w:ind w:left="180"/>
              <w:spacing w:after="0"/>
              <w:rPr>
                <w:sz w:val="20"/>
                <w:szCs w:val="20"/>
                <w:color w:val="auto"/>
              </w:rPr>
            </w:pPr>
            <w:r>
              <w:rPr>
                <w:rFonts w:ascii="Arial" w:cs="Arial" w:eastAsia="Arial" w:hAnsi="Arial"/>
                <w:sz w:val="18"/>
                <w:szCs w:val="18"/>
                <w:color w:val="auto"/>
              </w:rPr>
              <w:t>Time-Based Equity Awards</w:t>
            </w:r>
          </w:p>
        </w:tc>
        <w:tc>
          <w:tcPr>
            <w:tcW w:w="7560" w:type="dxa"/>
            <w:vAlign w:val="bottom"/>
          </w:tcPr>
          <w:p>
            <w:pPr>
              <w:ind w:left="18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Target time-based equity award ensures the alignment of the interests of our executives</w:t>
            </w:r>
          </w:p>
        </w:tc>
        <w:tc>
          <w:tcPr>
            <w:tcW w:w="0" w:type="dxa"/>
            <w:vAlign w:val="bottom"/>
          </w:tcPr>
          <w:p>
            <w:pPr>
              <w:spacing w:after="0"/>
              <w:rPr>
                <w:sz w:val="1"/>
                <w:szCs w:val="1"/>
                <w:color w:val="auto"/>
              </w:rPr>
            </w:pPr>
          </w:p>
        </w:tc>
      </w:tr>
      <w:tr>
        <w:trPr>
          <w:trHeight w:val="225"/>
        </w:trPr>
        <w:tc>
          <w:tcPr>
            <w:tcW w:w="1160" w:type="dxa"/>
            <w:vAlign w:val="bottom"/>
            <w:tcBorders>
              <w:bottom w:val="single" w:sz="8" w:color="959595"/>
            </w:tcBorders>
            <w:shd w:val="clear" w:color="auto" w:fill="959595"/>
          </w:tcPr>
          <w:p>
            <w:pPr>
              <w:spacing w:after="0"/>
              <w:rPr>
                <w:sz w:val="19"/>
                <w:szCs w:val="19"/>
                <w:color w:val="auto"/>
              </w:rPr>
            </w:pPr>
          </w:p>
        </w:tc>
        <w:tc>
          <w:tcPr>
            <w:tcW w:w="2520" w:type="dxa"/>
            <w:vAlign w:val="bottom"/>
            <w:tcBorders>
              <w:bottom w:val="single" w:sz="8" w:color="8797B7"/>
            </w:tcBorders>
            <w:shd w:val="clear" w:color="auto" w:fill="D6D6D6"/>
          </w:tcPr>
          <w:p>
            <w:pPr>
              <w:spacing w:after="0"/>
              <w:rPr>
                <w:sz w:val="19"/>
                <w:szCs w:val="19"/>
                <w:color w:val="auto"/>
              </w:rPr>
            </w:pPr>
          </w:p>
        </w:tc>
        <w:tc>
          <w:tcPr>
            <w:tcW w:w="7560" w:type="dxa"/>
            <w:vAlign w:val="bottom"/>
            <w:tcBorders>
              <w:bottom w:val="single" w:sz="8" w:color="8797B7"/>
            </w:tcBorders>
          </w:tcPr>
          <w:p>
            <w:pPr>
              <w:ind w:left="460"/>
              <w:spacing w:after="0"/>
              <w:rPr>
                <w:sz w:val="20"/>
                <w:szCs w:val="20"/>
                <w:color w:val="auto"/>
              </w:rPr>
            </w:pPr>
            <w:r>
              <w:rPr>
                <w:rFonts w:ascii="Arial" w:cs="Arial" w:eastAsia="Arial" w:hAnsi="Arial"/>
                <w:sz w:val="18"/>
                <w:szCs w:val="18"/>
                <w:color w:val="auto"/>
              </w:rPr>
              <w:t>with those of long-term stockholders</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In designing the performance-based portions of our variable pay structure, we carefully select performance criteria across not just a range of financial and corporate goals but also a range of performance periods. Taken together, these criteria aim to account for the complexities of operating our business over both the short-term and the long-term. For instance, while all of the Company’s budgeting, guidance and investor communications are conceptualized around an annual cycle, our overall strategic vision is built upon sustainable, long-term growth.</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EXECUTIVE COMPENSATION</w:t>
      </w:r>
    </w:p>
    <w:p>
      <w:pPr>
        <w:spacing w:after="0" w:line="212" w:lineRule="exact"/>
        <w:rPr>
          <w:sz w:val="20"/>
          <w:szCs w:val="20"/>
          <w:color w:val="auto"/>
        </w:rPr>
      </w:pPr>
    </w:p>
    <w:p>
      <w:pPr>
        <w:jc w:val="both"/>
        <w:ind w:right="240"/>
        <w:spacing w:after="0" w:line="237" w:lineRule="auto"/>
        <w:rPr>
          <w:sz w:val="20"/>
          <w:szCs w:val="20"/>
          <w:color w:val="auto"/>
        </w:rPr>
      </w:pPr>
      <w:r>
        <w:rPr>
          <w:rFonts w:ascii="Arial" w:cs="Arial" w:eastAsia="Arial" w:hAnsi="Arial"/>
          <w:sz w:val="18"/>
          <w:szCs w:val="18"/>
          <w:color w:val="auto"/>
        </w:rPr>
        <w:t>The Committee does not believe that there is a one-size fits all solution to either performance goals or performance periods. Striking the right balance requires that we establish performance goals that incentivize our executive officers to strive for excellence no matter the time horizon. We aim to accomplish this objective by rationally linking the sum of the component parts of our compensation structure not just to the way our executive officers think about our business but also to the way that our shareholders think about value.</w:t>
      </w:r>
    </w:p>
    <w:p>
      <w:pPr>
        <w:spacing w:after="0" w:line="208"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As a result, we adopted a blended approach to both performance goals and performance periods. We believe this appropriately focuses our management team to deliver both short-term results and long-term returns.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00" w:type="dxa"/>
            <w:vAlign w:val="bottom"/>
            <w:shd w:val="clear" w:color="auto" w:fill="355889"/>
          </w:tcPr>
          <w:p>
            <w:pPr>
              <w:spacing w:after="0"/>
              <w:rPr>
                <w:sz w:val="13"/>
                <w:szCs w:val="13"/>
                <w:color w:val="auto"/>
              </w:rPr>
            </w:pPr>
          </w:p>
        </w:tc>
        <w:tc>
          <w:tcPr>
            <w:tcW w:w="360" w:type="dxa"/>
            <w:vAlign w:val="bottom"/>
            <w:shd w:val="clear" w:color="auto" w:fill="355889"/>
          </w:tcPr>
          <w:p>
            <w:pPr>
              <w:spacing w:after="0"/>
              <w:rPr>
                <w:sz w:val="13"/>
                <w:szCs w:val="13"/>
                <w:color w:val="auto"/>
              </w:rPr>
            </w:pPr>
          </w:p>
        </w:tc>
        <w:tc>
          <w:tcPr>
            <w:tcW w:w="3060" w:type="dxa"/>
            <w:vAlign w:val="bottom"/>
            <w:shd w:val="clear" w:color="auto" w:fill="355889"/>
          </w:tcPr>
          <w:p>
            <w:pPr>
              <w:spacing w:after="0"/>
              <w:rPr>
                <w:sz w:val="13"/>
                <w:szCs w:val="13"/>
                <w:color w:val="auto"/>
              </w:rPr>
            </w:pPr>
          </w:p>
        </w:tc>
        <w:tc>
          <w:tcPr>
            <w:tcW w:w="3340" w:type="dxa"/>
            <w:vAlign w:val="bottom"/>
            <w:shd w:val="clear" w:color="auto" w:fill="355889"/>
          </w:tcPr>
          <w:p>
            <w:pPr>
              <w:ind w:left="140"/>
              <w:spacing w:after="0"/>
              <w:rPr>
                <w:sz w:val="20"/>
                <w:szCs w:val="20"/>
                <w:color w:val="auto"/>
              </w:rPr>
            </w:pPr>
            <w:r>
              <w:rPr>
                <w:rFonts w:ascii="Arial" w:cs="Arial" w:eastAsia="Arial" w:hAnsi="Arial"/>
                <w:sz w:val="13"/>
                <w:szCs w:val="13"/>
                <w:b w:val="1"/>
                <w:bCs w:val="1"/>
                <w:color w:val="FFFFFF"/>
              </w:rPr>
              <w:t>Annual Equity Awards</w:t>
            </w:r>
          </w:p>
        </w:tc>
        <w:tc>
          <w:tcPr>
            <w:tcW w:w="3280" w:type="dxa"/>
            <w:vAlign w:val="bottom"/>
            <w:shd w:val="clear" w:color="auto" w:fill="355889"/>
          </w:tcPr>
          <w:p>
            <w:pPr>
              <w:ind w:left="180"/>
              <w:spacing w:after="0"/>
              <w:rPr>
                <w:sz w:val="20"/>
                <w:szCs w:val="20"/>
                <w:color w:val="auto"/>
              </w:rPr>
            </w:pPr>
            <w:r>
              <w:rPr>
                <w:rFonts w:ascii="Arial" w:cs="Arial" w:eastAsia="Arial" w:hAnsi="Arial"/>
                <w:sz w:val="13"/>
                <w:szCs w:val="13"/>
                <w:b w:val="1"/>
                <w:bCs w:val="1"/>
                <w:color w:val="FFFFFF"/>
              </w:rPr>
              <w:t>Annual Equity Award</w:t>
            </w:r>
          </w:p>
        </w:tc>
        <w:tc>
          <w:tcPr>
            <w:tcW w:w="0" w:type="dxa"/>
            <w:vAlign w:val="bottom"/>
          </w:tcPr>
          <w:p>
            <w:pPr>
              <w:spacing w:after="0"/>
              <w:rPr>
                <w:sz w:val="1"/>
                <w:szCs w:val="1"/>
                <w:color w:val="auto"/>
              </w:rPr>
            </w:pPr>
          </w:p>
        </w:tc>
      </w:tr>
      <w:tr>
        <w:trPr>
          <w:trHeight w:val="192"/>
        </w:trPr>
        <w:tc>
          <w:tcPr>
            <w:tcW w:w="1200" w:type="dxa"/>
            <w:vAlign w:val="bottom"/>
            <w:shd w:val="clear" w:color="auto" w:fill="355889"/>
          </w:tcPr>
          <w:p>
            <w:pPr>
              <w:spacing w:after="0"/>
              <w:rPr>
                <w:sz w:val="16"/>
                <w:szCs w:val="16"/>
                <w:color w:val="auto"/>
              </w:rPr>
            </w:pPr>
          </w:p>
        </w:tc>
        <w:tc>
          <w:tcPr>
            <w:tcW w:w="3420" w:type="dxa"/>
            <w:vAlign w:val="bottom"/>
            <w:gridSpan w:val="2"/>
            <w:shd w:val="clear" w:color="auto" w:fill="355889"/>
          </w:tcPr>
          <w:p>
            <w:pPr>
              <w:ind w:left="180"/>
              <w:spacing w:after="0"/>
              <w:rPr>
                <w:sz w:val="20"/>
                <w:szCs w:val="20"/>
                <w:color w:val="auto"/>
              </w:rPr>
            </w:pPr>
            <w:r>
              <w:rPr>
                <w:rFonts w:ascii="Arial" w:cs="Arial" w:eastAsia="Arial" w:hAnsi="Arial"/>
                <w:sz w:val="13"/>
                <w:szCs w:val="13"/>
                <w:b w:val="1"/>
                <w:bCs w:val="1"/>
                <w:color w:val="FFFFFF"/>
              </w:rPr>
              <w:t>Annual Cash Bonus</w:t>
            </w:r>
          </w:p>
        </w:tc>
        <w:tc>
          <w:tcPr>
            <w:tcW w:w="3340" w:type="dxa"/>
            <w:vAlign w:val="bottom"/>
            <w:shd w:val="clear" w:color="auto" w:fill="355889"/>
          </w:tcPr>
          <w:p>
            <w:pPr>
              <w:ind w:left="140"/>
              <w:spacing w:after="0"/>
              <w:rPr>
                <w:sz w:val="20"/>
                <w:szCs w:val="20"/>
                <w:color w:val="auto"/>
              </w:rPr>
            </w:pPr>
            <w:r>
              <w:rPr>
                <w:rFonts w:ascii="Arial" w:cs="Arial" w:eastAsia="Arial" w:hAnsi="Arial"/>
                <w:sz w:val="13"/>
                <w:szCs w:val="13"/>
                <w:b w:val="1"/>
                <w:bCs w:val="1"/>
                <w:color w:val="FFFFFF"/>
              </w:rPr>
              <w:t>(Operational Component)</w:t>
            </w:r>
          </w:p>
        </w:tc>
        <w:tc>
          <w:tcPr>
            <w:tcW w:w="3280" w:type="dxa"/>
            <w:vAlign w:val="bottom"/>
            <w:shd w:val="clear" w:color="auto" w:fill="355889"/>
          </w:tcPr>
          <w:p>
            <w:pPr>
              <w:ind w:left="180"/>
              <w:spacing w:after="0"/>
              <w:rPr>
                <w:sz w:val="20"/>
                <w:szCs w:val="20"/>
                <w:color w:val="auto"/>
              </w:rPr>
            </w:pPr>
            <w:r>
              <w:rPr>
                <w:rFonts w:ascii="Arial" w:cs="Arial" w:eastAsia="Arial" w:hAnsi="Arial"/>
                <w:sz w:val="13"/>
                <w:szCs w:val="13"/>
                <w:b w:val="1"/>
                <w:bCs w:val="1"/>
                <w:color w:val="FFFFFF"/>
              </w:rPr>
              <w:t>(Relative Component)</w:t>
            </w:r>
          </w:p>
        </w:tc>
        <w:tc>
          <w:tcPr>
            <w:tcW w:w="0" w:type="dxa"/>
            <w:vAlign w:val="bottom"/>
          </w:tcPr>
          <w:p>
            <w:pPr>
              <w:spacing w:after="0"/>
              <w:rPr>
                <w:sz w:val="1"/>
                <w:szCs w:val="1"/>
                <w:color w:val="auto"/>
              </w:rPr>
            </w:pPr>
          </w:p>
        </w:tc>
      </w:tr>
      <w:tr>
        <w:trPr>
          <w:trHeight w:val="250"/>
        </w:trPr>
        <w:tc>
          <w:tcPr>
            <w:tcW w:w="1200" w:type="dxa"/>
            <w:vAlign w:val="bottom"/>
            <w:tcBorders>
              <w:bottom w:val="single" w:sz="8" w:color="8797B7"/>
            </w:tcBorders>
          </w:tcPr>
          <w:p>
            <w:pPr>
              <w:jc w:val="center"/>
              <w:spacing w:after="0"/>
              <w:rPr>
                <w:sz w:val="20"/>
                <w:szCs w:val="20"/>
                <w:color w:val="auto"/>
              </w:rPr>
            </w:pPr>
            <w:r>
              <w:rPr>
                <w:rFonts w:ascii="Arial" w:cs="Arial" w:eastAsia="Arial" w:hAnsi="Arial"/>
                <w:sz w:val="18"/>
                <w:szCs w:val="18"/>
                <w:b w:val="1"/>
                <w:bCs w:val="1"/>
                <w:color w:val="355889"/>
                <w:w w:val="99"/>
              </w:rPr>
              <w:t>Period</w:t>
            </w:r>
          </w:p>
        </w:tc>
        <w:tc>
          <w:tcPr>
            <w:tcW w:w="3420" w:type="dxa"/>
            <w:vAlign w:val="bottom"/>
            <w:tcBorders>
              <w:bottom w:val="single" w:sz="8" w:color="8797B7"/>
            </w:tcBorders>
            <w:gridSpan w:val="2"/>
          </w:tcPr>
          <w:p>
            <w:pPr>
              <w:ind w:left="180"/>
              <w:spacing w:after="0"/>
              <w:rPr>
                <w:sz w:val="20"/>
                <w:szCs w:val="20"/>
                <w:color w:val="auto"/>
              </w:rPr>
            </w:pPr>
            <w:r>
              <w:rPr>
                <w:rFonts w:ascii="Arial" w:cs="Arial" w:eastAsia="Arial" w:hAnsi="Arial"/>
                <w:sz w:val="18"/>
                <w:szCs w:val="18"/>
                <w:color w:val="auto"/>
              </w:rPr>
              <w:t>One year</w:t>
            </w:r>
          </w:p>
        </w:tc>
        <w:tc>
          <w:tcPr>
            <w:tcW w:w="3340" w:type="dxa"/>
            <w:vAlign w:val="bottom"/>
            <w:tcBorders>
              <w:bottom w:val="single" w:sz="8" w:color="8797B7"/>
            </w:tcBorders>
          </w:tcPr>
          <w:p>
            <w:pPr>
              <w:ind w:left="140"/>
              <w:spacing w:after="0"/>
              <w:rPr>
                <w:sz w:val="20"/>
                <w:szCs w:val="20"/>
                <w:color w:val="auto"/>
              </w:rPr>
            </w:pPr>
            <w:r>
              <w:rPr>
                <w:rFonts w:ascii="Arial" w:cs="Arial" w:eastAsia="Arial" w:hAnsi="Arial"/>
                <w:sz w:val="18"/>
                <w:szCs w:val="18"/>
                <w:color w:val="auto"/>
              </w:rPr>
              <w:t>One year with three-year modifier</w:t>
            </w:r>
          </w:p>
        </w:tc>
        <w:tc>
          <w:tcPr>
            <w:tcW w:w="3280" w:type="dxa"/>
            <w:vAlign w:val="bottom"/>
            <w:tcBorders>
              <w:bottom w:val="single" w:sz="8" w:color="8797B7"/>
            </w:tcBorders>
          </w:tcPr>
          <w:p>
            <w:pPr>
              <w:ind w:left="180"/>
              <w:spacing w:after="0"/>
              <w:rPr>
                <w:sz w:val="20"/>
                <w:szCs w:val="20"/>
                <w:color w:val="auto"/>
              </w:rPr>
            </w:pPr>
            <w:r>
              <w:rPr>
                <w:rFonts w:ascii="Arial" w:cs="Arial" w:eastAsia="Arial" w:hAnsi="Arial"/>
                <w:sz w:val="18"/>
                <w:szCs w:val="18"/>
                <w:color w:val="auto"/>
              </w:rPr>
              <w:t>Three years</w:t>
            </w:r>
          </w:p>
        </w:tc>
        <w:tc>
          <w:tcPr>
            <w:tcW w:w="0" w:type="dxa"/>
            <w:vAlign w:val="bottom"/>
          </w:tcPr>
          <w:p>
            <w:pPr>
              <w:spacing w:after="0"/>
              <w:rPr>
                <w:sz w:val="1"/>
                <w:szCs w:val="1"/>
                <w:color w:val="auto"/>
              </w:rPr>
            </w:pPr>
          </w:p>
        </w:tc>
      </w:tr>
      <w:tr>
        <w:trPr>
          <w:trHeight w:val="241"/>
        </w:trPr>
        <w:tc>
          <w:tcPr>
            <w:tcW w:w="1200" w:type="dxa"/>
            <w:vAlign w:val="bottom"/>
          </w:tcPr>
          <w:p>
            <w:pPr>
              <w:spacing w:after="0"/>
              <w:rPr>
                <w:sz w:val="20"/>
                <w:szCs w:val="20"/>
                <w:color w:val="auto"/>
              </w:rPr>
            </w:pPr>
          </w:p>
        </w:tc>
        <w:tc>
          <w:tcPr>
            <w:tcW w:w="3420" w:type="dxa"/>
            <w:vAlign w:val="bottom"/>
            <w:gridSpan w:val="2"/>
          </w:tcPr>
          <w:p>
            <w:pPr>
              <w:ind w:left="20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Normalized FFO per share</w:t>
            </w:r>
          </w:p>
        </w:tc>
        <w:tc>
          <w:tcPr>
            <w:tcW w:w="3340" w:type="dxa"/>
            <w:vAlign w:val="bottom"/>
          </w:tcPr>
          <w:p>
            <w:pPr>
              <w:ind w:left="14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Funds available for distribution</w:t>
            </w:r>
          </w:p>
        </w:tc>
        <w:tc>
          <w:tcPr>
            <w:tcW w:w="3280" w:type="dxa"/>
            <w:vAlign w:val="bottom"/>
          </w:tcPr>
          <w:p>
            <w:pPr>
              <w:ind w:left="20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TSR Relative to SNL Office REIT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420" w:type="dxa"/>
            <w:vAlign w:val="bottom"/>
            <w:gridSpan w:val="2"/>
            <w:vMerge w:val="restart"/>
          </w:tcPr>
          <w:p>
            <w:pPr>
              <w:ind w:left="20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Annual same-store cash NOI growth</w:t>
            </w:r>
          </w:p>
        </w:tc>
        <w:tc>
          <w:tcPr>
            <w:tcW w:w="3340" w:type="dxa"/>
            <w:vAlign w:val="bottom"/>
            <w:vMerge w:val="restart"/>
          </w:tcPr>
          <w:p>
            <w:pPr>
              <w:ind w:left="14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Debt/EBITDA ratio</w:t>
            </w:r>
          </w:p>
        </w:tc>
        <w:tc>
          <w:tcPr>
            <w:tcW w:w="3280" w:type="dxa"/>
            <w:vAlign w:val="bottom"/>
          </w:tcPr>
          <w:p>
            <w:pPr>
              <w:ind w:left="460"/>
              <w:spacing w:after="0"/>
              <w:rPr>
                <w:sz w:val="20"/>
                <w:szCs w:val="20"/>
                <w:color w:val="auto"/>
              </w:rPr>
            </w:pPr>
            <w:r>
              <w:rPr>
                <w:rFonts w:ascii="Arial" w:cs="Arial" w:eastAsia="Arial" w:hAnsi="Arial"/>
                <w:sz w:val="18"/>
                <w:szCs w:val="18"/>
                <w:color w:val="auto"/>
              </w:rPr>
              <w:t>Index</w:t>
            </w:r>
          </w:p>
        </w:tc>
        <w:tc>
          <w:tcPr>
            <w:tcW w:w="0" w:type="dxa"/>
            <w:vAlign w:val="bottom"/>
          </w:tcPr>
          <w:p>
            <w:pPr>
              <w:spacing w:after="0"/>
              <w:rPr>
                <w:sz w:val="1"/>
                <w:szCs w:val="1"/>
                <w:color w:val="auto"/>
              </w:rPr>
            </w:pPr>
          </w:p>
        </w:tc>
      </w:tr>
      <w:tr>
        <w:trPr>
          <w:trHeight w:val="68"/>
        </w:trPr>
        <w:tc>
          <w:tcPr>
            <w:tcW w:w="1200" w:type="dxa"/>
            <w:vAlign w:val="bottom"/>
          </w:tcPr>
          <w:p>
            <w:pPr>
              <w:spacing w:after="0"/>
              <w:rPr>
                <w:sz w:val="5"/>
                <w:szCs w:val="5"/>
                <w:color w:val="auto"/>
              </w:rPr>
            </w:pPr>
          </w:p>
        </w:tc>
        <w:tc>
          <w:tcPr>
            <w:tcW w:w="3420" w:type="dxa"/>
            <w:vAlign w:val="bottom"/>
            <w:gridSpan w:val="2"/>
            <w:vMerge w:val="continue"/>
          </w:tcPr>
          <w:p>
            <w:pPr>
              <w:spacing w:after="0"/>
              <w:rPr>
                <w:sz w:val="5"/>
                <w:szCs w:val="5"/>
                <w:color w:val="auto"/>
              </w:rPr>
            </w:pPr>
          </w:p>
        </w:tc>
        <w:tc>
          <w:tcPr>
            <w:tcW w:w="3340" w:type="dxa"/>
            <w:vAlign w:val="bottom"/>
            <w:vMerge w:val="continue"/>
          </w:tcPr>
          <w:p>
            <w:pPr>
              <w:spacing w:after="0"/>
              <w:rPr>
                <w:sz w:val="5"/>
                <w:szCs w:val="5"/>
                <w:color w:val="auto"/>
              </w:rPr>
            </w:pPr>
          </w:p>
        </w:tc>
        <w:tc>
          <w:tcPr>
            <w:tcW w:w="3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200" w:type="dxa"/>
            <w:vAlign w:val="bottom"/>
            <w:vMerge w:val="restart"/>
          </w:tcPr>
          <w:p>
            <w:pPr>
              <w:jc w:val="center"/>
              <w:spacing w:after="0"/>
              <w:rPr>
                <w:sz w:val="20"/>
                <w:szCs w:val="20"/>
                <w:color w:val="auto"/>
              </w:rPr>
            </w:pPr>
            <w:r>
              <w:rPr>
                <w:rFonts w:ascii="Arial" w:cs="Arial" w:eastAsia="Arial" w:hAnsi="Arial"/>
                <w:sz w:val="18"/>
                <w:szCs w:val="18"/>
                <w:b w:val="1"/>
                <w:bCs w:val="1"/>
                <w:color w:val="355889"/>
                <w:w w:val="96"/>
              </w:rPr>
              <w:t>Objectives</w:t>
            </w:r>
          </w:p>
        </w:tc>
        <w:tc>
          <w:tcPr>
            <w:tcW w:w="360" w:type="dxa"/>
            <w:vAlign w:val="bottom"/>
          </w:tcPr>
          <w:p>
            <w:pPr>
              <w:ind w:left="200"/>
              <w:spacing w:after="0"/>
              <w:rPr>
                <w:sz w:val="20"/>
                <w:szCs w:val="20"/>
                <w:color w:val="auto"/>
              </w:rPr>
            </w:pPr>
            <w:r>
              <w:rPr>
                <w:rFonts w:ascii="Arial" w:cs="Arial" w:eastAsia="Arial" w:hAnsi="Arial"/>
                <w:sz w:val="17"/>
                <w:szCs w:val="17"/>
                <w:color w:val="355889"/>
              </w:rPr>
              <w:t>●</w:t>
            </w:r>
          </w:p>
        </w:tc>
        <w:tc>
          <w:tcPr>
            <w:tcW w:w="3060" w:type="dxa"/>
            <w:vAlign w:val="bottom"/>
          </w:tcPr>
          <w:p>
            <w:pPr>
              <w:ind w:left="80"/>
              <w:spacing w:after="0"/>
              <w:rPr>
                <w:sz w:val="20"/>
                <w:szCs w:val="20"/>
                <w:color w:val="auto"/>
              </w:rPr>
            </w:pPr>
            <w:r>
              <w:rPr>
                <w:rFonts w:ascii="Arial" w:cs="Arial" w:eastAsia="Arial" w:hAnsi="Arial"/>
                <w:sz w:val="18"/>
                <w:szCs w:val="18"/>
                <w:color w:val="auto"/>
              </w:rPr>
              <w:t>Dividend growth</w:t>
            </w:r>
          </w:p>
        </w:tc>
        <w:tc>
          <w:tcPr>
            <w:tcW w:w="3340" w:type="dxa"/>
            <w:vAlign w:val="bottom"/>
          </w:tcPr>
          <w:p>
            <w:pPr>
              <w:ind w:left="14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Manhattan office same store leased</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200" w:type="dxa"/>
            <w:vAlign w:val="bottom"/>
            <w:vMerge w:val="continue"/>
          </w:tcPr>
          <w:p>
            <w:pPr>
              <w:spacing w:after="0"/>
              <w:rPr>
                <w:sz w:val="8"/>
                <w:szCs w:val="8"/>
                <w:color w:val="auto"/>
              </w:rPr>
            </w:pPr>
          </w:p>
        </w:tc>
        <w:tc>
          <w:tcPr>
            <w:tcW w:w="360" w:type="dxa"/>
            <w:vAlign w:val="bottom"/>
            <w:vMerge w:val="restart"/>
          </w:tcPr>
          <w:p>
            <w:pPr>
              <w:ind w:left="200"/>
              <w:spacing w:after="0"/>
              <w:rPr>
                <w:sz w:val="20"/>
                <w:szCs w:val="20"/>
                <w:color w:val="auto"/>
              </w:rPr>
            </w:pPr>
            <w:r>
              <w:rPr>
                <w:rFonts w:ascii="Arial" w:cs="Arial" w:eastAsia="Arial" w:hAnsi="Arial"/>
                <w:sz w:val="17"/>
                <w:szCs w:val="17"/>
                <w:color w:val="355889"/>
              </w:rPr>
              <w:t>●</w:t>
            </w:r>
          </w:p>
        </w:tc>
        <w:tc>
          <w:tcPr>
            <w:tcW w:w="3060" w:type="dxa"/>
            <w:vAlign w:val="bottom"/>
            <w:vMerge w:val="restart"/>
          </w:tcPr>
          <w:p>
            <w:pPr>
              <w:ind w:left="80"/>
              <w:spacing w:after="0"/>
              <w:rPr>
                <w:sz w:val="20"/>
                <w:szCs w:val="20"/>
                <w:color w:val="auto"/>
              </w:rPr>
            </w:pPr>
            <w:r>
              <w:rPr>
                <w:rFonts w:ascii="Arial" w:cs="Arial" w:eastAsia="Arial" w:hAnsi="Arial"/>
                <w:sz w:val="18"/>
                <w:szCs w:val="18"/>
                <w:color w:val="auto"/>
              </w:rPr>
              <w:t>G&amp;A expense</w:t>
            </w:r>
          </w:p>
        </w:tc>
        <w:tc>
          <w:tcPr>
            <w:tcW w:w="3340" w:type="dxa"/>
            <w:vAlign w:val="bottom"/>
            <w:vMerge w:val="restart"/>
          </w:tcPr>
          <w:p>
            <w:pPr>
              <w:ind w:left="420"/>
              <w:spacing w:after="0"/>
              <w:rPr>
                <w:sz w:val="20"/>
                <w:szCs w:val="20"/>
                <w:color w:val="auto"/>
              </w:rPr>
            </w:pPr>
            <w:r>
              <w:rPr>
                <w:rFonts w:ascii="Arial" w:cs="Arial" w:eastAsia="Arial" w:hAnsi="Arial"/>
                <w:sz w:val="18"/>
                <w:szCs w:val="18"/>
                <w:color w:val="auto"/>
              </w:rPr>
              <w:t>occupancy</w:t>
            </w: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306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3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2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3060" w:type="dxa"/>
            <w:vAlign w:val="bottom"/>
            <w:vMerge w:val="continue"/>
          </w:tcPr>
          <w:p>
            <w:pPr>
              <w:spacing w:after="0"/>
              <w:rPr>
                <w:sz w:val="5"/>
                <w:szCs w:val="5"/>
                <w:color w:val="auto"/>
              </w:rPr>
            </w:pPr>
          </w:p>
        </w:tc>
        <w:tc>
          <w:tcPr>
            <w:tcW w:w="3340" w:type="dxa"/>
            <w:vAlign w:val="bottom"/>
          </w:tcPr>
          <w:p>
            <w:pPr>
              <w:spacing w:after="0"/>
              <w:rPr>
                <w:sz w:val="5"/>
                <w:szCs w:val="5"/>
                <w:color w:val="auto"/>
              </w:rPr>
            </w:pPr>
          </w:p>
        </w:tc>
        <w:tc>
          <w:tcPr>
            <w:tcW w:w="3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-867410</wp:posOffset>
            </wp:positionV>
            <wp:extent cx="702945" cy="12001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2945" cy="1200150"/>
                    </a:xfrm>
                    <a:prstGeom prst="rect">
                      <a:avLst/>
                    </a:prstGeom>
                    <a:noFill/>
                  </pic:spPr>
                </pic:pic>
              </a:graphicData>
            </a:graphic>
          </wp:anchor>
        </w:drawing>
      </w:r>
    </w:p>
    <w:p>
      <w:pPr>
        <w:ind w:left="4760"/>
        <w:spacing w:after="0"/>
        <w:tabs>
          <w:tab w:leader="none" w:pos="4980" w:val="left"/>
        </w:tabs>
        <w:rPr>
          <w:sz w:val="20"/>
          <w:szCs w:val="20"/>
          <w:color w:val="auto"/>
        </w:rPr>
      </w:pPr>
      <w:r>
        <w:rPr>
          <w:rFonts w:ascii="Arial" w:cs="Arial" w:eastAsia="Arial" w:hAnsi="Arial"/>
          <w:sz w:val="17"/>
          <w:szCs w:val="17"/>
          <w:color w:val="355889"/>
        </w:rPr>
        <w:t>●</w:t>
      </w:r>
      <w:r>
        <w:rPr>
          <w:sz w:val="20"/>
          <w:szCs w:val="20"/>
          <w:color w:val="auto"/>
        </w:rPr>
        <w:tab/>
      </w:r>
      <w:r>
        <w:rPr>
          <w:rFonts w:ascii="Arial" w:cs="Arial" w:eastAsia="Arial" w:hAnsi="Arial"/>
          <w:sz w:val="16"/>
          <w:szCs w:val="16"/>
          <w:color w:val="auto"/>
        </w:rPr>
        <w:t>Manhattan office leasing volume</w:t>
      </w:r>
    </w:p>
    <w:p>
      <w:pPr>
        <w:spacing w:after="0" w:line="81" w:lineRule="exact"/>
        <w:rPr>
          <w:sz w:val="20"/>
          <w:szCs w:val="20"/>
          <w:color w:val="auto"/>
        </w:rPr>
      </w:pPr>
    </w:p>
    <w:p>
      <w:pPr>
        <w:ind w:left="4760"/>
        <w:spacing w:after="0"/>
        <w:tabs>
          <w:tab w:leader="none" w:pos="4980" w:val="left"/>
        </w:tabs>
        <w:rPr>
          <w:sz w:val="20"/>
          <w:szCs w:val="20"/>
          <w:color w:val="auto"/>
        </w:rPr>
      </w:pPr>
      <w:r>
        <w:rPr>
          <w:rFonts w:ascii="Arial" w:cs="Arial" w:eastAsia="Arial" w:hAnsi="Arial"/>
          <w:sz w:val="17"/>
          <w:szCs w:val="17"/>
          <w:color w:val="355889"/>
        </w:rPr>
        <w:t>●</w:t>
      </w:r>
      <w:r>
        <w:rPr>
          <w:sz w:val="20"/>
          <w:szCs w:val="20"/>
          <w:color w:val="auto"/>
        </w:rPr>
        <w:tab/>
      </w:r>
      <w:r>
        <w:rPr>
          <w:rFonts w:ascii="Arial" w:cs="Arial" w:eastAsia="Arial" w:hAnsi="Arial"/>
          <w:sz w:val="16"/>
          <w:szCs w:val="16"/>
          <w:color w:val="auto"/>
        </w:rPr>
        <w:t>Absolute TSR (three-year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195580</wp:posOffset>
            </wp:positionV>
            <wp:extent cx="5701030" cy="8832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01030" cy="88328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960" w:right="600"/>
        <w:spacing w:after="0" w:line="296" w:lineRule="auto"/>
        <w:rPr>
          <w:sz w:val="20"/>
          <w:szCs w:val="20"/>
          <w:color w:val="auto"/>
        </w:rPr>
      </w:pPr>
      <w:r>
        <w:rPr>
          <w:rFonts w:ascii="Arial" w:cs="Arial" w:eastAsia="Arial" w:hAnsi="Arial"/>
          <w:sz w:val="16"/>
          <w:szCs w:val="16"/>
          <w:b w:val="1"/>
          <w:bCs w:val="1"/>
          <w:color w:val="355889"/>
        </w:rPr>
        <w:t>Shorter Performance Period (performance metrics within management’s scope and visibility)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980"/>
        <w:spacing w:after="0" w:line="296" w:lineRule="auto"/>
        <w:rPr>
          <w:sz w:val="20"/>
          <w:szCs w:val="20"/>
          <w:color w:val="auto"/>
        </w:rPr>
      </w:pPr>
      <w:r>
        <w:rPr>
          <w:rFonts w:ascii="Arial" w:cs="Arial" w:eastAsia="Arial" w:hAnsi="Arial"/>
          <w:sz w:val="16"/>
          <w:szCs w:val="16"/>
          <w:b w:val="1"/>
          <w:bCs w:val="1"/>
          <w:color w:val="355889"/>
        </w:rPr>
        <w:t>Longer Performance Period (performance metrics that align with the creation of stockholder value)</w:t>
      </w:r>
    </w:p>
    <w:p>
      <w:pPr>
        <w:spacing w:after="0" w:line="200" w:lineRule="exact"/>
        <w:rPr>
          <w:sz w:val="20"/>
          <w:szCs w:val="20"/>
          <w:color w:val="auto"/>
        </w:rPr>
      </w:pPr>
    </w:p>
    <w:p>
      <w:pPr>
        <w:sectPr>
          <w:pgSz w:w="11900" w:h="16838" w:orient="portrait"/>
          <w:cols w:equalWidth="0" w:num="2">
            <w:col w:w="5520" w:space="720"/>
            <w:col w:w="5000"/>
          </w:cols>
          <w:pgMar w:left="320" w:top="121" w:right="339" w:bottom="1440" w:gutter="0" w:footer="0" w:header="0"/>
          <w:type w:val="continuous"/>
        </w:sectPr>
      </w:pPr>
    </w:p>
    <w:p>
      <w:pPr>
        <w:spacing w:after="0" w:line="34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alignment of the payouts with outcomes for our stockholders is underscored by the fact that the Company’s TSR as of March 31, 2020 is below the threshold performance level for the equity awards granted in 2019 based on three-year relative TSR and, therefore, could result in no payout to executives. Further, the three-year absolute TSR modifier would result in a negative adjustment of 12.5% had the performance period ended on March 31, 2020.</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2019 Pay Outcomes</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Annual Base Salary</w:t>
      </w:r>
    </w:p>
    <w:p>
      <w:pPr>
        <w:spacing w:after="0" w:line="23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Base salaries are established at levels intended to reflect the scope of each executive’s duties and responsibilities and further take into account the competitive market compensation paid by comparable companies for similar positions. Since such salaries are not based on performance, they are intentionally structured to be a relatively low percentage of total compensation.</w:t>
      </w:r>
    </w:p>
    <w:p>
      <w:pPr>
        <w:spacing w:after="0" w:line="20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following sets forth the annual base salaries for our named executive officers for 2018 and 2019. In connection with Mr. Holliday entering into his new employment agreement effective starting in 2019, he consented to a reduction of the aggregate per annum minimum base salary payable pursuant to his then-current employment agreement, from $1.35 million to $1.25 million, effective for calendar year 2018, retroactive to January 18, 2018.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889"/>
              </w:rPr>
              <w:t>2018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2019</w:t>
            </w:r>
          </w:p>
        </w:tc>
        <w:tc>
          <w:tcPr>
            <w:tcW w:w="660" w:type="dxa"/>
            <w:vAlign w:val="bottom"/>
          </w:tcPr>
          <w:p>
            <w:pPr>
              <w:spacing w:after="0"/>
              <w:rPr>
                <w:sz w:val="12"/>
                <w:szCs w:val="12"/>
                <w:color w:val="auto"/>
              </w:rPr>
            </w:pPr>
          </w:p>
        </w:tc>
      </w:tr>
      <w:tr>
        <w:trPr>
          <w:trHeight w:val="185"/>
        </w:trPr>
        <w:tc>
          <w:tcPr>
            <w:tcW w:w="7820" w:type="dxa"/>
            <w:vAlign w:val="bottom"/>
          </w:tcPr>
          <w:p>
            <w:pPr>
              <w:spacing w:after="0"/>
              <w:rPr>
                <w:sz w:val="20"/>
                <w:szCs w:val="20"/>
                <w:color w:val="auto"/>
              </w:rPr>
            </w:pPr>
            <w:r>
              <w:rPr>
                <w:rFonts w:ascii="Arial" w:cs="Arial" w:eastAsia="Arial" w:hAnsi="Arial"/>
                <w:sz w:val="13"/>
                <w:szCs w:val="13"/>
                <w:b w:val="1"/>
                <w:bCs w:val="1"/>
                <w:color w:val="auto"/>
              </w:rPr>
              <w:t>Executive</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889"/>
              </w:rPr>
              <w:t>Base Salary</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3"/>
                <w:szCs w:val="13"/>
                <w:b w:val="1"/>
                <w:bCs w:val="1"/>
                <w:color w:val="355889"/>
              </w:rPr>
              <w:t>Base Salary</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355889"/>
              </w:rPr>
              <w:t>% Change</w:t>
            </w:r>
          </w:p>
        </w:tc>
      </w:tr>
      <w:tr>
        <w:trPr>
          <w:trHeight w:val="34"/>
        </w:trPr>
        <w:tc>
          <w:tcPr>
            <w:tcW w:w="782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355889"/>
          </w:tcPr>
          <w:p>
            <w:pPr>
              <w:spacing w:after="0"/>
              <w:rPr>
                <w:sz w:val="2"/>
                <w:szCs w:val="2"/>
                <w:color w:val="auto"/>
              </w:rPr>
            </w:pPr>
          </w:p>
        </w:tc>
        <w:tc>
          <w:tcPr>
            <w:tcW w:w="900" w:type="dxa"/>
            <w:vAlign w:val="bottom"/>
            <w:shd w:val="clear" w:color="auto" w:fill="3558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355889"/>
          </w:tcPr>
          <w:p>
            <w:pPr>
              <w:spacing w:after="0"/>
              <w:rPr>
                <w:sz w:val="2"/>
                <w:szCs w:val="2"/>
                <w:color w:val="auto"/>
              </w:rPr>
            </w:pPr>
          </w:p>
        </w:tc>
        <w:tc>
          <w:tcPr>
            <w:tcW w:w="92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355889"/>
          </w:tcPr>
          <w:p>
            <w:pPr>
              <w:spacing w:after="0"/>
              <w:rPr>
                <w:sz w:val="2"/>
                <w:szCs w:val="2"/>
                <w:color w:val="auto"/>
              </w:rPr>
            </w:pPr>
          </w:p>
        </w:tc>
      </w:tr>
      <w:tr>
        <w:trPr>
          <w:trHeight w:val="237"/>
        </w:trPr>
        <w:tc>
          <w:tcPr>
            <w:tcW w:w="782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1,250,000</w:t>
            </w: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1,250,000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820" w:type="dxa"/>
            <w:vAlign w:val="bottom"/>
            <w:tcBorders>
              <w:top w:val="single" w:sz="8" w:color="8797B7"/>
              <w:bottom w:val="single" w:sz="8" w:color="8797B7"/>
            </w:tcBorders>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240" w:type="dxa"/>
            <w:vAlign w:val="bottom"/>
            <w:tcBorders>
              <w:top w:val="single" w:sz="8" w:color="8797B7"/>
              <w:bottom w:val="single" w:sz="8" w:color="8797B7"/>
            </w:tcBorders>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8797B7"/>
              <w:bottom w:val="single" w:sz="8" w:color="8797B7"/>
            </w:tcBorders>
          </w:tcPr>
          <w:p>
            <w:pPr>
              <w:jc w:val="right"/>
              <w:spacing w:after="0"/>
              <w:rPr>
                <w:sz w:val="20"/>
                <w:szCs w:val="20"/>
                <w:color w:val="auto"/>
              </w:rPr>
            </w:pPr>
            <w:r>
              <w:rPr>
                <w:rFonts w:ascii="Arial" w:cs="Arial" w:eastAsia="Arial" w:hAnsi="Arial"/>
                <w:sz w:val="18"/>
                <w:szCs w:val="18"/>
                <w:color w:val="auto"/>
              </w:rPr>
              <w:t>900,000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8797B7"/>
              <w:bottom w:val="single" w:sz="8" w:color="8797B7"/>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8797B7"/>
              <w:bottom w:val="single" w:sz="8" w:color="8797B7"/>
            </w:tcBorders>
          </w:tcPr>
          <w:p>
            <w:pPr>
              <w:jc w:val="right"/>
              <w:spacing w:after="0"/>
              <w:rPr>
                <w:sz w:val="20"/>
                <w:szCs w:val="20"/>
                <w:color w:val="auto"/>
              </w:rPr>
            </w:pPr>
            <w:r>
              <w:rPr>
                <w:rFonts w:ascii="Arial" w:cs="Arial" w:eastAsia="Arial" w:hAnsi="Arial"/>
                <w:sz w:val="18"/>
                <w:szCs w:val="18"/>
                <w:color w:val="auto"/>
              </w:rPr>
              <w:t>950,000</w:t>
            </w:r>
          </w:p>
        </w:tc>
        <w:tc>
          <w:tcPr>
            <w:tcW w:w="160" w:type="dxa"/>
            <w:vAlign w:val="bottom"/>
          </w:tcPr>
          <w:p>
            <w:pPr>
              <w:spacing w:after="0"/>
              <w:rPr>
                <w:sz w:val="20"/>
                <w:szCs w:val="20"/>
                <w:color w:val="auto"/>
              </w:rPr>
            </w:pPr>
          </w:p>
        </w:tc>
        <w:tc>
          <w:tcPr>
            <w:tcW w:w="660" w:type="dxa"/>
            <w:vAlign w:val="bottom"/>
            <w:tcBorders>
              <w:top w:val="single" w:sz="8" w:color="8797B7"/>
              <w:bottom w:val="single" w:sz="8" w:color="8797B7"/>
            </w:tcBorders>
          </w:tcPr>
          <w:p>
            <w:pPr>
              <w:jc w:val="right"/>
              <w:spacing w:after="0"/>
              <w:rPr>
                <w:sz w:val="20"/>
                <w:szCs w:val="20"/>
                <w:color w:val="auto"/>
              </w:rPr>
            </w:pPr>
            <w:r>
              <w:rPr>
                <w:rFonts w:ascii="Arial" w:cs="Arial" w:eastAsia="Arial" w:hAnsi="Arial"/>
                <w:sz w:val="18"/>
                <w:szCs w:val="18"/>
                <w:color w:val="auto"/>
              </w:rPr>
              <w:t>5.6%</w:t>
            </w:r>
          </w:p>
        </w:tc>
      </w:tr>
      <w:tr>
        <w:trPr>
          <w:trHeight w:val="237"/>
        </w:trPr>
        <w:tc>
          <w:tcPr>
            <w:tcW w:w="782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240" w:type="dxa"/>
            <w:vAlign w:val="bottom"/>
            <w:tcBorders>
              <w:bottom w:val="single" w:sz="8" w:color="8797B7"/>
            </w:tcBorders>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8797B7"/>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550,000</w:t>
            </w:r>
          </w:p>
        </w:tc>
        <w:tc>
          <w:tcPr>
            <w:tcW w:w="160" w:type="dxa"/>
            <w:vAlign w:val="bottom"/>
          </w:tcPr>
          <w:p>
            <w:pPr>
              <w:spacing w:after="0"/>
              <w:rPr>
                <w:sz w:val="20"/>
                <w:szCs w:val="20"/>
                <w:color w:val="auto"/>
              </w:rPr>
            </w:pPr>
          </w:p>
        </w:tc>
        <w:tc>
          <w:tcPr>
            <w:tcW w:w="6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820" w:type="dxa"/>
            <w:vAlign w:val="bottom"/>
            <w:tcBorders>
              <w:bottom w:val="single" w:sz="8" w:color="355889"/>
            </w:tcBorders>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1"/>
                <w:szCs w:val="21"/>
                <w:color w:val="auto"/>
              </w:rPr>
            </w:pPr>
          </w:p>
        </w:tc>
        <w:tc>
          <w:tcPr>
            <w:tcW w:w="240" w:type="dxa"/>
            <w:vAlign w:val="bottom"/>
            <w:tcBorders>
              <w:bottom w:val="single" w:sz="8" w:color="355889"/>
            </w:tcBorders>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355889"/>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rPr>
              <w:t>580,000</w:t>
            </w:r>
          </w:p>
        </w:tc>
        <w:tc>
          <w:tcPr>
            <w:tcW w:w="160" w:type="dxa"/>
            <w:vAlign w:val="bottom"/>
          </w:tcPr>
          <w:p>
            <w:pPr>
              <w:spacing w:after="0"/>
              <w:rPr>
                <w:sz w:val="21"/>
                <w:szCs w:val="21"/>
                <w:color w:val="auto"/>
              </w:rPr>
            </w:pPr>
          </w:p>
        </w:tc>
        <w:tc>
          <w:tcPr>
            <w:tcW w:w="66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rPr>
              <w:t>5.5%</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Annual Cash Bonus (Formulaic - CEO and President)</w:t>
      </w:r>
    </w:p>
    <w:p>
      <w:pPr>
        <w:spacing w:after="0" w:line="23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pay annual incentive awards in the form of annual cash bonuses to reward our named executive officers for achieving key corporate financial and operational objectives and individual goals. The annual cash bonuses paid to our CEO and President for 2019 were determined pursuant to our annual cash bonus program. Under this program, the Committee established specific threshold, target and maximum cash bonus amounts that each executive officer could earn for 2019</w:t>
      </w:r>
    </w:p>
    <w:p>
      <w:pPr>
        <w:spacing w:after="0" w:line="208" w:lineRule="exact"/>
        <w:rPr>
          <w:sz w:val="20"/>
          <w:szCs w:val="20"/>
          <w:color w:val="auto"/>
        </w:rPr>
      </w:pPr>
    </w:p>
    <w:p>
      <w:pPr>
        <w:ind w:left="300" w:hanging="292"/>
        <w:spacing w:after="0"/>
        <w:tabs>
          <w:tab w:leader="none" w:pos="300" w:val="left"/>
        </w:tabs>
        <w:numPr>
          <w:ilvl w:val="0"/>
          <w:numId w:val="73"/>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780"/>
        <w:spacing w:after="0"/>
        <w:rPr>
          <w:sz w:val="20"/>
          <w:szCs w:val="20"/>
          <w:color w:val="auto"/>
        </w:rPr>
      </w:pPr>
      <w:r>
        <w:rPr>
          <w:rFonts w:ascii="Arial" w:cs="Arial" w:eastAsia="Arial" w:hAnsi="Arial"/>
          <w:sz w:val="16"/>
          <w:szCs w:val="16"/>
          <w:u w:val="single" w:color="auto"/>
          <w:color w:val="355889"/>
        </w:rPr>
        <w:t>EXECUTIVE COMPENSATION</w:t>
      </w:r>
    </w:p>
    <w:p>
      <w:pPr>
        <w:spacing w:after="0" w:line="23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and established specific performance criteria that were to be used in a formulaic manner to determine 100% of each of these executives’ cash bonuses. For 2019, each of Messrs. Holliday and Mathias were eligible to earn the following percentages of his base salary (with linear interpolation used to determine the percentage earned for performance that falls between threshold, target and/or maximum):</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000" w:type="dxa"/>
            <w:vAlign w:val="bottom"/>
            <w:tcBorders>
              <w:bottom w:val="single" w:sz="8" w:color="355889"/>
            </w:tcBorders>
          </w:tcPr>
          <w:p>
            <w:pPr>
              <w:spacing w:after="0"/>
              <w:rPr>
                <w:sz w:val="20"/>
                <w:szCs w:val="20"/>
                <w:color w:val="auto"/>
              </w:rPr>
            </w:pPr>
            <w:r>
              <w:rPr>
                <w:rFonts w:ascii="Arial" w:cs="Arial" w:eastAsia="Arial" w:hAnsi="Arial"/>
                <w:sz w:val="13"/>
                <w:szCs w:val="13"/>
                <w:b w:val="1"/>
                <w:bCs w:val="1"/>
                <w:color w:val="auto"/>
              </w:rPr>
              <w:t>Executive</w:t>
            </w:r>
          </w:p>
        </w:tc>
        <w:tc>
          <w:tcPr>
            <w:tcW w:w="160" w:type="dxa"/>
            <w:vAlign w:val="bottom"/>
          </w:tcPr>
          <w:p>
            <w:pPr>
              <w:spacing w:after="0"/>
              <w:rPr>
                <w:sz w:val="17"/>
                <w:szCs w:val="17"/>
                <w:color w:val="auto"/>
              </w:rPr>
            </w:pPr>
          </w:p>
        </w:tc>
        <w:tc>
          <w:tcPr>
            <w:tcW w:w="660" w:type="dxa"/>
            <w:vAlign w:val="bottom"/>
            <w:tcBorders>
              <w:bottom w:val="single" w:sz="8" w:color="355889"/>
            </w:tcBorders>
          </w:tcPr>
          <w:p>
            <w:pPr>
              <w:jc w:val="right"/>
              <w:spacing w:after="0"/>
              <w:rPr>
                <w:sz w:val="20"/>
                <w:szCs w:val="20"/>
                <w:color w:val="auto"/>
              </w:rPr>
            </w:pPr>
            <w:r>
              <w:rPr>
                <w:rFonts w:ascii="Arial" w:cs="Arial" w:eastAsia="Arial" w:hAnsi="Arial"/>
                <w:sz w:val="13"/>
                <w:szCs w:val="13"/>
                <w:b w:val="1"/>
                <w:bCs w:val="1"/>
                <w:color w:val="355889"/>
              </w:rPr>
              <w:t>Threshold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355889"/>
            </w:tcBorders>
          </w:tcPr>
          <w:p>
            <w:pPr>
              <w:spacing w:after="0"/>
              <w:rPr>
                <w:sz w:val="20"/>
                <w:szCs w:val="20"/>
                <w:color w:val="auto"/>
              </w:rPr>
            </w:pPr>
            <w:r>
              <w:rPr>
                <w:rFonts w:ascii="Arial" w:cs="Arial" w:eastAsia="Arial" w:hAnsi="Arial"/>
                <w:sz w:val="13"/>
                <w:szCs w:val="13"/>
                <w:b w:val="1"/>
                <w:bCs w:val="1"/>
                <w:color w:val="355889"/>
              </w:rPr>
              <w:t>Target</w:t>
            </w:r>
          </w:p>
        </w:tc>
        <w:tc>
          <w:tcPr>
            <w:tcW w:w="160" w:type="dxa"/>
            <w:vAlign w:val="bottom"/>
          </w:tcPr>
          <w:p>
            <w:pPr>
              <w:spacing w:after="0"/>
              <w:rPr>
                <w:sz w:val="17"/>
                <w:szCs w:val="17"/>
                <w:color w:val="auto"/>
              </w:rPr>
            </w:pPr>
          </w:p>
        </w:tc>
        <w:tc>
          <w:tcPr>
            <w:tcW w:w="640" w:type="dxa"/>
            <w:vAlign w:val="bottom"/>
            <w:tcBorders>
              <w:bottom w:val="single" w:sz="8" w:color="355889"/>
            </w:tcBorders>
          </w:tcPr>
          <w:p>
            <w:pPr>
              <w:jc w:val="right"/>
              <w:spacing w:after="0"/>
              <w:rPr>
                <w:sz w:val="20"/>
                <w:szCs w:val="20"/>
                <w:color w:val="auto"/>
              </w:rPr>
            </w:pPr>
            <w:r>
              <w:rPr>
                <w:rFonts w:ascii="Arial" w:cs="Arial" w:eastAsia="Arial" w:hAnsi="Arial"/>
                <w:sz w:val="13"/>
                <w:szCs w:val="13"/>
                <w:b w:val="1"/>
                <w:bCs w:val="1"/>
                <w:color w:val="355889"/>
              </w:rPr>
              <w:t>Maximum</w:t>
            </w:r>
          </w:p>
        </w:tc>
      </w:tr>
      <w:tr>
        <w:trPr>
          <w:trHeight w:val="235"/>
        </w:trPr>
        <w:tc>
          <w:tcPr>
            <w:tcW w:w="900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700" w:type="dxa"/>
            <w:vAlign w:val="bottom"/>
            <w:gridSpan w:val="3"/>
          </w:tcPr>
          <w:p>
            <w:pPr>
              <w:ind w:left="100"/>
              <w:spacing w:after="0"/>
              <w:rPr>
                <w:sz w:val="20"/>
                <w:szCs w:val="20"/>
                <w:color w:val="auto"/>
              </w:rPr>
            </w:pPr>
            <w:r>
              <w:rPr>
                <w:rFonts w:ascii="Arial" w:cs="Arial" w:eastAsia="Arial" w:hAnsi="Arial"/>
                <w:sz w:val="18"/>
                <w:szCs w:val="18"/>
                <w:color w:val="auto"/>
              </w:rPr>
              <w:t>200%</w:t>
            </w:r>
          </w:p>
        </w:tc>
        <w:tc>
          <w:tcPr>
            <w:tcW w:w="6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
        </w:trPr>
        <w:tc>
          <w:tcPr>
            <w:tcW w:w="90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r>
      <w:tr>
        <w:trPr>
          <w:trHeight w:val="235"/>
        </w:trPr>
        <w:tc>
          <w:tcPr>
            <w:tcW w:w="900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700" w:type="dxa"/>
            <w:vAlign w:val="bottom"/>
            <w:gridSpan w:val="3"/>
          </w:tcPr>
          <w:p>
            <w:pPr>
              <w:ind w:left="100"/>
              <w:spacing w:after="0"/>
              <w:rPr>
                <w:sz w:val="20"/>
                <w:szCs w:val="20"/>
                <w:color w:val="auto"/>
              </w:rPr>
            </w:pPr>
            <w:r>
              <w:rPr>
                <w:rFonts w:ascii="Arial" w:cs="Arial" w:eastAsia="Arial" w:hAnsi="Arial"/>
                <w:sz w:val="18"/>
                <w:szCs w:val="18"/>
                <w:color w:val="auto"/>
              </w:rPr>
              <w:t>175%</w:t>
            </w: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35"/>
        </w:trPr>
        <w:tc>
          <w:tcPr>
            <w:tcW w:w="900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shd w:val="clear" w:color="auto" w:fill="355889"/>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shd w:val="clear" w:color="auto" w:fill="355889"/>
          </w:tcPr>
          <w:p>
            <w:pPr>
              <w:spacing w:after="0"/>
              <w:rPr>
                <w:sz w:val="3"/>
                <w:szCs w:val="3"/>
                <w:color w:val="auto"/>
              </w:rPr>
            </w:pPr>
          </w:p>
        </w:tc>
      </w:tr>
    </w:tbl>
    <w:p>
      <w:pPr>
        <w:spacing w:after="0" w:line="21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entirety of each executive’s annual cash bonus was determined in a formulaic manner based on the level of our achievement of a number of performance criteria as compared to the level established in advance by the Committee. The following sets forth the specific performance criteria selected for 2019, the relative weighting of each, the threshold, target and maximum performance levels established by the Committee in advance for each, and our actual 2019 results for each.</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2019</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6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Weighting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355889"/>
              </w:rPr>
              <w:t>2019 Actual</w:t>
            </w:r>
          </w:p>
        </w:tc>
      </w:tr>
      <w:tr>
        <w:trPr>
          <w:trHeight w:val="185"/>
        </w:trPr>
        <w:tc>
          <w:tcPr>
            <w:tcW w:w="6480" w:type="dxa"/>
            <w:vAlign w:val="bottom"/>
          </w:tcPr>
          <w:p>
            <w:pPr>
              <w:spacing w:after="0"/>
              <w:rPr>
                <w:sz w:val="20"/>
                <w:szCs w:val="20"/>
                <w:color w:val="auto"/>
              </w:rPr>
            </w:pPr>
            <w:r>
              <w:rPr>
                <w:rFonts w:ascii="Arial" w:cs="Arial" w:eastAsia="Arial" w:hAnsi="Arial"/>
                <w:sz w:val="13"/>
                <w:szCs w:val="13"/>
                <w:b w:val="1"/>
                <w:bCs w:val="1"/>
                <w:color w:val="auto"/>
              </w:rPr>
              <w:t>Performance criteria</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355889"/>
              </w:rPr>
              <w:t>Levels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355889"/>
              </w:rPr>
              <w:t>Threshold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355889"/>
              </w:rPr>
              <w:t>Target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Maximum</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355889"/>
              </w:rPr>
              <w:t>Performance</w:t>
            </w:r>
          </w:p>
        </w:tc>
      </w:tr>
      <w:tr>
        <w:trPr>
          <w:trHeight w:val="34"/>
        </w:trPr>
        <w:tc>
          <w:tcPr>
            <w:tcW w:w="648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355889"/>
          </w:tcPr>
          <w:p>
            <w:pPr>
              <w:spacing w:after="0"/>
              <w:rPr>
                <w:sz w:val="2"/>
                <w:szCs w:val="2"/>
                <w:color w:val="auto"/>
              </w:rPr>
            </w:pPr>
          </w:p>
        </w:tc>
        <w:tc>
          <w:tcPr>
            <w:tcW w:w="680" w:type="dxa"/>
            <w:vAlign w:val="bottom"/>
            <w:shd w:val="clear" w:color="auto" w:fill="3558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355889"/>
          </w:tcPr>
          <w:p>
            <w:pPr>
              <w:spacing w:after="0"/>
              <w:rPr>
                <w:sz w:val="2"/>
                <w:szCs w:val="2"/>
                <w:color w:val="auto"/>
              </w:rPr>
            </w:pPr>
          </w:p>
        </w:tc>
        <w:tc>
          <w:tcPr>
            <w:tcW w:w="620" w:type="dxa"/>
            <w:vAlign w:val="bottom"/>
            <w:shd w:val="clear" w:color="auto" w:fill="355889"/>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355889"/>
          </w:tcPr>
          <w:p>
            <w:pPr>
              <w:spacing w:after="0"/>
              <w:rPr>
                <w:sz w:val="2"/>
                <w:szCs w:val="2"/>
                <w:color w:val="auto"/>
              </w:rPr>
            </w:pPr>
          </w:p>
        </w:tc>
        <w:tc>
          <w:tcPr>
            <w:tcW w:w="66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355889"/>
          </w:tcPr>
          <w:p>
            <w:pPr>
              <w:spacing w:after="0"/>
              <w:rPr>
                <w:sz w:val="2"/>
                <w:szCs w:val="2"/>
                <w:color w:val="auto"/>
              </w:rPr>
            </w:pPr>
          </w:p>
        </w:tc>
        <w:tc>
          <w:tcPr>
            <w:tcW w:w="760" w:type="dxa"/>
            <w:vAlign w:val="bottom"/>
            <w:shd w:val="clear" w:color="auto" w:fill="355889"/>
          </w:tcPr>
          <w:p>
            <w:pPr>
              <w:spacing w:after="0"/>
              <w:rPr>
                <w:sz w:val="2"/>
                <w:szCs w:val="2"/>
                <w:color w:val="auto"/>
              </w:rPr>
            </w:pPr>
          </w:p>
        </w:tc>
      </w:tr>
      <w:tr>
        <w:trPr>
          <w:trHeight w:val="311"/>
        </w:trPr>
        <w:tc>
          <w:tcPr>
            <w:tcW w:w="6480" w:type="dxa"/>
            <w:vAlign w:val="bottom"/>
          </w:tcPr>
          <w:p>
            <w:pPr>
              <w:spacing w:after="0" w:line="310" w:lineRule="exact"/>
              <w:rPr>
                <w:sz w:val="20"/>
                <w:szCs w:val="20"/>
                <w:color w:val="auto"/>
              </w:rPr>
            </w:pPr>
            <w:r>
              <w:rPr>
                <w:rFonts w:ascii="Arial" w:cs="Arial" w:eastAsia="Arial" w:hAnsi="Arial"/>
                <w:sz w:val="18"/>
                <w:szCs w:val="18"/>
                <w:color w:val="auto"/>
              </w:rPr>
              <w:t>Normalized FFO per share</w:t>
            </w:r>
            <w:r>
              <w:rPr>
                <w:rFonts w:ascii="Arial" w:cs="Arial" w:eastAsia="Arial" w:hAnsi="Arial"/>
                <w:sz w:val="29"/>
                <w:szCs w:val="29"/>
                <w:color w:val="auto"/>
                <w:vertAlign w:val="superscript"/>
              </w:rPr>
              <w:t>(1)</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6.85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0"/>
        </w:trPr>
        <w:tc>
          <w:tcPr>
            <w:tcW w:w="648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797B7"/>
          </w:tcPr>
          <w:p>
            <w:pPr>
              <w:spacing w:after="0" w:line="20" w:lineRule="exact"/>
              <w:rPr>
                <w:sz w:val="1"/>
                <w:szCs w:val="1"/>
                <w:color w:val="auto"/>
              </w:rPr>
            </w:pPr>
          </w:p>
        </w:tc>
        <w:tc>
          <w:tcPr>
            <w:tcW w:w="68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8797B7"/>
          </w:tcPr>
          <w:p>
            <w:pPr>
              <w:spacing w:after="0" w:line="20" w:lineRule="exact"/>
              <w:rPr>
                <w:sz w:val="1"/>
                <w:szCs w:val="1"/>
                <w:color w:val="auto"/>
              </w:rPr>
            </w:pPr>
          </w:p>
        </w:tc>
        <w:tc>
          <w:tcPr>
            <w:tcW w:w="620" w:type="dxa"/>
            <w:vAlign w:val="bottom"/>
            <w:shd w:val="clear" w:color="auto" w:fill="8797B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8797B7"/>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797B7"/>
          </w:tcPr>
          <w:p>
            <w:pPr>
              <w:spacing w:after="0" w:line="20" w:lineRule="exact"/>
              <w:rPr>
                <w:sz w:val="1"/>
                <w:szCs w:val="1"/>
                <w:color w:val="auto"/>
              </w:rPr>
            </w:pPr>
          </w:p>
        </w:tc>
        <w:tc>
          <w:tcPr>
            <w:tcW w:w="760" w:type="dxa"/>
            <w:vAlign w:val="bottom"/>
            <w:shd w:val="clear" w:color="auto" w:fill="8797B7"/>
          </w:tcPr>
          <w:p>
            <w:pPr>
              <w:spacing w:after="0" w:line="20" w:lineRule="exact"/>
              <w:rPr>
                <w:sz w:val="1"/>
                <w:szCs w:val="1"/>
                <w:color w:val="auto"/>
              </w:rPr>
            </w:pPr>
          </w:p>
        </w:tc>
      </w:tr>
      <w:tr>
        <w:trPr>
          <w:trHeight w:val="304"/>
        </w:trPr>
        <w:tc>
          <w:tcPr>
            <w:tcW w:w="6480" w:type="dxa"/>
            <w:vAlign w:val="bottom"/>
          </w:tcPr>
          <w:p>
            <w:pPr>
              <w:spacing w:after="0" w:line="303" w:lineRule="exact"/>
              <w:rPr>
                <w:sz w:val="20"/>
                <w:szCs w:val="20"/>
                <w:color w:val="auto"/>
              </w:rPr>
            </w:pPr>
            <w:r>
              <w:rPr>
                <w:rFonts w:ascii="Arial" w:cs="Arial" w:eastAsia="Arial" w:hAnsi="Arial"/>
                <w:sz w:val="18"/>
                <w:szCs w:val="18"/>
                <w:color w:val="auto"/>
              </w:rPr>
              <w:t>Annual same-store cash NOI growth</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0"/>
        </w:trPr>
        <w:tc>
          <w:tcPr>
            <w:tcW w:w="648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797B7"/>
          </w:tcPr>
          <w:p>
            <w:pPr>
              <w:spacing w:after="0" w:line="20" w:lineRule="exact"/>
              <w:rPr>
                <w:sz w:val="1"/>
                <w:szCs w:val="1"/>
                <w:color w:val="auto"/>
              </w:rPr>
            </w:pPr>
          </w:p>
        </w:tc>
        <w:tc>
          <w:tcPr>
            <w:tcW w:w="68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8797B7"/>
          </w:tcPr>
          <w:p>
            <w:pPr>
              <w:spacing w:after="0" w:line="20" w:lineRule="exact"/>
              <w:rPr>
                <w:sz w:val="1"/>
                <w:szCs w:val="1"/>
                <w:color w:val="auto"/>
              </w:rPr>
            </w:pPr>
          </w:p>
        </w:tc>
        <w:tc>
          <w:tcPr>
            <w:tcW w:w="620" w:type="dxa"/>
            <w:vAlign w:val="bottom"/>
            <w:shd w:val="clear" w:color="auto" w:fill="8797B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8797B7"/>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797B7"/>
          </w:tcPr>
          <w:p>
            <w:pPr>
              <w:spacing w:after="0" w:line="20" w:lineRule="exact"/>
              <w:rPr>
                <w:sz w:val="1"/>
                <w:szCs w:val="1"/>
                <w:color w:val="auto"/>
              </w:rPr>
            </w:pPr>
          </w:p>
        </w:tc>
        <w:tc>
          <w:tcPr>
            <w:tcW w:w="760" w:type="dxa"/>
            <w:vAlign w:val="bottom"/>
            <w:shd w:val="clear" w:color="auto" w:fill="8797B7"/>
          </w:tcPr>
          <w:p>
            <w:pPr>
              <w:spacing w:after="0" w:line="20" w:lineRule="exact"/>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Dividend growth</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1"/>
        </w:trPr>
        <w:tc>
          <w:tcPr>
            <w:tcW w:w="648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8797B7"/>
          </w:tcPr>
          <w:p>
            <w:pPr>
              <w:spacing w:after="0" w:line="20" w:lineRule="exact"/>
              <w:rPr>
                <w:sz w:val="1"/>
                <w:szCs w:val="1"/>
                <w:color w:val="auto"/>
              </w:rPr>
            </w:pPr>
          </w:p>
        </w:tc>
        <w:tc>
          <w:tcPr>
            <w:tcW w:w="68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8797B7"/>
          </w:tcPr>
          <w:p>
            <w:pPr>
              <w:spacing w:after="0" w:line="20" w:lineRule="exact"/>
              <w:rPr>
                <w:sz w:val="1"/>
                <w:szCs w:val="1"/>
                <w:color w:val="auto"/>
              </w:rPr>
            </w:pPr>
          </w:p>
        </w:tc>
        <w:tc>
          <w:tcPr>
            <w:tcW w:w="620" w:type="dxa"/>
            <w:vAlign w:val="bottom"/>
            <w:shd w:val="clear" w:color="auto" w:fill="8797B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8797B7"/>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8797B7"/>
          </w:tcPr>
          <w:p>
            <w:pPr>
              <w:spacing w:after="0" w:line="20" w:lineRule="exact"/>
              <w:rPr>
                <w:sz w:val="1"/>
                <w:szCs w:val="1"/>
                <w:color w:val="auto"/>
              </w:rPr>
            </w:pPr>
          </w:p>
        </w:tc>
        <w:tc>
          <w:tcPr>
            <w:tcW w:w="760" w:type="dxa"/>
            <w:vAlign w:val="bottom"/>
            <w:shd w:val="clear" w:color="auto" w:fill="8797B7"/>
          </w:tcPr>
          <w:p>
            <w:pPr>
              <w:spacing w:after="0" w:line="20" w:lineRule="exact"/>
              <w:rPr>
                <w:sz w:val="1"/>
                <w:szCs w:val="1"/>
                <w:color w:val="auto"/>
              </w:rPr>
            </w:pPr>
          </w:p>
        </w:tc>
      </w:tr>
      <w:tr>
        <w:trPr>
          <w:trHeight w:val="310"/>
        </w:trPr>
        <w:tc>
          <w:tcPr>
            <w:tcW w:w="6480" w:type="dxa"/>
            <w:vAlign w:val="bottom"/>
          </w:tcPr>
          <w:p>
            <w:pPr>
              <w:spacing w:after="0" w:line="310" w:lineRule="exact"/>
              <w:rPr>
                <w:sz w:val="20"/>
                <w:szCs w:val="20"/>
                <w:color w:val="auto"/>
              </w:rPr>
            </w:pPr>
            <w:r>
              <w:rPr>
                <w:rFonts w:ascii="Arial" w:cs="Arial" w:eastAsia="Arial" w:hAnsi="Arial"/>
                <w:sz w:val="18"/>
                <w:szCs w:val="18"/>
                <w:color w:val="auto"/>
              </w:rPr>
              <w:t>G&amp;A expense (in millions)</w:t>
            </w:r>
            <w:r>
              <w:rPr>
                <w:rFonts w:ascii="Arial" w:cs="Arial" w:eastAsia="Arial" w:hAnsi="Arial"/>
                <w:sz w:val="29"/>
                <w:szCs w:val="29"/>
                <w:color w:val="auto"/>
                <w:vertAlign w:val="superscript"/>
              </w:rPr>
              <w:t>(3)</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94.00</w:t>
            </w:r>
          </w:p>
        </w:tc>
        <w:tc>
          <w:tcPr>
            <w:tcW w:w="8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92.50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91.00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91.78</w:t>
            </w:r>
          </w:p>
        </w:tc>
      </w:tr>
      <w:tr>
        <w:trPr>
          <w:trHeight w:val="27"/>
        </w:trPr>
        <w:tc>
          <w:tcPr>
            <w:tcW w:w="648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355889"/>
          </w:tcPr>
          <w:p>
            <w:pPr>
              <w:spacing w:after="0"/>
              <w:rPr>
                <w:sz w:val="2"/>
                <w:szCs w:val="2"/>
                <w:color w:val="auto"/>
              </w:rPr>
            </w:pPr>
          </w:p>
        </w:tc>
        <w:tc>
          <w:tcPr>
            <w:tcW w:w="680" w:type="dxa"/>
            <w:vAlign w:val="bottom"/>
            <w:shd w:val="clear" w:color="auto" w:fill="3558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355889"/>
          </w:tcPr>
          <w:p>
            <w:pPr>
              <w:spacing w:after="0"/>
              <w:rPr>
                <w:sz w:val="2"/>
                <w:szCs w:val="2"/>
                <w:color w:val="auto"/>
              </w:rPr>
            </w:pPr>
          </w:p>
        </w:tc>
        <w:tc>
          <w:tcPr>
            <w:tcW w:w="620" w:type="dxa"/>
            <w:vAlign w:val="bottom"/>
            <w:shd w:val="clear" w:color="auto" w:fill="355889"/>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355889"/>
          </w:tcPr>
          <w:p>
            <w:pPr>
              <w:spacing w:after="0"/>
              <w:rPr>
                <w:sz w:val="2"/>
                <w:szCs w:val="2"/>
                <w:color w:val="auto"/>
              </w:rPr>
            </w:pPr>
          </w:p>
        </w:tc>
        <w:tc>
          <w:tcPr>
            <w:tcW w:w="66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355889"/>
          </w:tcPr>
          <w:p>
            <w:pPr>
              <w:spacing w:after="0"/>
              <w:rPr>
                <w:sz w:val="2"/>
                <w:szCs w:val="2"/>
                <w:color w:val="auto"/>
              </w:rPr>
            </w:pPr>
          </w:p>
        </w:tc>
        <w:tc>
          <w:tcPr>
            <w:tcW w:w="760" w:type="dxa"/>
            <w:vAlign w:val="bottom"/>
            <w:shd w:val="clear" w:color="auto" w:fill="355889"/>
          </w:tcPr>
          <w:p>
            <w:pPr>
              <w:spacing w:after="0"/>
              <w:rPr>
                <w:sz w:val="2"/>
                <w:szCs w:val="2"/>
                <w:color w:val="auto"/>
              </w:rPr>
            </w:pPr>
          </w:p>
        </w:tc>
      </w:tr>
    </w:tbl>
    <w:p>
      <w:pPr>
        <w:spacing w:after="0" w:line="107" w:lineRule="exact"/>
        <w:rPr>
          <w:sz w:val="20"/>
          <w:szCs w:val="20"/>
          <w:color w:val="auto"/>
        </w:rPr>
      </w:pPr>
    </w:p>
    <w:p>
      <w:pPr>
        <w:ind w:left="320" w:hanging="312"/>
        <w:spacing w:after="0"/>
        <w:tabs>
          <w:tab w:leader="none" w:pos="3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Refer to Appendix A for a reconciliation.</w:t>
      </w:r>
    </w:p>
    <w:p>
      <w:pPr>
        <w:spacing w:after="0" w:line="66" w:lineRule="exact"/>
        <w:rPr>
          <w:rFonts w:ascii="Arial" w:cs="Arial" w:eastAsia="Arial" w:hAnsi="Arial"/>
          <w:sz w:val="13"/>
          <w:szCs w:val="13"/>
          <w:color w:val="auto"/>
        </w:rPr>
      </w:pPr>
    </w:p>
    <w:p>
      <w:pPr>
        <w:ind w:left="320" w:hanging="312"/>
        <w:spacing w:after="0"/>
        <w:tabs>
          <w:tab w:leader="none" w:pos="3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Excludes lease termination income and free rent at 1515 Broadway. Refer to Appendix A for a reconciliation.</w:t>
      </w:r>
    </w:p>
    <w:p>
      <w:pPr>
        <w:spacing w:after="0" w:line="66" w:lineRule="exact"/>
        <w:rPr>
          <w:rFonts w:ascii="Arial" w:cs="Arial" w:eastAsia="Arial" w:hAnsi="Arial"/>
          <w:sz w:val="13"/>
          <w:szCs w:val="13"/>
          <w:color w:val="auto"/>
        </w:rPr>
      </w:pPr>
    </w:p>
    <w:p>
      <w:pPr>
        <w:ind w:left="320" w:hanging="312"/>
        <w:spacing w:after="0"/>
        <w:tabs>
          <w:tab w:leader="none" w:pos="3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Excludes new accounting for internal lease costs, one-time severance costs and relocation expenses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These performance criteria were chosen by the Committee because they are key drivers of stockholder value creation:</w:t>
      </w:r>
    </w:p>
    <w:p>
      <w:pPr>
        <w:spacing w:after="0" w:line="185" w:lineRule="exact"/>
        <w:rPr>
          <w:sz w:val="20"/>
          <w:szCs w:val="20"/>
          <w:color w:val="auto"/>
        </w:rPr>
      </w:pPr>
    </w:p>
    <w:p>
      <w:pPr>
        <w:ind w:left="540" w:right="1080" w:hanging="262"/>
        <w:spacing w:after="0" w:line="271" w:lineRule="auto"/>
        <w:tabs>
          <w:tab w:leader="none" w:pos="540" w:val="left"/>
        </w:tabs>
        <w:numPr>
          <w:ilvl w:val="0"/>
          <w:numId w:val="75"/>
        </w:numPr>
        <w:rPr>
          <w:rFonts w:ascii="Arial" w:cs="Arial" w:eastAsia="Arial" w:hAnsi="Arial"/>
          <w:sz w:val="17"/>
          <w:szCs w:val="17"/>
          <w:color w:val="355889"/>
        </w:rPr>
      </w:pPr>
      <w:r>
        <w:rPr>
          <w:rFonts w:ascii="Arial" w:cs="Arial" w:eastAsia="Arial" w:hAnsi="Arial"/>
          <w:sz w:val="18"/>
          <w:szCs w:val="18"/>
          <w:b w:val="1"/>
          <w:bCs w:val="1"/>
          <w:color w:val="auto"/>
        </w:rPr>
        <w:t xml:space="preserve">FFO per share: </w:t>
      </w:r>
      <w:r>
        <w:rPr>
          <w:rFonts w:ascii="Arial" w:cs="Arial" w:eastAsia="Arial" w:hAnsi="Arial"/>
          <w:sz w:val="18"/>
          <w:szCs w:val="18"/>
          <w:color w:val="auto"/>
        </w:rPr>
        <w:t>is a widely-used non-GAAP measure of earnings performance for REITs, used both by investors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and a key financial measure for which we provide guidance.</w:t>
      </w:r>
    </w:p>
    <w:p>
      <w:pPr>
        <w:spacing w:after="0" w:line="5" w:lineRule="exact"/>
        <w:rPr>
          <w:rFonts w:ascii="Arial" w:cs="Arial" w:eastAsia="Arial" w:hAnsi="Arial"/>
          <w:sz w:val="17"/>
          <w:szCs w:val="17"/>
          <w:color w:val="355889"/>
        </w:rPr>
      </w:pPr>
    </w:p>
    <w:p>
      <w:pPr>
        <w:ind w:left="540" w:right="20" w:hanging="262"/>
        <w:spacing w:after="0" w:line="253" w:lineRule="auto"/>
        <w:tabs>
          <w:tab w:leader="none" w:pos="540" w:val="left"/>
        </w:tabs>
        <w:numPr>
          <w:ilvl w:val="0"/>
          <w:numId w:val="75"/>
        </w:numPr>
        <w:rPr>
          <w:rFonts w:ascii="Arial" w:cs="Arial" w:eastAsia="Arial" w:hAnsi="Arial"/>
          <w:sz w:val="17"/>
          <w:szCs w:val="17"/>
          <w:color w:val="355889"/>
        </w:rPr>
      </w:pPr>
      <w:r>
        <w:rPr>
          <w:rFonts w:ascii="Arial" w:cs="Arial" w:eastAsia="Arial" w:hAnsi="Arial"/>
          <w:sz w:val="18"/>
          <w:szCs w:val="18"/>
          <w:b w:val="1"/>
          <w:bCs w:val="1"/>
          <w:color w:val="auto"/>
        </w:rPr>
        <w:t xml:space="preserve">Annual same-store cash NOI growth: </w:t>
      </w:r>
      <w:r>
        <w:rPr>
          <w:rFonts w:ascii="Arial" w:cs="Arial" w:eastAsia="Arial" w:hAnsi="Arial"/>
          <w:sz w:val="18"/>
          <w:szCs w:val="18"/>
          <w:color w:val="auto"/>
        </w:rPr>
        <w:t>cash NOI is a key metric used to evaluate the operating performance of our properties. Same-store cash NOI is used to evaluate the operating performance of the properties owned by us in a similar manner in both reporting periods (year over year).</w:t>
      </w:r>
    </w:p>
    <w:p>
      <w:pPr>
        <w:spacing w:after="0" w:line="20" w:lineRule="exact"/>
        <w:rPr>
          <w:rFonts w:ascii="Arial" w:cs="Arial" w:eastAsia="Arial" w:hAnsi="Arial"/>
          <w:sz w:val="17"/>
          <w:szCs w:val="17"/>
          <w:color w:val="355889"/>
        </w:rPr>
      </w:pPr>
    </w:p>
    <w:p>
      <w:pPr>
        <w:ind w:left="540" w:hanging="262"/>
        <w:spacing w:after="0"/>
        <w:tabs>
          <w:tab w:leader="none" w:pos="540" w:val="left"/>
        </w:tabs>
        <w:numPr>
          <w:ilvl w:val="0"/>
          <w:numId w:val="75"/>
        </w:numPr>
        <w:rPr>
          <w:rFonts w:ascii="Arial" w:cs="Arial" w:eastAsia="Arial" w:hAnsi="Arial"/>
          <w:sz w:val="17"/>
          <w:szCs w:val="17"/>
          <w:color w:val="355889"/>
        </w:rPr>
      </w:pPr>
      <w:r>
        <w:rPr>
          <w:rFonts w:ascii="Arial" w:cs="Arial" w:eastAsia="Arial" w:hAnsi="Arial"/>
          <w:sz w:val="18"/>
          <w:szCs w:val="18"/>
          <w:b w:val="1"/>
          <w:bCs w:val="1"/>
          <w:color w:val="auto"/>
        </w:rPr>
        <w:t xml:space="preserve">Dividend growth: </w:t>
      </w:r>
      <w:r>
        <w:rPr>
          <w:rFonts w:ascii="Arial" w:cs="Arial" w:eastAsia="Arial" w:hAnsi="Arial"/>
          <w:sz w:val="18"/>
          <w:szCs w:val="18"/>
          <w:color w:val="auto"/>
        </w:rPr>
        <w:t>represents a key measure of the income we return to stockholders each year.</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75"/>
        </w:numPr>
        <w:rPr>
          <w:rFonts w:ascii="Arial" w:cs="Arial" w:eastAsia="Arial" w:hAnsi="Arial"/>
          <w:sz w:val="17"/>
          <w:szCs w:val="17"/>
          <w:color w:val="355889"/>
        </w:rPr>
      </w:pPr>
      <w:r>
        <w:rPr>
          <w:rFonts w:ascii="Arial" w:cs="Arial" w:eastAsia="Arial" w:hAnsi="Arial"/>
          <w:sz w:val="18"/>
          <w:szCs w:val="18"/>
          <w:b w:val="1"/>
          <w:bCs w:val="1"/>
          <w:color w:val="auto"/>
        </w:rPr>
        <w:t xml:space="preserve">G&amp;A expense: </w:t>
      </w:r>
      <w:r>
        <w:rPr>
          <w:rFonts w:ascii="Arial" w:cs="Arial" w:eastAsia="Arial" w:hAnsi="Arial"/>
          <w:sz w:val="18"/>
          <w:szCs w:val="18"/>
          <w:color w:val="auto"/>
        </w:rPr>
        <w:t>represents corporate overhead and is a key metric impacting the overall value of the Company.</w:t>
      </w:r>
    </w:p>
    <w:p>
      <w:pPr>
        <w:spacing w:after="0" w:line="23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For 2019, consistent with our pay-for-performance compensation philosophy and goals established for prior years, the Committee set rigorous performance goals that required the company to deliver strong financial and operating performance and accretive value to stockholders to achieve payouts above target levels. The goals established for normalized FFO reflect a modest increase over the goals set for 2018, while the annual same-store cash NOI growth goals reflect a decrease to account for the high occupancy of the portfolio and current market conditions. Our 2019 dividend growth goals were the same as 2018, and we reduced our general and administrative expense targets for 2019 to incentivize our executive officers to continue to streamline our operations year over year. The following table reflects the 2019 cash bonuses awarded to Messrs. Holliday and Mathias pursuant to our annual cash bonus program, presented based on the percentages of each executive’s target bonus: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Target Cash</w:t>
            </w:r>
          </w:p>
        </w:tc>
        <w:tc>
          <w:tcPr>
            <w:tcW w:w="14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Actual Cash Bonus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355889"/>
              </w:rPr>
              <w:t>Actual Cash</w:t>
            </w:r>
          </w:p>
        </w:tc>
      </w:tr>
      <w:tr>
        <w:trPr>
          <w:trHeight w:val="203"/>
        </w:trPr>
        <w:tc>
          <w:tcPr>
            <w:tcW w:w="7240" w:type="dxa"/>
            <w:vAlign w:val="bottom"/>
          </w:tcPr>
          <w:p>
            <w:pPr>
              <w:spacing w:after="0"/>
              <w:rPr>
                <w:sz w:val="20"/>
                <w:szCs w:val="20"/>
                <w:color w:val="auto"/>
              </w:rPr>
            </w:pPr>
            <w:r>
              <w:rPr>
                <w:rFonts w:ascii="Arial" w:cs="Arial" w:eastAsia="Arial" w:hAnsi="Arial"/>
                <w:sz w:val="13"/>
                <w:szCs w:val="13"/>
                <w:b w:val="1"/>
                <w:bCs w:val="1"/>
                <w:color w:val="auto"/>
              </w:rPr>
              <w:t>Executive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Bonus ($)</w:t>
            </w:r>
          </w:p>
        </w:tc>
        <w:tc>
          <w:tcPr>
            <w:tcW w:w="1400" w:type="dxa"/>
            <w:vAlign w:val="bottom"/>
            <w:gridSpan w:val="2"/>
          </w:tcPr>
          <w:p>
            <w:pPr>
              <w:jc w:val="right"/>
              <w:ind w:right="160"/>
              <w:spacing w:after="0" w:line="203" w:lineRule="exact"/>
              <w:rPr>
                <w:sz w:val="20"/>
                <w:szCs w:val="20"/>
                <w:color w:val="auto"/>
              </w:rPr>
            </w:pPr>
            <w:r>
              <w:rPr>
                <w:rFonts w:ascii="Arial" w:cs="Arial" w:eastAsia="Arial" w:hAnsi="Arial"/>
                <w:sz w:val="13"/>
                <w:szCs w:val="13"/>
                <w:b w:val="1"/>
                <w:bCs w:val="1"/>
                <w:color w:val="355889"/>
              </w:rPr>
              <w:t>(% of Target)</w:t>
            </w:r>
            <w:r>
              <w:rPr>
                <w:rFonts w:ascii="Arial" w:cs="Arial" w:eastAsia="Arial" w:hAnsi="Arial"/>
                <w:sz w:val="22"/>
                <w:szCs w:val="22"/>
                <w:b w:val="1"/>
                <w:bCs w:val="1"/>
                <w:color w:val="355889"/>
                <w:vertAlign w:val="superscript"/>
              </w:rPr>
              <w:t>(1)</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3"/>
                <w:szCs w:val="13"/>
                <w:b w:val="1"/>
                <w:bCs w:val="1"/>
                <w:color w:val="355889"/>
              </w:rPr>
              <w:t>Bonus ($)</w:t>
            </w:r>
            <w:r>
              <w:rPr>
                <w:rFonts w:ascii="Arial" w:cs="Arial" w:eastAsia="Arial" w:hAnsi="Arial"/>
                <w:sz w:val="22"/>
                <w:szCs w:val="22"/>
                <w:b w:val="1"/>
                <w:bCs w:val="1"/>
                <w:color w:val="355889"/>
                <w:vertAlign w:val="superscript"/>
              </w:rPr>
              <w:t>(2)</w:t>
            </w:r>
          </w:p>
        </w:tc>
      </w:tr>
      <w:tr>
        <w:trPr>
          <w:trHeight w:val="27"/>
        </w:trPr>
        <w:tc>
          <w:tcPr>
            <w:tcW w:w="724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355889"/>
          </w:tcPr>
          <w:p>
            <w:pPr>
              <w:spacing w:after="0"/>
              <w:rPr>
                <w:sz w:val="2"/>
                <w:szCs w:val="2"/>
                <w:color w:val="auto"/>
              </w:rPr>
            </w:pPr>
          </w:p>
        </w:tc>
        <w:tc>
          <w:tcPr>
            <w:tcW w:w="90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355889"/>
          </w:tcPr>
          <w:p>
            <w:pPr>
              <w:spacing w:after="0"/>
              <w:rPr>
                <w:sz w:val="2"/>
                <w:szCs w:val="2"/>
                <w:color w:val="auto"/>
              </w:rPr>
            </w:pPr>
          </w:p>
        </w:tc>
        <w:tc>
          <w:tcPr>
            <w:tcW w:w="900" w:type="dxa"/>
            <w:vAlign w:val="bottom"/>
            <w:shd w:val="clear" w:color="auto" w:fill="355889"/>
          </w:tcPr>
          <w:p>
            <w:pPr>
              <w:spacing w:after="0"/>
              <w:rPr>
                <w:sz w:val="2"/>
                <w:szCs w:val="2"/>
                <w:color w:val="auto"/>
              </w:rPr>
            </w:pPr>
          </w:p>
        </w:tc>
      </w:tr>
      <w:tr>
        <w:trPr>
          <w:trHeight w:val="235"/>
        </w:trPr>
        <w:tc>
          <w:tcPr>
            <w:tcW w:w="724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2,500,000</w:t>
            </w:r>
          </w:p>
        </w:tc>
        <w:tc>
          <w:tcPr>
            <w:tcW w:w="1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128.60%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3,215,000</w:t>
            </w:r>
          </w:p>
        </w:tc>
      </w:tr>
      <w:tr>
        <w:trPr>
          <w:trHeight w:val="21"/>
        </w:trPr>
        <w:tc>
          <w:tcPr>
            <w:tcW w:w="72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797B7"/>
          </w:tcPr>
          <w:p>
            <w:pPr>
              <w:spacing w:after="0" w:line="20" w:lineRule="exact"/>
              <w:rPr>
                <w:sz w:val="1"/>
                <w:szCs w:val="1"/>
                <w:color w:val="auto"/>
              </w:rPr>
            </w:pPr>
          </w:p>
        </w:tc>
        <w:tc>
          <w:tcPr>
            <w:tcW w:w="9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797B7"/>
          </w:tcPr>
          <w:p>
            <w:pPr>
              <w:spacing w:after="0" w:line="20" w:lineRule="exact"/>
              <w:rPr>
                <w:sz w:val="1"/>
                <w:szCs w:val="1"/>
                <w:color w:val="auto"/>
              </w:rPr>
            </w:pPr>
          </w:p>
        </w:tc>
        <w:tc>
          <w:tcPr>
            <w:tcW w:w="900" w:type="dxa"/>
            <w:vAlign w:val="bottom"/>
            <w:shd w:val="clear" w:color="auto" w:fill="8797B7"/>
          </w:tcPr>
          <w:p>
            <w:pPr>
              <w:spacing w:after="0" w:line="20" w:lineRule="exact"/>
              <w:rPr>
                <w:sz w:val="1"/>
                <w:szCs w:val="1"/>
                <w:color w:val="auto"/>
              </w:rPr>
            </w:pPr>
          </w:p>
        </w:tc>
      </w:tr>
      <w:tr>
        <w:trPr>
          <w:trHeight w:val="310"/>
        </w:trPr>
        <w:tc>
          <w:tcPr>
            <w:tcW w:w="7240" w:type="dxa"/>
            <w:vAlign w:val="bottom"/>
          </w:tcPr>
          <w:p>
            <w:pPr>
              <w:spacing w:after="0" w:line="310" w:lineRule="exact"/>
              <w:rPr>
                <w:sz w:val="20"/>
                <w:szCs w:val="20"/>
                <w:color w:val="auto"/>
              </w:rPr>
            </w:pPr>
            <w:r>
              <w:rPr>
                <w:rFonts w:ascii="Arial" w:cs="Arial" w:eastAsia="Arial" w:hAnsi="Arial"/>
                <w:sz w:val="18"/>
                <w:szCs w:val="18"/>
                <w:color w:val="auto"/>
              </w:rPr>
              <w:t>Andrew Mathias</w:t>
            </w:r>
            <w:r>
              <w:rPr>
                <w:rFonts w:ascii="Arial" w:cs="Arial" w:eastAsia="Arial" w:hAnsi="Arial"/>
                <w:sz w:val="29"/>
                <w:szCs w:val="29"/>
                <w:color w:val="auto"/>
                <w:vertAlign w:val="superscript"/>
              </w:rPr>
              <w:t>(3)</w:t>
            </w:r>
          </w:p>
        </w:tc>
        <w:tc>
          <w:tcPr>
            <w:tcW w:w="16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1,662,500</w:t>
            </w:r>
          </w:p>
        </w:tc>
        <w:tc>
          <w:tcPr>
            <w:tcW w:w="16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124.51%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2,070,050</w:t>
            </w:r>
          </w:p>
        </w:tc>
      </w:tr>
      <w:tr>
        <w:trPr>
          <w:trHeight w:val="27"/>
        </w:trPr>
        <w:tc>
          <w:tcPr>
            <w:tcW w:w="724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355889"/>
          </w:tcPr>
          <w:p>
            <w:pPr>
              <w:spacing w:after="0"/>
              <w:rPr>
                <w:sz w:val="2"/>
                <w:szCs w:val="2"/>
                <w:color w:val="auto"/>
              </w:rPr>
            </w:pPr>
          </w:p>
        </w:tc>
        <w:tc>
          <w:tcPr>
            <w:tcW w:w="90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355889"/>
          </w:tcPr>
          <w:p>
            <w:pPr>
              <w:spacing w:after="0"/>
              <w:rPr>
                <w:sz w:val="2"/>
                <w:szCs w:val="2"/>
                <w:color w:val="auto"/>
              </w:rPr>
            </w:pPr>
          </w:p>
        </w:tc>
        <w:tc>
          <w:tcPr>
            <w:tcW w:w="900" w:type="dxa"/>
            <w:vAlign w:val="bottom"/>
            <w:shd w:val="clear" w:color="auto" w:fill="355889"/>
          </w:tcPr>
          <w:p>
            <w:pPr>
              <w:spacing w:after="0"/>
              <w:rPr>
                <w:sz w:val="2"/>
                <w:szCs w:val="2"/>
                <w:color w:val="auto"/>
              </w:rPr>
            </w:pPr>
          </w:p>
        </w:tc>
      </w:tr>
    </w:tbl>
    <w:p>
      <w:pPr>
        <w:spacing w:after="0" w:line="107" w:lineRule="exact"/>
        <w:rPr>
          <w:sz w:val="20"/>
          <w:szCs w:val="20"/>
          <w:color w:val="auto"/>
        </w:rPr>
      </w:pPr>
    </w:p>
    <w:p>
      <w:pPr>
        <w:ind w:left="320" w:right="60" w:hanging="312"/>
        <w:spacing w:after="0" w:line="248" w:lineRule="auto"/>
        <w:tabs>
          <w:tab w:leader="none" w:pos="320" w:val="left"/>
        </w:tabs>
        <w:numPr>
          <w:ilvl w:val="0"/>
          <w:numId w:val="76"/>
        </w:numPr>
        <w:rPr>
          <w:rFonts w:ascii="Arial" w:cs="Arial" w:eastAsia="Arial" w:hAnsi="Arial"/>
          <w:sz w:val="13"/>
          <w:szCs w:val="13"/>
          <w:color w:val="auto"/>
        </w:rPr>
      </w:pPr>
      <w:r>
        <w:rPr>
          <w:rFonts w:ascii="Arial" w:cs="Arial" w:eastAsia="Arial" w:hAnsi="Arial"/>
          <w:sz w:val="13"/>
          <w:szCs w:val="13"/>
          <w:color w:val="auto"/>
        </w:rPr>
        <w:t>Consistent with the timing of prior years, payouts and determinations under the annual cash bonus program were made in December 2019 based on a combination of actual results through that point in time and estimates of full-year results. To the extent actual full year 2019 performance differed from estimated performance, the Committee will adjust cash bonus payments for 2020.</w:t>
      </w:r>
    </w:p>
    <w:p>
      <w:pPr>
        <w:spacing w:after="0" w:line="49" w:lineRule="exact"/>
        <w:rPr>
          <w:rFonts w:ascii="Arial" w:cs="Arial" w:eastAsia="Arial" w:hAnsi="Arial"/>
          <w:sz w:val="13"/>
          <w:szCs w:val="13"/>
          <w:color w:val="auto"/>
        </w:rPr>
      </w:pPr>
    </w:p>
    <w:p>
      <w:pPr>
        <w:jc w:val="both"/>
        <w:ind w:left="320" w:right="500" w:hanging="312"/>
        <w:spacing w:after="0" w:line="248" w:lineRule="auto"/>
        <w:tabs>
          <w:tab w:leader="none" w:pos="32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Amounts do not include adjustments to 2019 cash bonus payments to reflect additional bonus compensation payable due to our actual 2018 performance, which exceeded the estimated 2018 performance that was used to initially determine 2018 annual cash bonus amounts. As a result of such adjustments, Messrs. Holliday and Mathias received an additional $78,070 and $42,158, respectively.</w:t>
      </w:r>
    </w:p>
    <w:p>
      <w:pPr>
        <w:spacing w:after="0" w:line="49" w:lineRule="exact"/>
        <w:rPr>
          <w:rFonts w:ascii="Arial" w:cs="Arial" w:eastAsia="Arial" w:hAnsi="Arial"/>
          <w:sz w:val="13"/>
          <w:szCs w:val="13"/>
          <w:color w:val="auto"/>
        </w:rPr>
      </w:pPr>
    </w:p>
    <w:p>
      <w:pPr>
        <w:ind w:left="320" w:right="160" w:hanging="312"/>
        <w:spacing w:after="0" w:line="248" w:lineRule="auto"/>
        <w:tabs>
          <w:tab w:leader="none" w:pos="32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Committee approved in advance that executives may elect to receive some or all of their 2019 cash bonus in the form of LTIP units. Mr. Mathias elected to receive 100% of his 2019 cash bonus in LTIP units, and, accordingly, Mr. Mathias was granted 23,121 LTIP units in December 2019 and an additional 470 LTIP units in February 2020 in connection with the adjustment to his 2019 bonus due to actual 2018 performance exceeding estimated 2018 performance.</w:t>
      </w:r>
    </w:p>
    <w:p>
      <w:pPr>
        <w:sectPr>
          <w:pgSz w:w="11900" w:h="16838" w:orient="portrait"/>
          <w:cols w:equalWidth="0" w:num="1">
            <w:col w:w="11240"/>
          </w:cols>
          <w:pgMar w:left="320" w:top="121" w:right="339" w:bottom="1440" w:gutter="0" w:footer="0" w:header="0"/>
        </w:sectPr>
      </w:pPr>
    </w:p>
    <w:p>
      <w:pPr>
        <w:spacing w:after="0" w:line="202"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2020 Proxy Statement </w:t>
      </w:r>
      <w:r>
        <w:rPr>
          <w:rFonts w:ascii="Arial" w:cs="Arial" w:eastAsia="Arial" w:hAnsi="Arial"/>
          <w:sz w:val="16"/>
          <w:szCs w:val="16"/>
          <w:color w:val="355889"/>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Annual Cash Bonus (Discretionary – Other Named Executive Officers)</w:t>
      </w:r>
    </w:p>
    <w:p>
      <w:pPr>
        <w:spacing w:after="0" w:line="23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Consistent with our historical practice, annual bonuses for Messrs. DiLiberto and Levine were determined by the Committee in its discretion. The Committee assessed the same formulaic criteria as those set forth above for our CEO and President under our annual cash bonus program, as well as additional factors relating to the long-term and short-term performance of our Company and the executive, the Committee’s view of appropriate annual incentive awards in light of the executive’s historical compensation, skill, experience and position, competitive market factors and other factors as were determined appropriate by the Committee.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particular, in making these awards for 2019, the Committee sought to find a balance between:</w:t>
      </w:r>
    </w:p>
    <w:p>
      <w:pPr>
        <w:spacing w:after="0" w:line="207" w:lineRule="exact"/>
        <w:rPr>
          <w:sz w:val="20"/>
          <w:szCs w:val="20"/>
          <w:color w:val="auto"/>
        </w:rPr>
      </w:pPr>
    </w:p>
    <w:p>
      <w:pPr>
        <w:ind w:left="540" w:hanging="262"/>
        <w:spacing w:after="0"/>
        <w:tabs>
          <w:tab w:leader="none" w:pos="540" w:val="left"/>
        </w:tabs>
        <w:numPr>
          <w:ilvl w:val="0"/>
          <w:numId w:val="77"/>
        </w:numPr>
        <w:rPr>
          <w:rFonts w:ascii="Arial" w:cs="Arial" w:eastAsia="Arial" w:hAnsi="Arial"/>
          <w:sz w:val="17"/>
          <w:szCs w:val="17"/>
          <w:color w:val="355889"/>
        </w:rPr>
      </w:pPr>
      <w:r>
        <w:rPr>
          <w:rFonts w:ascii="Arial" w:cs="Arial" w:eastAsia="Arial" w:hAnsi="Arial"/>
          <w:sz w:val="18"/>
          <w:szCs w:val="18"/>
          <w:color w:val="auto"/>
        </w:rPr>
        <w:t>rewarding executives for their contributions towards the significant operational achievements attained during the year;</w:t>
      </w:r>
    </w:p>
    <w:p>
      <w:pPr>
        <w:spacing w:after="0" w:line="63" w:lineRule="exact"/>
        <w:rPr>
          <w:rFonts w:ascii="Arial" w:cs="Arial" w:eastAsia="Arial" w:hAnsi="Arial"/>
          <w:sz w:val="17"/>
          <w:szCs w:val="17"/>
          <w:color w:val="355889"/>
        </w:rPr>
      </w:pPr>
    </w:p>
    <w:p>
      <w:pPr>
        <w:ind w:left="540" w:right="320" w:hanging="262"/>
        <w:spacing w:after="0"/>
        <w:tabs>
          <w:tab w:leader="none" w:pos="540" w:val="left"/>
        </w:tabs>
        <w:numPr>
          <w:ilvl w:val="0"/>
          <w:numId w:val="77"/>
        </w:numPr>
        <w:rPr>
          <w:rFonts w:ascii="Arial" w:cs="Arial" w:eastAsia="Arial" w:hAnsi="Arial"/>
          <w:sz w:val="17"/>
          <w:szCs w:val="17"/>
          <w:color w:val="355889"/>
        </w:rPr>
      </w:pPr>
      <w:r>
        <w:rPr>
          <w:rFonts w:ascii="Arial" w:cs="Arial" w:eastAsia="Arial" w:hAnsi="Arial"/>
          <w:sz w:val="18"/>
          <w:szCs w:val="18"/>
          <w:color w:val="auto"/>
        </w:rPr>
        <w:t>ensuring that annual incentive award and total compensation amounts were in line with the prevailing market levels and addressed recruitment and retention needs in the competitive New York City commercial real estate markets where we actively compete for business opportunities and executive talent, including some companies and firms that are not publicly-traded;</w:t>
      </w:r>
    </w:p>
    <w:p>
      <w:pPr>
        <w:spacing w:after="0" w:line="54" w:lineRule="exact"/>
        <w:rPr>
          <w:rFonts w:ascii="Arial" w:cs="Arial" w:eastAsia="Arial" w:hAnsi="Arial"/>
          <w:sz w:val="17"/>
          <w:szCs w:val="17"/>
          <w:color w:val="355889"/>
        </w:rPr>
      </w:pPr>
    </w:p>
    <w:p>
      <w:pPr>
        <w:ind w:left="540" w:right="520" w:hanging="262"/>
        <w:spacing w:after="0" w:line="274" w:lineRule="auto"/>
        <w:tabs>
          <w:tab w:leader="none" w:pos="540" w:val="left"/>
        </w:tabs>
        <w:numPr>
          <w:ilvl w:val="0"/>
          <w:numId w:val="77"/>
        </w:numPr>
        <w:rPr>
          <w:rFonts w:ascii="Arial" w:cs="Arial" w:eastAsia="Arial" w:hAnsi="Arial"/>
          <w:sz w:val="16"/>
          <w:szCs w:val="16"/>
          <w:color w:val="355889"/>
        </w:rPr>
      </w:pPr>
      <w:r>
        <w:rPr>
          <w:rFonts w:ascii="Arial" w:cs="Arial" w:eastAsia="Arial" w:hAnsi="Arial"/>
          <w:sz w:val="17"/>
          <w:szCs w:val="17"/>
          <w:color w:val="auto"/>
        </w:rPr>
        <w:t>continuing to ensure our compensation programs create alignment of management and stockholder interests by appropriately rewarding our named executive officers for the attainment of performance achievements that drive long-term value creation; and</w:t>
      </w:r>
    </w:p>
    <w:p>
      <w:pPr>
        <w:spacing w:after="0" w:line="26" w:lineRule="exact"/>
        <w:rPr>
          <w:rFonts w:ascii="Arial" w:cs="Arial" w:eastAsia="Arial" w:hAnsi="Arial"/>
          <w:sz w:val="16"/>
          <w:szCs w:val="16"/>
          <w:color w:val="355889"/>
        </w:rPr>
      </w:pPr>
    </w:p>
    <w:p>
      <w:pPr>
        <w:ind w:left="540" w:right="200" w:hanging="262"/>
        <w:spacing w:after="0" w:line="238" w:lineRule="auto"/>
        <w:tabs>
          <w:tab w:leader="none" w:pos="540" w:val="left"/>
        </w:tabs>
        <w:numPr>
          <w:ilvl w:val="0"/>
          <w:numId w:val="77"/>
        </w:numPr>
        <w:rPr>
          <w:rFonts w:ascii="Arial" w:cs="Arial" w:eastAsia="Arial" w:hAnsi="Arial"/>
          <w:sz w:val="17"/>
          <w:szCs w:val="17"/>
          <w:color w:val="355889"/>
        </w:rPr>
      </w:pPr>
      <w:r>
        <w:rPr>
          <w:rFonts w:ascii="Arial" w:cs="Arial" w:eastAsia="Arial" w:hAnsi="Arial"/>
          <w:sz w:val="18"/>
          <w:szCs w:val="18"/>
          <w:color w:val="auto"/>
        </w:rPr>
        <w:t>taking into account our performance as compared to specific company goals and objectives for 2019 that were presented at our annual investor conference in December 2018, including financial goals, achievement of leasing and occupancy targets, investing activities such as strategic acquisitions and dispositions and share repurchases, execution of our debt and preferred equity platform, joint venture and development milestones and the furtherance of our ESG initiatives.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annual bonus awards that were granted to Messrs. DiLiberto and Levine for 2018 and 2019, as approved by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Committee: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20" w:type="dxa"/>
            <w:vAlign w:val="bottom"/>
          </w:tcPr>
          <w:p>
            <w:pPr>
              <w:spacing w:after="0"/>
              <w:rPr>
                <w:sz w:val="20"/>
                <w:szCs w:val="20"/>
                <w:color w:val="auto"/>
              </w:rPr>
            </w:pPr>
            <w:r>
              <w:rPr>
                <w:rFonts w:ascii="Arial" w:cs="Arial" w:eastAsia="Arial" w:hAnsi="Arial"/>
                <w:sz w:val="13"/>
                <w:szCs w:val="13"/>
                <w:b w:val="1"/>
                <w:bCs w:val="1"/>
                <w:color w:val="auto"/>
              </w:rPr>
              <w:t>Executive</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889"/>
              </w:rPr>
              <w:t>2018 Bonus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2019 Bonus</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355889"/>
              </w:rPr>
              <w:t>% Change</w:t>
            </w:r>
          </w:p>
        </w:tc>
      </w:tr>
      <w:tr>
        <w:trPr>
          <w:trHeight w:val="48"/>
        </w:trPr>
        <w:tc>
          <w:tcPr>
            <w:tcW w:w="7820" w:type="dxa"/>
            <w:vAlign w:val="bottom"/>
            <w:tcBorders>
              <w:bottom w:val="single" w:sz="8" w:color="355889"/>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bottom w:val="single" w:sz="8" w:color="355889"/>
            </w:tcBorders>
          </w:tcPr>
          <w:p>
            <w:pPr>
              <w:spacing w:after="0"/>
              <w:rPr>
                <w:sz w:val="4"/>
                <w:szCs w:val="4"/>
                <w:color w:val="auto"/>
              </w:rPr>
            </w:pPr>
          </w:p>
        </w:tc>
        <w:tc>
          <w:tcPr>
            <w:tcW w:w="900" w:type="dxa"/>
            <w:vAlign w:val="bottom"/>
            <w:tcBorders>
              <w:bottom w:val="single" w:sz="8" w:color="355889"/>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355889"/>
            </w:tcBorders>
          </w:tcPr>
          <w:p>
            <w:pPr>
              <w:spacing w:after="0"/>
              <w:rPr>
                <w:sz w:val="4"/>
                <w:szCs w:val="4"/>
                <w:color w:val="auto"/>
              </w:rPr>
            </w:pPr>
          </w:p>
        </w:tc>
        <w:tc>
          <w:tcPr>
            <w:tcW w:w="920" w:type="dxa"/>
            <w:vAlign w:val="bottom"/>
            <w:tcBorders>
              <w:bottom w:val="single" w:sz="8" w:color="355889"/>
            </w:tcBorders>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Borders>
              <w:bottom w:val="single" w:sz="8" w:color="355889"/>
            </w:tcBorders>
          </w:tcPr>
          <w:p>
            <w:pPr>
              <w:spacing w:after="0"/>
              <w:rPr>
                <w:sz w:val="4"/>
                <w:szCs w:val="4"/>
                <w:color w:val="auto"/>
              </w:rPr>
            </w:pPr>
          </w:p>
        </w:tc>
      </w:tr>
      <w:tr>
        <w:trPr>
          <w:trHeight w:val="237"/>
        </w:trPr>
        <w:tc>
          <w:tcPr>
            <w:tcW w:w="782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240" w:type="dxa"/>
            <w:vAlign w:val="bottom"/>
            <w:tcBorders>
              <w:bottom w:val="single" w:sz="8" w:color="8797B7"/>
            </w:tcBorders>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2,000,000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8797B7"/>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1,800,000</w:t>
            </w:r>
          </w:p>
        </w:tc>
        <w:tc>
          <w:tcPr>
            <w:tcW w:w="160" w:type="dxa"/>
            <w:vAlign w:val="bottom"/>
          </w:tcPr>
          <w:p>
            <w:pPr>
              <w:spacing w:after="0"/>
              <w:rPr>
                <w:sz w:val="20"/>
                <w:szCs w:val="20"/>
                <w:color w:val="auto"/>
              </w:rPr>
            </w:pPr>
          </w:p>
        </w:tc>
        <w:tc>
          <w:tcPr>
            <w:tcW w:w="6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7820" w:type="dxa"/>
            <w:vAlign w:val="bottom"/>
            <w:tcBorders>
              <w:bottom w:val="single" w:sz="8" w:color="355889"/>
            </w:tcBorders>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1"/>
                <w:szCs w:val="21"/>
                <w:color w:val="auto"/>
              </w:rPr>
            </w:pPr>
          </w:p>
        </w:tc>
        <w:tc>
          <w:tcPr>
            <w:tcW w:w="240" w:type="dxa"/>
            <w:vAlign w:val="bottom"/>
            <w:tcBorders>
              <w:bottom w:val="single" w:sz="8" w:color="355889"/>
            </w:tcBorders>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rPr>
              <w:t>1,350,000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355889"/>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rPr>
              <w:t>1,175,000</w:t>
            </w:r>
          </w:p>
        </w:tc>
        <w:tc>
          <w:tcPr>
            <w:tcW w:w="160" w:type="dxa"/>
            <w:vAlign w:val="bottom"/>
          </w:tcPr>
          <w:p>
            <w:pPr>
              <w:spacing w:after="0"/>
              <w:rPr>
                <w:sz w:val="21"/>
                <w:szCs w:val="21"/>
                <w:color w:val="auto"/>
              </w:rPr>
            </w:pPr>
          </w:p>
        </w:tc>
        <w:tc>
          <w:tcPr>
            <w:tcW w:w="66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rPr>
              <w:t>-13%</w:t>
            </w:r>
          </w:p>
        </w:tc>
      </w:tr>
    </w:tbl>
    <w:p>
      <w:pPr>
        <w:spacing w:after="0" w:line="21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These annual bonuses for Messrs. DiLiberto and Levine reflected the Committee’s focus on managing overhead costs as well as these executives’ contributions towards our significant operational achievements for 2019, our continued superior long-term TSR performance and their roles at our company. The bonuses were paid to Messrs. DiLiberto and Levine in early 2020 in the form of cash and LTIP units that were vested upon grant, but remain subject to no-sell restrictions until three years after their grant date. Mr. DiLiberto received $900,000 in cash and 9,864 LTIP units and Mr. Levine received 12,878 LTIP units.</w:t>
      </w:r>
    </w:p>
    <w:p>
      <w:pPr>
        <w:spacing w:after="0" w:line="21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addition, during 2017, to recognize the continuing contributions of Messrs. DiLiberto and Levine, the Committee determined to make time-based cash awards of $1,500,000 and $2,000,000, respectively, to aid with retention and provide further incentive for future performance. One-half of these cash awards vested on December 31, 2019 and were paid in March 2020, with the remaining one-half vesting on December 31, 2020, to the extent Messrs. DiLiberto and Levine remain employed through such date.</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2019 Equity Incentive Award Targets</w:t>
      </w:r>
    </w:p>
    <w:p>
      <w:pPr>
        <w:spacing w:after="0" w:line="23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For 2019, long-term equity incentives were provided to our named executive officers through the grant of performance-based LTIP units and time-based LTIP units in connection with new or extended employment agreements. The majority of these awards included performance-based vesting hurdles that must be met in order for recipients to earn them. The grant of equity awards links a named executive officer’s compensation and net worth directly to the performance of our stock price as well as the achievement of other performance-based vesting hurdles in some cases. We believe these linkages encourage our named executive officers to make decisions with an ownership mentality and provide alignment of interest with our stockholders. The Committee has made long-term equity incentive awards a central part of our executive compensation program due to these features.</w:t>
      </w:r>
    </w:p>
    <w:p>
      <w:pPr>
        <w:spacing w:after="0" w:line="209"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As mentioned above, in response to feedback that we received during stockholder engagements meetings, we made the following changes to our 2019 long-term equity incentive award program for our named executive officers:</w:t>
      </w:r>
    </w:p>
    <w:p>
      <w:pPr>
        <w:spacing w:after="0" w:line="205" w:lineRule="exact"/>
        <w:rPr>
          <w:sz w:val="20"/>
          <w:szCs w:val="20"/>
          <w:color w:val="auto"/>
        </w:rPr>
      </w:pPr>
    </w:p>
    <w:p>
      <w:pPr>
        <w:ind w:left="540" w:hanging="262"/>
        <w:spacing w:after="0"/>
        <w:tabs>
          <w:tab w:leader="none" w:pos="540" w:val="left"/>
        </w:tabs>
        <w:numPr>
          <w:ilvl w:val="0"/>
          <w:numId w:val="78"/>
        </w:numPr>
        <w:rPr>
          <w:rFonts w:ascii="Arial" w:cs="Arial" w:eastAsia="Arial" w:hAnsi="Arial"/>
          <w:sz w:val="17"/>
          <w:szCs w:val="17"/>
          <w:color w:val="355889"/>
        </w:rPr>
      </w:pPr>
      <w:r>
        <w:rPr>
          <w:rFonts w:ascii="Arial" w:cs="Arial" w:eastAsia="Arial" w:hAnsi="Arial"/>
          <w:sz w:val="18"/>
          <w:szCs w:val="18"/>
          <w:color w:val="auto"/>
        </w:rPr>
        <w:t>Simplified the structure of long-term equity awards, to include annual performance-based LTIP units and time-based LTIP units;</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78"/>
        </w:numPr>
        <w:rPr>
          <w:rFonts w:ascii="Arial" w:cs="Arial" w:eastAsia="Arial" w:hAnsi="Arial"/>
          <w:sz w:val="17"/>
          <w:szCs w:val="17"/>
          <w:color w:val="355889"/>
        </w:rPr>
      </w:pPr>
      <w:r>
        <w:rPr>
          <w:rFonts w:ascii="Arial" w:cs="Arial" w:eastAsia="Arial" w:hAnsi="Arial"/>
          <w:sz w:val="18"/>
          <w:szCs w:val="18"/>
          <w:color w:val="auto"/>
        </w:rPr>
        <w:t>Eliminated stock option grants;</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78"/>
        </w:numPr>
        <w:rPr>
          <w:rFonts w:ascii="Arial" w:cs="Arial" w:eastAsia="Arial" w:hAnsi="Arial"/>
          <w:sz w:val="17"/>
          <w:szCs w:val="17"/>
          <w:color w:val="355889"/>
        </w:rPr>
      </w:pPr>
      <w:r>
        <w:rPr>
          <w:rFonts w:ascii="Arial" w:cs="Arial" w:eastAsia="Arial" w:hAnsi="Arial"/>
          <w:sz w:val="18"/>
          <w:szCs w:val="18"/>
          <w:color w:val="auto"/>
        </w:rPr>
        <w:t>Eliminated employment agreement awards with fixed terms;</w:t>
      </w:r>
    </w:p>
    <w:p>
      <w:pPr>
        <w:spacing w:after="0" w:line="216" w:lineRule="exact"/>
        <w:rPr>
          <w:sz w:val="20"/>
          <w:szCs w:val="20"/>
          <w:color w:val="auto"/>
        </w:rPr>
      </w:pPr>
    </w:p>
    <w:p>
      <w:pPr>
        <w:ind w:left="300" w:hanging="292"/>
        <w:spacing w:after="0"/>
        <w:tabs>
          <w:tab w:leader="none" w:pos="300" w:val="left"/>
        </w:tabs>
        <w:numPr>
          <w:ilvl w:val="0"/>
          <w:numId w:val="79"/>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EXECUTIVE COMPENSATION</w:t>
      </w:r>
    </w:p>
    <w:p>
      <w:pPr>
        <w:spacing w:after="0" w:line="207" w:lineRule="exact"/>
        <w:rPr>
          <w:sz w:val="20"/>
          <w:szCs w:val="20"/>
          <w:color w:val="auto"/>
        </w:rPr>
      </w:pPr>
    </w:p>
    <w:p>
      <w:pPr>
        <w:ind w:left="540" w:hanging="262"/>
        <w:spacing w:after="0"/>
        <w:tabs>
          <w:tab w:leader="none" w:pos="540" w:val="left"/>
        </w:tabs>
        <w:numPr>
          <w:ilvl w:val="0"/>
          <w:numId w:val="80"/>
        </w:numPr>
        <w:rPr>
          <w:rFonts w:ascii="Arial" w:cs="Arial" w:eastAsia="Arial" w:hAnsi="Arial"/>
          <w:sz w:val="17"/>
          <w:szCs w:val="17"/>
          <w:color w:val="355889"/>
        </w:rPr>
      </w:pPr>
      <w:r>
        <w:rPr>
          <w:rFonts w:ascii="Arial" w:cs="Arial" w:eastAsia="Arial" w:hAnsi="Arial"/>
          <w:sz w:val="18"/>
          <w:szCs w:val="18"/>
          <w:color w:val="auto"/>
        </w:rPr>
        <w:t>Eliminated performance-based awards with multiple alternative performance goals;</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80"/>
        </w:numPr>
        <w:rPr>
          <w:rFonts w:ascii="Arial" w:cs="Arial" w:eastAsia="Arial" w:hAnsi="Arial"/>
          <w:sz w:val="17"/>
          <w:szCs w:val="17"/>
          <w:color w:val="355889"/>
        </w:rPr>
      </w:pPr>
      <w:r>
        <w:rPr>
          <w:rFonts w:ascii="Arial" w:cs="Arial" w:eastAsia="Arial" w:hAnsi="Arial"/>
          <w:sz w:val="18"/>
          <w:szCs w:val="18"/>
          <w:color w:val="auto"/>
        </w:rPr>
        <w:t>Included multi-year performance criteria in all performance-based awards; and</w:t>
      </w:r>
    </w:p>
    <w:p>
      <w:pPr>
        <w:spacing w:after="0" w:line="63" w:lineRule="exact"/>
        <w:rPr>
          <w:rFonts w:ascii="Arial" w:cs="Arial" w:eastAsia="Arial" w:hAnsi="Arial"/>
          <w:sz w:val="17"/>
          <w:szCs w:val="17"/>
          <w:color w:val="355889"/>
        </w:rPr>
      </w:pPr>
    </w:p>
    <w:p>
      <w:pPr>
        <w:ind w:left="540" w:hanging="262"/>
        <w:spacing w:after="0"/>
        <w:tabs>
          <w:tab w:leader="none" w:pos="540" w:val="left"/>
        </w:tabs>
        <w:numPr>
          <w:ilvl w:val="0"/>
          <w:numId w:val="80"/>
        </w:numPr>
        <w:rPr>
          <w:rFonts w:ascii="Arial" w:cs="Arial" w:eastAsia="Arial" w:hAnsi="Arial"/>
          <w:sz w:val="17"/>
          <w:szCs w:val="17"/>
          <w:color w:val="355889"/>
        </w:rPr>
      </w:pPr>
      <w:r>
        <w:rPr>
          <w:rFonts w:ascii="Arial" w:cs="Arial" w:eastAsia="Arial" w:hAnsi="Arial"/>
          <w:sz w:val="18"/>
          <w:szCs w:val="18"/>
          <w:color w:val="auto"/>
        </w:rPr>
        <w:t>Replaced periodic outperformance plan awards with more regular annual performance-based LTIP units.</w:t>
      </w:r>
    </w:p>
    <w:p>
      <w:pPr>
        <w:spacing w:after="0" w:line="216"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As a result, our 2019 long-term equity incentive award program consisted solely of grants of performance-based equity awards and time-based equity awards that vest over a multi-year period based on continued service as described in more detail below. The target amounts of performance-based equity awards and time-based equity awards for each of Messrs. Holliday, Mathias and Levine for 2019 are set forth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40" w:type="dxa"/>
            <w:vAlign w:val="bottom"/>
            <w:gridSpan w:val="6"/>
          </w:tcPr>
          <w:p>
            <w:pPr>
              <w:jc w:val="right"/>
              <w:ind w:right="12"/>
              <w:spacing w:after="0"/>
              <w:rPr>
                <w:sz w:val="20"/>
                <w:szCs w:val="20"/>
                <w:color w:val="auto"/>
              </w:rPr>
            </w:pPr>
            <w:r>
              <w:rPr>
                <w:rFonts w:ascii="Arial" w:cs="Arial" w:eastAsia="Arial" w:hAnsi="Arial"/>
                <w:sz w:val="13"/>
                <w:szCs w:val="13"/>
                <w:b w:val="1"/>
                <w:bCs w:val="1"/>
                <w:color w:val="355889"/>
              </w:rPr>
              <w:t>Target Equity Award Amounts</w:t>
            </w:r>
          </w:p>
        </w:tc>
        <w:tc>
          <w:tcPr>
            <w:tcW w:w="960" w:type="dxa"/>
            <w:vAlign w:val="bottom"/>
          </w:tcPr>
          <w:p>
            <w:pPr>
              <w:spacing w:after="0"/>
              <w:rPr>
                <w:sz w:val="15"/>
                <w:szCs w:val="15"/>
                <w:color w:val="auto"/>
              </w:rPr>
            </w:pPr>
          </w:p>
        </w:tc>
      </w:tr>
      <w:tr>
        <w:trPr>
          <w:trHeight w:val="48"/>
        </w:trPr>
        <w:tc>
          <w:tcPr>
            <w:tcW w:w="7220" w:type="dxa"/>
            <w:vAlign w:val="bottom"/>
            <w:gridSpan w:val="2"/>
          </w:tcPr>
          <w:p>
            <w:pPr>
              <w:spacing w:after="0"/>
              <w:rPr>
                <w:sz w:val="4"/>
                <w:szCs w:val="4"/>
                <w:color w:val="auto"/>
              </w:rPr>
            </w:pPr>
          </w:p>
        </w:tc>
        <w:tc>
          <w:tcPr>
            <w:tcW w:w="1480" w:type="dxa"/>
            <w:vAlign w:val="bottom"/>
            <w:tcBorders>
              <w:bottom w:val="single" w:sz="8" w:color="355889"/>
            </w:tcBorders>
            <w:gridSpan w:val="3"/>
          </w:tcPr>
          <w:p>
            <w:pPr>
              <w:spacing w:after="0"/>
              <w:rPr>
                <w:sz w:val="4"/>
                <w:szCs w:val="4"/>
                <w:color w:val="auto"/>
              </w:rPr>
            </w:pPr>
          </w:p>
        </w:tc>
        <w:tc>
          <w:tcPr>
            <w:tcW w:w="220" w:type="dxa"/>
            <w:vAlign w:val="bottom"/>
            <w:tcBorders>
              <w:bottom w:val="single" w:sz="8" w:color="355889"/>
            </w:tcBorders>
          </w:tcPr>
          <w:p>
            <w:pPr>
              <w:spacing w:after="0"/>
              <w:rPr>
                <w:sz w:val="4"/>
                <w:szCs w:val="4"/>
                <w:color w:val="auto"/>
              </w:rPr>
            </w:pPr>
          </w:p>
        </w:tc>
        <w:tc>
          <w:tcPr>
            <w:tcW w:w="1080" w:type="dxa"/>
            <w:vAlign w:val="bottom"/>
            <w:tcBorders>
              <w:bottom w:val="single" w:sz="8" w:color="355889"/>
            </w:tcBorders>
            <w:gridSpan w:val="2"/>
          </w:tcPr>
          <w:p>
            <w:pPr>
              <w:spacing w:after="0"/>
              <w:rPr>
                <w:sz w:val="4"/>
                <w:szCs w:val="4"/>
                <w:color w:val="auto"/>
              </w:rPr>
            </w:pPr>
          </w:p>
        </w:tc>
        <w:tc>
          <w:tcPr>
            <w:tcW w:w="280" w:type="dxa"/>
            <w:vAlign w:val="bottom"/>
            <w:tcBorders>
              <w:bottom w:val="single" w:sz="8" w:color="355889"/>
            </w:tcBorders>
          </w:tcPr>
          <w:p>
            <w:pPr>
              <w:spacing w:after="0"/>
              <w:rPr>
                <w:sz w:val="4"/>
                <w:szCs w:val="4"/>
                <w:color w:val="auto"/>
              </w:rPr>
            </w:pPr>
          </w:p>
        </w:tc>
        <w:tc>
          <w:tcPr>
            <w:tcW w:w="960" w:type="dxa"/>
            <w:vAlign w:val="bottom"/>
            <w:tcBorders>
              <w:bottom w:val="single" w:sz="8" w:color="355889"/>
            </w:tcBorders>
          </w:tcPr>
          <w:p>
            <w:pPr>
              <w:spacing w:after="0"/>
              <w:rPr>
                <w:sz w:val="4"/>
                <w:szCs w:val="4"/>
                <w:color w:val="auto"/>
              </w:rPr>
            </w:pPr>
          </w:p>
        </w:tc>
      </w:tr>
      <w:tr>
        <w:trPr>
          <w:trHeight w:val="202"/>
        </w:trPr>
        <w:tc>
          <w:tcPr>
            <w:tcW w:w="7220" w:type="dxa"/>
            <w:vAlign w:val="bottom"/>
            <w:gridSpan w:val="2"/>
          </w:tcPr>
          <w:p>
            <w:pPr>
              <w:spacing w:after="0"/>
              <w:rPr>
                <w:sz w:val="20"/>
                <w:szCs w:val="20"/>
                <w:color w:val="auto"/>
              </w:rPr>
            </w:pPr>
            <w:r>
              <w:rPr>
                <w:rFonts w:ascii="Arial" w:cs="Arial" w:eastAsia="Arial" w:hAnsi="Arial"/>
                <w:sz w:val="13"/>
                <w:szCs w:val="13"/>
                <w:b w:val="1"/>
                <w:bCs w:val="1"/>
                <w:color w:val="355889"/>
              </w:rPr>
              <w:t>Executive</w:t>
            </w:r>
          </w:p>
        </w:tc>
        <w:tc>
          <w:tcPr>
            <w:tcW w:w="1480" w:type="dxa"/>
            <w:vAlign w:val="bottom"/>
            <w:gridSpan w:val="3"/>
          </w:tcPr>
          <w:p>
            <w:pPr>
              <w:ind w:left="40"/>
              <w:spacing w:after="0"/>
              <w:rPr>
                <w:sz w:val="20"/>
                <w:szCs w:val="20"/>
                <w:color w:val="auto"/>
              </w:rPr>
            </w:pPr>
            <w:r>
              <w:rPr>
                <w:rFonts w:ascii="Arial" w:cs="Arial" w:eastAsia="Arial" w:hAnsi="Arial"/>
                <w:sz w:val="13"/>
                <w:szCs w:val="13"/>
                <w:b w:val="1"/>
                <w:bCs w:val="1"/>
                <w:color w:val="355889"/>
              </w:rPr>
              <w:t>Performance-Based</w:t>
            </w:r>
          </w:p>
        </w:tc>
        <w:tc>
          <w:tcPr>
            <w:tcW w:w="2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Time-Based</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355889"/>
              </w:rPr>
              <w:t>Total</w:t>
            </w:r>
          </w:p>
        </w:tc>
      </w:tr>
      <w:tr>
        <w:trPr>
          <w:trHeight w:val="48"/>
        </w:trPr>
        <w:tc>
          <w:tcPr>
            <w:tcW w:w="7060" w:type="dxa"/>
            <w:vAlign w:val="bottom"/>
            <w:tcBorders>
              <w:bottom w:val="single" w:sz="8" w:color="355889"/>
            </w:tcBorders>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Borders>
              <w:bottom w:val="single" w:sz="8" w:color="355889"/>
            </w:tcBorders>
          </w:tcPr>
          <w:p>
            <w:pPr>
              <w:spacing w:after="0"/>
              <w:rPr>
                <w:sz w:val="4"/>
                <w:szCs w:val="4"/>
                <w:color w:val="auto"/>
              </w:rPr>
            </w:pPr>
          </w:p>
        </w:tc>
        <w:tc>
          <w:tcPr>
            <w:tcW w:w="900" w:type="dxa"/>
            <w:vAlign w:val="bottom"/>
            <w:tcBorders>
              <w:bottom w:val="single" w:sz="8" w:color="355889"/>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Borders>
              <w:bottom w:val="single" w:sz="8" w:color="355889"/>
            </w:tcBorders>
          </w:tcPr>
          <w:p>
            <w:pPr>
              <w:spacing w:after="0"/>
              <w:rPr>
                <w:sz w:val="4"/>
                <w:szCs w:val="4"/>
                <w:color w:val="auto"/>
              </w:rPr>
            </w:pPr>
          </w:p>
        </w:tc>
        <w:tc>
          <w:tcPr>
            <w:tcW w:w="920" w:type="dxa"/>
            <w:vAlign w:val="bottom"/>
            <w:tcBorders>
              <w:bottom w:val="single" w:sz="8" w:color="355889"/>
            </w:tcBorders>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355889"/>
            </w:tcBorders>
          </w:tcPr>
          <w:p>
            <w:pPr>
              <w:spacing w:after="0"/>
              <w:rPr>
                <w:sz w:val="4"/>
                <w:szCs w:val="4"/>
                <w:color w:val="auto"/>
              </w:rPr>
            </w:pPr>
          </w:p>
        </w:tc>
        <w:tc>
          <w:tcPr>
            <w:tcW w:w="960" w:type="dxa"/>
            <w:vAlign w:val="bottom"/>
            <w:tcBorders>
              <w:bottom w:val="single" w:sz="8" w:color="355889"/>
            </w:tcBorders>
          </w:tcPr>
          <w:p>
            <w:pPr>
              <w:spacing w:after="0"/>
              <w:rPr>
                <w:sz w:val="4"/>
                <w:szCs w:val="4"/>
                <w:color w:val="auto"/>
              </w:rPr>
            </w:pPr>
          </w:p>
        </w:tc>
      </w:tr>
      <w:tr>
        <w:trPr>
          <w:trHeight w:val="237"/>
        </w:trPr>
        <w:tc>
          <w:tcPr>
            <w:tcW w:w="706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420" w:type="dxa"/>
            <w:vAlign w:val="bottom"/>
            <w:tcBorders>
              <w:bottom w:val="single" w:sz="8" w:color="8797B7"/>
            </w:tcBorders>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7,500,000</w:t>
            </w:r>
          </w:p>
        </w:tc>
        <w:tc>
          <w:tcPr>
            <w:tcW w:w="160" w:type="dxa"/>
            <w:vAlign w:val="bottom"/>
          </w:tcPr>
          <w:p>
            <w:pPr>
              <w:spacing w:after="0"/>
              <w:rPr>
                <w:sz w:val="20"/>
                <w:szCs w:val="20"/>
                <w:color w:val="auto"/>
              </w:rPr>
            </w:pPr>
          </w:p>
        </w:tc>
        <w:tc>
          <w:tcPr>
            <w:tcW w:w="220" w:type="dxa"/>
            <w:vAlign w:val="bottom"/>
            <w:tcBorders>
              <w:bottom w:val="single" w:sz="8" w:color="8797B7"/>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4,500,000</w:t>
            </w:r>
          </w:p>
        </w:tc>
        <w:tc>
          <w:tcPr>
            <w:tcW w:w="160" w:type="dxa"/>
            <w:vAlign w:val="bottom"/>
          </w:tcPr>
          <w:p>
            <w:pPr>
              <w:spacing w:after="0"/>
              <w:rPr>
                <w:sz w:val="20"/>
                <w:szCs w:val="20"/>
                <w:color w:val="auto"/>
              </w:rPr>
            </w:pPr>
          </w:p>
        </w:tc>
        <w:tc>
          <w:tcPr>
            <w:tcW w:w="280" w:type="dxa"/>
            <w:vAlign w:val="bottom"/>
            <w:tcBorders>
              <w:bottom w:val="single" w:sz="8" w:color="8797B7"/>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12,000,000</w:t>
            </w:r>
          </w:p>
        </w:tc>
      </w:tr>
      <w:tr>
        <w:trPr>
          <w:trHeight w:val="237"/>
        </w:trPr>
        <w:tc>
          <w:tcPr>
            <w:tcW w:w="706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420" w:type="dxa"/>
            <w:vAlign w:val="bottom"/>
            <w:tcBorders>
              <w:bottom w:val="single" w:sz="8" w:color="8797B7"/>
            </w:tcBorders>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20"/>
                <w:szCs w:val="20"/>
                <w:color w:val="auto"/>
              </w:rPr>
            </w:pPr>
          </w:p>
        </w:tc>
        <w:tc>
          <w:tcPr>
            <w:tcW w:w="220" w:type="dxa"/>
            <w:vAlign w:val="bottom"/>
            <w:tcBorders>
              <w:bottom w:val="single" w:sz="8" w:color="8797B7"/>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3,500,000</w:t>
            </w:r>
          </w:p>
        </w:tc>
        <w:tc>
          <w:tcPr>
            <w:tcW w:w="160" w:type="dxa"/>
            <w:vAlign w:val="bottom"/>
          </w:tcPr>
          <w:p>
            <w:pPr>
              <w:spacing w:after="0"/>
              <w:rPr>
                <w:sz w:val="20"/>
                <w:szCs w:val="20"/>
                <w:color w:val="auto"/>
              </w:rPr>
            </w:pPr>
          </w:p>
        </w:tc>
        <w:tc>
          <w:tcPr>
            <w:tcW w:w="280" w:type="dxa"/>
            <w:vAlign w:val="bottom"/>
            <w:tcBorders>
              <w:bottom w:val="single" w:sz="8" w:color="8797B7"/>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9,500,000</w:t>
            </w:r>
          </w:p>
        </w:tc>
      </w:tr>
      <w:tr>
        <w:trPr>
          <w:trHeight w:val="250"/>
        </w:trPr>
        <w:tc>
          <w:tcPr>
            <w:tcW w:w="7060" w:type="dxa"/>
            <w:vAlign w:val="bottom"/>
            <w:tcBorders>
              <w:bottom w:val="single" w:sz="8" w:color="355889"/>
            </w:tcBorders>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1"/>
                <w:szCs w:val="21"/>
                <w:color w:val="auto"/>
              </w:rPr>
            </w:pPr>
          </w:p>
        </w:tc>
        <w:tc>
          <w:tcPr>
            <w:tcW w:w="420" w:type="dxa"/>
            <w:vAlign w:val="bottom"/>
            <w:tcBorders>
              <w:bottom w:val="single" w:sz="8" w:color="355889"/>
            </w:tcBorders>
          </w:tcPr>
          <w:p>
            <w:pPr>
              <w:spacing w:after="0"/>
              <w:rPr>
                <w:sz w:val="21"/>
                <w:szCs w:val="21"/>
                <w:color w:val="auto"/>
              </w:rPr>
            </w:pPr>
          </w:p>
        </w:tc>
        <w:tc>
          <w:tcPr>
            <w:tcW w:w="90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20" w:type="dxa"/>
            <w:vAlign w:val="bottom"/>
            <w:tcBorders>
              <w:bottom w:val="single" w:sz="8" w:color="355889"/>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rPr>
              <w:t>1,300,000</w:t>
            </w:r>
          </w:p>
        </w:tc>
        <w:tc>
          <w:tcPr>
            <w:tcW w:w="160" w:type="dxa"/>
            <w:vAlign w:val="bottom"/>
          </w:tcPr>
          <w:p>
            <w:pPr>
              <w:spacing w:after="0"/>
              <w:rPr>
                <w:sz w:val="21"/>
                <w:szCs w:val="21"/>
                <w:color w:val="auto"/>
              </w:rPr>
            </w:pPr>
          </w:p>
        </w:tc>
        <w:tc>
          <w:tcPr>
            <w:tcW w:w="280" w:type="dxa"/>
            <w:vAlign w:val="bottom"/>
            <w:tcBorders>
              <w:bottom w:val="single" w:sz="8" w:color="355889"/>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rPr>
              <w:t>1,300,000</w:t>
            </w:r>
          </w:p>
        </w:tc>
      </w:tr>
    </w:tbl>
    <w:p>
      <w:pPr>
        <w:spacing w:after="0" w:line="21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target amounts of the performance-based and time-based equity awards for Messrs. Holliday, Mathias and Levine reflect amounts agreed to in each executive’s employment agreement. The target value of the performance-based equity awards for each of Messrs. Holliday and Mathias is more than 60% of the total annual target value of each executive’s long-term equity incentive awards. The terms of these performance-based and time-based equity awards are described in more detail below.</w:t>
      </w:r>
    </w:p>
    <w:p>
      <w:pPr>
        <w:spacing w:after="0" w:line="20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Mr. Levine’s employment agreement does not provide for a target annual performance-based equity grant, but he is eligible to participate, at the Committee’s discretion, in our annual long-term performance-based equity award program. Mr. DiLiberto’s current employment agreement was entered into before the Committee implemented these changes to our long-term equity incentive award program. Given that Mr. DiLiberto received a long-term equity award in connection with the signing of this agreement, Mr. DiLiberto does not currently participate in this aspect of our long-term equity incentive award program. However, like Mr. Levine, Mr. DiLiberto was eligible to participate in our annual long-term performance-based equity award program at the Committee’s discretion.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2019 Performance-Based Equity Awards</w:t>
      </w:r>
    </w:p>
    <w:p>
      <w:pPr>
        <w:spacing w:after="0" w:line="23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During 2019, we made annual awards of performance-based LTIP units to each of our named executive officers, 50% of which may be earned based on our relative TSR performance over a three-year period and 50% of which may be earned based on achievement of specified operating performance criteria over a one-year period, with a further modifier based on absolute TSR over a three-year period. In addition to the achievement of performance-based vesting hurdles, vesting of the awards will also be subject to continued employment, subject to acceleration in certain circumstances. Earned LTIP units will vest 100% for Messrs. Holliday and Mathias on December 31, 2021, and 50% on each of December 31, 2021 and December 31, 2022, for Messrs. DiLiberto and Levine.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structure of the performance-based LTIP units granted to our named executive officers in 2019:</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355889"/>
        </w:rPr>
        <w:t>Relative TSR Component (50% of Total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7" w:lineRule="exact"/>
        <w:rPr>
          <w:sz w:val="20"/>
          <w:szCs w:val="20"/>
          <w:color w:val="auto"/>
        </w:rPr>
      </w:pPr>
    </w:p>
    <w:p>
      <w:pPr>
        <w:ind w:left="940"/>
        <w:spacing w:after="0"/>
        <w:tabs>
          <w:tab w:leader="none" w:pos="2840" w:val="left"/>
          <w:tab w:leader="none" w:pos="7680" w:val="left"/>
        </w:tabs>
        <w:rPr>
          <w:sz w:val="20"/>
          <w:szCs w:val="20"/>
          <w:color w:val="auto"/>
        </w:rPr>
      </w:pPr>
      <w:r>
        <w:rPr>
          <w:rFonts w:ascii="Arial" w:cs="Arial" w:eastAsia="Arial" w:hAnsi="Arial"/>
          <w:sz w:val="13"/>
          <w:szCs w:val="13"/>
          <w:b w:val="1"/>
          <w:bCs w:val="1"/>
          <w:color w:val="355889"/>
        </w:rPr>
        <w:t>Level</w:t>
      </w:r>
      <w:r>
        <w:rPr>
          <w:sz w:val="20"/>
          <w:szCs w:val="20"/>
          <w:color w:val="auto"/>
        </w:rPr>
        <w:tab/>
      </w:r>
      <w:r>
        <w:rPr>
          <w:rFonts w:ascii="Arial" w:cs="Arial" w:eastAsia="Arial" w:hAnsi="Arial"/>
          <w:sz w:val="13"/>
          <w:szCs w:val="13"/>
          <w:b w:val="1"/>
          <w:bCs w:val="1"/>
          <w:color w:val="355889"/>
        </w:rPr>
        <w:t>Percentage of Target Amount Earned</w:t>
      </w:r>
      <w:r>
        <w:rPr>
          <w:sz w:val="20"/>
          <w:szCs w:val="20"/>
          <w:color w:val="auto"/>
        </w:rPr>
        <w:tab/>
      </w:r>
      <w:r>
        <w:rPr>
          <w:rFonts w:ascii="Arial" w:cs="Arial" w:eastAsia="Arial" w:hAnsi="Arial"/>
          <w:sz w:val="13"/>
          <w:szCs w:val="13"/>
          <w:b w:val="1"/>
          <w:bCs w:val="1"/>
          <w:color w:val="355889"/>
        </w:rPr>
        <w:t>Relative TSR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20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Threshold</w:t>
            </w:r>
          </w:p>
        </w:tc>
        <w:tc>
          <w:tcPr>
            <w:tcW w:w="180" w:type="dxa"/>
            <w:vAlign w:val="bottom"/>
          </w:tcPr>
          <w:p>
            <w:pPr>
              <w:spacing w:after="0"/>
              <w:rPr>
                <w:sz w:val="24"/>
                <w:szCs w:val="24"/>
                <w:color w:val="auto"/>
              </w:rPr>
            </w:pPr>
          </w:p>
        </w:tc>
        <w:tc>
          <w:tcPr>
            <w:tcW w:w="3320" w:type="dxa"/>
            <w:vAlign w:val="bottom"/>
            <w:tcBorders>
              <w:bottom w:val="single" w:sz="8" w:color="8797B7"/>
            </w:tcBorders>
          </w:tcPr>
          <w:p>
            <w:pPr>
              <w:jc w:val="center"/>
              <w:spacing w:after="0"/>
              <w:rPr>
                <w:sz w:val="20"/>
                <w:szCs w:val="20"/>
                <w:color w:val="auto"/>
              </w:rPr>
            </w:pPr>
            <w:r>
              <w:rPr>
                <w:rFonts w:ascii="Arial" w:cs="Arial" w:eastAsia="Arial" w:hAnsi="Arial"/>
                <w:sz w:val="18"/>
                <w:szCs w:val="18"/>
                <w:color w:val="auto"/>
                <w:w w:val="99"/>
              </w:rPr>
              <w:t>50%</w:t>
            </w:r>
          </w:p>
        </w:tc>
        <w:tc>
          <w:tcPr>
            <w:tcW w:w="160" w:type="dxa"/>
            <w:vAlign w:val="bottom"/>
          </w:tcPr>
          <w:p>
            <w:pPr>
              <w:spacing w:after="0"/>
              <w:rPr>
                <w:sz w:val="24"/>
                <w:szCs w:val="24"/>
                <w:color w:val="auto"/>
              </w:rPr>
            </w:pPr>
          </w:p>
        </w:tc>
        <w:tc>
          <w:tcPr>
            <w:tcW w:w="5380" w:type="dxa"/>
            <w:vAlign w:val="bottom"/>
            <w:tcBorders>
              <w:bottom w:val="single" w:sz="8" w:color="8797B7"/>
            </w:tcBorders>
          </w:tcPr>
          <w:p>
            <w:pPr>
              <w:jc w:val="center"/>
              <w:spacing w:after="0"/>
              <w:rPr>
                <w:sz w:val="20"/>
                <w:szCs w:val="20"/>
                <w:color w:val="auto"/>
              </w:rPr>
            </w:pPr>
            <w:r>
              <w:rPr>
                <w:rFonts w:ascii="Arial" w:cs="Arial" w:eastAsia="Arial" w:hAnsi="Arial"/>
                <w:sz w:val="18"/>
                <w:szCs w:val="18"/>
                <w:color w:val="auto"/>
                <w:w w:val="95"/>
              </w:rPr>
              <w:t>33</w:t>
            </w:r>
            <w:r>
              <w:rPr>
                <w:rFonts w:ascii="Arial" w:cs="Arial" w:eastAsia="Arial" w:hAnsi="Arial"/>
                <w:sz w:val="29"/>
                <w:szCs w:val="29"/>
                <w:color w:val="auto"/>
                <w:w w:val="95"/>
                <w:vertAlign w:val="superscript"/>
              </w:rPr>
              <w:t>rd</w:t>
            </w:r>
            <w:r>
              <w:rPr>
                <w:rFonts w:ascii="Arial" w:cs="Arial" w:eastAsia="Arial" w:hAnsi="Arial"/>
                <w:sz w:val="18"/>
                <w:szCs w:val="18"/>
                <w:color w:val="auto"/>
                <w:w w:val="95"/>
              </w:rPr>
              <w:t xml:space="preserve"> percentile of SNL Office Index Companies</w:t>
            </w:r>
          </w:p>
        </w:tc>
      </w:tr>
      <w:tr>
        <w:trPr>
          <w:trHeight w:val="277"/>
        </w:trPr>
        <w:tc>
          <w:tcPr>
            <w:tcW w:w="220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Target</w:t>
            </w:r>
          </w:p>
        </w:tc>
        <w:tc>
          <w:tcPr>
            <w:tcW w:w="180" w:type="dxa"/>
            <w:vAlign w:val="bottom"/>
          </w:tcPr>
          <w:p>
            <w:pPr>
              <w:spacing w:after="0"/>
              <w:rPr>
                <w:sz w:val="24"/>
                <w:szCs w:val="24"/>
                <w:color w:val="auto"/>
              </w:rPr>
            </w:pPr>
          </w:p>
        </w:tc>
        <w:tc>
          <w:tcPr>
            <w:tcW w:w="3320" w:type="dxa"/>
            <w:vAlign w:val="bottom"/>
            <w:tcBorders>
              <w:bottom w:val="single" w:sz="8" w:color="8797B7"/>
            </w:tcBorders>
          </w:tcPr>
          <w:p>
            <w:pPr>
              <w:jc w:val="center"/>
              <w:spacing w:after="0"/>
              <w:rPr>
                <w:sz w:val="20"/>
                <w:szCs w:val="20"/>
                <w:color w:val="auto"/>
              </w:rPr>
            </w:pPr>
            <w:r>
              <w:rPr>
                <w:rFonts w:ascii="Arial" w:cs="Arial" w:eastAsia="Arial" w:hAnsi="Arial"/>
                <w:sz w:val="18"/>
                <w:szCs w:val="18"/>
                <w:color w:val="auto"/>
                <w:w w:val="95"/>
              </w:rPr>
              <w:t>100%</w:t>
            </w:r>
          </w:p>
        </w:tc>
        <w:tc>
          <w:tcPr>
            <w:tcW w:w="160" w:type="dxa"/>
            <w:vAlign w:val="bottom"/>
          </w:tcPr>
          <w:p>
            <w:pPr>
              <w:spacing w:after="0"/>
              <w:rPr>
                <w:sz w:val="24"/>
                <w:szCs w:val="24"/>
                <w:color w:val="auto"/>
              </w:rPr>
            </w:pPr>
          </w:p>
        </w:tc>
        <w:tc>
          <w:tcPr>
            <w:tcW w:w="5380" w:type="dxa"/>
            <w:vAlign w:val="bottom"/>
            <w:tcBorders>
              <w:bottom w:val="single" w:sz="8" w:color="8797B7"/>
            </w:tcBorders>
          </w:tcPr>
          <w:p>
            <w:pPr>
              <w:jc w:val="center"/>
              <w:spacing w:after="0" w:line="277" w:lineRule="exact"/>
              <w:rPr>
                <w:sz w:val="20"/>
                <w:szCs w:val="20"/>
                <w:color w:val="auto"/>
              </w:rPr>
            </w:pPr>
            <w:r>
              <w:rPr>
                <w:rFonts w:ascii="Arial" w:cs="Arial" w:eastAsia="Arial" w:hAnsi="Arial"/>
                <w:sz w:val="18"/>
                <w:szCs w:val="18"/>
                <w:color w:val="auto"/>
                <w:w w:val="96"/>
              </w:rPr>
              <w:t>50</w:t>
            </w:r>
            <w:r>
              <w:rPr>
                <w:rFonts w:ascii="Arial" w:cs="Arial" w:eastAsia="Arial" w:hAnsi="Arial"/>
                <w:sz w:val="29"/>
                <w:szCs w:val="29"/>
                <w:color w:val="auto"/>
                <w:w w:val="96"/>
                <w:vertAlign w:val="superscript"/>
              </w:rPr>
              <w:t>th</w:t>
            </w:r>
            <w:r>
              <w:rPr>
                <w:rFonts w:ascii="Arial" w:cs="Arial" w:eastAsia="Arial" w:hAnsi="Arial"/>
                <w:sz w:val="18"/>
                <w:szCs w:val="18"/>
                <w:color w:val="auto"/>
                <w:w w:val="96"/>
              </w:rPr>
              <w:t xml:space="preserve"> percentile of SNL Office Index Companies</w:t>
            </w:r>
          </w:p>
        </w:tc>
      </w:tr>
      <w:tr>
        <w:trPr>
          <w:trHeight w:val="284"/>
        </w:trPr>
        <w:tc>
          <w:tcPr>
            <w:tcW w:w="2380" w:type="dxa"/>
            <w:vAlign w:val="bottom"/>
            <w:tcBorders>
              <w:bottom w:val="single" w:sz="8" w:color="355889"/>
            </w:tcBorders>
            <w:gridSpan w:val="2"/>
          </w:tcPr>
          <w:p>
            <w:pPr>
              <w:spacing w:after="0"/>
              <w:rPr>
                <w:sz w:val="20"/>
                <w:szCs w:val="20"/>
                <w:color w:val="auto"/>
              </w:rPr>
            </w:pPr>
            <w:r>
              <w:rPr>
                <w:rFonts w:ascii="Arial" w:cs="Arial" w:eastAsia="Arial" w:hAnsi="Arial"/>
                <w:sz w:val="18"/>
                <w:szCs w:val="18"/>
                <w:color w:val="auto"/>
              </w:rPr>
              <w:t>Maximum</w:t>
            </w:r>
          </w:p>
        </w:tc>
        <w:tc>
          <w:tcPr>
            <w:tcW w:w="332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5"/>
              </w:rPr>
              <w:t>225%</w:t>
            </w:r>
          </w:p>
        </w:tc>
        <w:tc>
          <w:tcPr>
            <w:tcW w:w="160" w:type="dxa"/>
            <w:vAlign w:val="bottom"/>
            <w:tcBorders>
              <w:bottom w:val="single" w:sz="8" w:color="355889"/>
            </w:tcBorders>
          </w:tcPr>
          <w:p>
            <w:pPr>
              <w:spacing w:after="0"/>
              <w:rPr>
                <w:sz w:val="24"/>
                <w:szCs w:val="24"/>
                <w:color w:val="auto"/>
              </w:rPr>
            </w:pPr>
          </w:p>
        </w:tc>
        <w:tc>
          <w:tcPr>
            <w:tcW w:w="5380" w:type="dxa"/>
            <w:vAlign w:val="bottom"/>
            <w:tcBorders>
              <w:bottom w:val="single" w:sz="8" w:color="355889"/>
            </w:tcBorders>
          </w:tcPr>
          <w:p>
            <w:pPr>
              <w:jc w:val="center"/>
              <w:spacing w:after="0" w:line="277" w:lineRule="exact"/>
              <w:rPr>
                <w:sz w:val="20"/>
                <w:szCs w:val="20"/>
                <w:color w:val="auto"/>
              </w:rPr>
            </w:pPr>
            <w:r>
              <w:rPr>
                <w:rFonts w:ascii="Arial" w:cs="Arial" w:eastAsia="Arial" w:hAnsi="Arial"/>
                <w:sz w:val="18"/>
                <w:szCs w:val="18"/>
                <w:color w:val="auto"/>
                <w:w w:val="96"/>
              </w:rPr>
              <w:t>67</w:t>
            </w:r>
            <w:r>
              <w:rPr>
                <w:rFonts w:ascii="Arial" w:cs="Arial" w:eastAsia="Arial" w:hAnsi="Arial"/>
                <w:sz w:val="29"/>
                <w:szCs w:val="29"/>
                <w:color w:val="auto"/>
                <w:w w:val="96"/>
                <w:vertAlign w:val="superscript"/>
              </w:rPr>
              <w:t>th</w:t>
            </w:r>
            <w:r>
              <w:rPr>
                <w:rFonts w:ascii="Arial" w:cs="Arial" w:eastAsia="Arial" w:hAnsi="Arial"/>
                <w:sz w:val="18"/>
                <w:szCs w:val="18"/>
                <w:color w:val="auto"/>
                <w:w w:val="96"/>
              </w:rPr>
              <w:t xml:space="preserve"> percentile of SNL Office Index Companies</w:t>
            </w:r>
          </w:p>
        </w:tc>
      </w:tr>
      <w:tr>
        <w:trPr>
          <w:trHeight w:val="431"/>
        </w:trPr>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60" w:type="dxa"/>
            <w:vAlign w:val="bottom"/>
            <w:gridSpan w:val="3"/>
          </w:tcPr>
          <w:p>
            <w:pPr>
              <w:jc w:val="center"/>
              <w:ind w:right="2297"/>
              <w:spacing w:after="0"/>
              <w:rPr>
                <w:sz w:val="20"/>
                <w:szCs w:val="20"/>
                <w:color w:val="auto"/>
              </w:rPr>
            </w:pPr>
            <w:r>
              <w:rPr>
                <w:rFonts w:ascii="Arial" w:cs="Arial" w:eastAsia="Arial" w:hAnsi="Arial"/>
                <w:sz w:val="13"/>
                <w:szCs w:val="13"/>
                <w:b w:val="1"/>
                <w:bCs w:val="1"/>
                <w:color w:val="355889"/>
              </w:rPr>
              <w:t>Operational Performance Component (50% of Total Award)</w:t>
            </w:r>
          </w:p>
        </w:tc>
      </w:tr>
      <w:tr>
        <w:trPr>
          <w:trHeight w:val="35"/>
        </w:trPr>
        <w:tc>
          <w:tcPr>
            <w:tcW w:w="2200" w:type="dxa"/>
            <w:vAlign w:val="bottom"/>
            <w:tcBorders>
              <w:bottom w:val="single" w:sz="8" w:color="355889"/>
            </w:tcBorders>
          </w:tcPr>
          <w:p>
            <w:pPr>
              <w:spacing w:after="0"/>
              <w:rPr>
                <w:sz w:val="3"/>
                <w:szCs w:val="3"/>
                <w:color w:val="auto"/>
              </w:rPr>
            </w:pPr>
          </w:p>
        </w:tc>
        <w:tc>
          <w:tcPr>
            <w:tcW w:w="180" w:type="dxa"/>
            <w:vAlign w:val="bottom"/>
            <w:tcBorders>
              <w:bottom w:val="single" w:sz="8" w:color="355889"/>
            </w:tcBorders>
          </w:tcPr>
          <w:p>
            <w:pPr>
              <w:spacing w:after="0"/>
              <w:rPr>
                <w:sz w:val="3"/>
                <w:szCs w:val="3"/>
                <w:color w:val="auto"/>
              </w:rPr>
            </w:pPr>
          </w:p>
        </w:tc>
        <w:tc>
          <w:tcPr>
            <w:tcW w:w="3320" w:type="dxa"/>
            <w:vAlign w:val="bottom"/>
            <w:tcBorders>
              <w:bottom w:val="single" w:sz="8" w:color="355889"/>
            </w:tcBorders>
          </w:tcPr>
          <w:p>
            <w:pPr>
              <w:spacing w:after="0"/>
              <w:rPr>
                <w:sz w:val="3"/>
                <w:szCs w:val="3"/>
                <w:color w:val="auto"/>
              </w:rPr>
            </w:pPr>
          </w:p>
        </w:tc>
        <w:tc>
          <w:tcPr>
            <w:tcW w:w="5540" w:type="dxa"/>
            <w:vAlign w:val="bottom"/>
            <w:tcBorders>
              <w:bottom w:val="single" w:sz="8" w:color="355889"/>
            </w:tcBorders>
            <w:gridSpan w:val="2"/>
          </w:tcPr>
          <w:p>
            <w:pPr>
              <w:spacing w:after="0"/>
              <w:rPr>
                <w:sz w:val="3"/>
                <w:szCs w:val="3"/>
                <w:color w:val="auto"/>
              </w:rPr>
            </w:pPr>
          </w:p>
        </w:tc>
      </w:tr>
      <w:tr>
        <w:trPr>
          <w:trHeight w:val="202"/>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60" w:type="dxa"/>
            <w:vAlign w:val="bottom"/>
            <w:gridSpan w:val="3"/>
          </w:tcPr>
          <w:p>
            <w:pPr>
              <w:jc w:val="center"/>
              <w:ind w:right="2277"/>
              <w:spacing w:after="0"/>
              <w:rPr>
                <w:sz w:val="20"/>
                <w:szCs w:val="20"/>
                <w:color w:val="auto"/>
              </w:rPr>
            </w:pPr>
            <w:r>
              <w:rPr>
                <w:rFonts w:ascii="Arial" w:cs="Arial" w:eastAsia="Arial" w:hAnsi="Arial"/>
                <w:sz w:val="13"/>
                <w:szCs w:val="13"/>
                <w:b w:val="1"/>
                <w:bCs w:val="1"/>
                <w:color w:val="355889"/>
              </w:rPr>
              <w:t>Operational Performance Goals (One Year)</w:t>
            </w:r>
          </w:p>
        </w:tc>
      </w:tr>
      <w:tr>
        <w:trPr>
          <w:trHeight w:val="35"/>
        </w:trPr>
        <w:tc>
          <w:tcPr>
            <w:tcW w:w="2200" w:type="dxa"/>
            <w:vAlign w:val="bottom"/>
            <w:tcBorders>
              <w:bottom w:val="single" w:sz="8" w:color="355889"/>
            </w:tcBorders>
          </w:tcPr>
          <w:p>
            <w:pPr>
              <w:spacing w:after="0"/>
              <w:rPr>
                <w:sz w:val="3"/>
                <w:szCs w:val="3"/>
                <w:color w:val="auto"/>
              </w:rPr>
            </w:pPr>
          </w:p>
        </w:tc>
        <w:tc>
          <w:tcPr>
            <w:tcW w:w="180" w:type="dxa"/>
            <w:vAlign w:val="bottom"/>
            <w:tcBorders>
              <w:bottom w:val="single" w:sz="8" w:color="355889"/>
            </w:tcBorders>
          </w:tcPr>
          <w:p>
            <w:pPr>
              <w:spacing w:after="0"/>
              <w:rPr>
                <w:sz w:val="3"/>
                <w:szCs w:val="3"/>
                <w:color w:val="auto"/>
              </w:rPr>
            </w:pPr>
          </w:p>
        </w:tc>
        <w:tc>
          <w:tcPr>
            <w:tcW w:w="3320" w:type="dxa"/>
            <w:vAlign w:val="bottom"/>
            <w:tcBorders>
              <w:bottom w:val="single" w:sz="8" w:color="355889"/>
            </w:tcBorders>
          </w:tcPr>
          <w:p>
            <w:pPr>
              <w:spacing w:after="0"/>
              <w:rPr>
                <w:sz w:val="3"/>
                <w:szCs w:val="3"/>
                <w:color w:val="auto"/>
              </w:rPr>
            </w:pPr>
          </w:p>
        </w:tc>
        <w:tc>
          <w:tcPr>
            <w:tcW w:w="160" w:type="dxa"/>
            <w:vAlign w:val="bottom"/>
            <w:tcBorders>
              <w:bottom w:val="single" w:sz="8" w:color="355889"/>
            </w:tcBorders>
          </w:tcPr>
          <w:p>
            <w:pPr>
              <w:spacing w:after="0"/>
              <w:rPr>
                <w:sz w:val="3"/>
                <w:szCs w:val="3"/>
                <w:color w:val="auto"/>
              </w:rPr>
            </w:pPr>
          </w:p>
        </w:tc>
        <w:tc>
          <w:tcPr>
            <w:tcW w:w="5380" w:type="dxa"/>
            <w:vAlign w:val="bottom"/>
            <w:tcBorders>
              <w:bottom w:val="single" w:sz="8" w:color="355889"/>
            </w:tcBorders>
          </w:tcPr>
          <w:p>
            <w:pPr>
              <w:spacing w:after="0"/>
              <w:rPr>
                <w:sz w:val="3"/>
                <w:szCs w:val="3"/>
                <w:color w:val="auto"/>
              </w:rPr>
            </w:pPr>
          </w:p>
        </w:tc>
      </w:tr>
      <w:tr>
        <w:trPr>
          <w:trHeight w:val="202"/>
        </w:trPr>
        <w:tc>
          <w:tcPr>
            <w:tcW w:w="2380" w:type="dxa"/>
            <w:vAlign w:val="bottom"/>
            <w:gridSpan w:val="2"/>
          </w:tcPr>
          <w:p>
            <w:pPr>
              <w:ind w:left="940"/>
              <w:spacing w:after="0"/>
              <w:rPr>
                <w:sz w:val="20"/>
                <w:szCs w:val="20"/>
                <w:color w:val="auto"/>
              </w:rPr>
            </w:pPr>
            <w:r>
              <w:rPr>
                <w:rFonts w:ascii="Arial" w:cs="Arial" w:eastAsia="Arial" w:hAnsi="Arial"/>
                <w:sz w:val="13"/>
                <w:szCs w:val="13"/>
                <w:b w:val="1"/>
                <w:bCs w:val="1"/>
                <w:color w:val="355889"/>
              </w:rPr>
              <w:t>Level</w:t>
            </w:r>
          </w:p>
        </w:tc>
        <w:tc>
          <w:tcPr>
            <w:tcW w:w="3480" w:type="dxa"/>
            <w:vAlign w:val="bottom"/>
            <w:gridSpan w:val="2"/>
          </w:tcPr>
          <w:p>
            <w:pPr>
              <w:ind w:left="480"/>
              <w:spacing w:after="0"/>
              <w:rPr>
                <w:sz w:val="20"/>
                <w:szCs w:val="20"/>
                <w:color w:val="auto"/>
              </w:rPr>
            </w:pPr>
            <w:r>
              <w:rPr>
                <w:rFonts w:ascii="Arial" w:cs="Arial" w:eastAsia="Arial" w:hAnsi="Arial"/>
                <w:sz w:val="13"/>
                <w:szCs w:val="13"/>
                <w:b w:val="1"/>
                <w:bCs w:val="1"/>
                <w:color w:val="355889"/>
              </w:rPr>
              <w:t>Percentage of Target Amount Earned</w:t>
            </w:r>
          </w:p>
        </w:tc>
        <w:tc>
          <w:tcPr>
            <w:tcW w:w="5380" w:type="dxa"/>
            <w:vAlign w:val="bottom"/>
          </w:tcPr>
          <w:p>
            <w:pPr>
              <w:jc w:val="center"/>
              <w:spacing w:after="0"/>
              <w:rPr>
                <w:sz w:val="20"/>
                <w:szCs w:val="20"/>
                <w:color w:val="auto"/>
              </w:rPr>
            </w:pPr>
            <w:r>
              <w:rPr>
                <w:rFonts w:ascii="Arial" w:cs="Arial" w:eastAsia="Arial" w:hAnsi="Arial"/>
                <w:sz w:val="13"/>
                <w:szCs w:val="13"/>
                <w:b w:val="1"/>
                <w:bCs w:val="1"/>
                <w:color w:val="355889"/>
              </w:rPr>
              <w:t>Operational Performance Goals (weighting)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20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Threshold</w:t>
            </w:r>
          </w:p>
        </w:tc>
        <w:tc>
          <w:tcPr>
            <w:tcW w:w="180" w:type="dxa"/>
            <w:vAlign w:val="bottom"/>
          </w:tcPr>
          <w:p>
            <w:pPr>
              <w:spacing w:after="0"/>
              <w:rPr>
                <w:sz w:val="21"/>
                <w:szCs w:val="21"/>
                <w:color w:val="auto"/>
              </w:rPr>
            </w:pPr>
          </w:p>
        </w:tc>
        <w:tc>
          <w:tcPr>
            <w:tcW w:w="3320" w:type="dxa"/>
            <w:vAlign w:val="bottom"/>
            <w:tcBorders>
              <w:bottom w:val="single" w:sz="8" w:color="8797B7"/>
            </w:tcBorders>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Target</w:t>
            </w:r>
          </w:p>
        </w:tc>
        <w:tc>
          <w:tcPr>
            <w:tcW w:w="180" w:type="dxa"/>
            <w:vAlign w:val="bottom"/>
          </w:tcPr>
          <w:p>
            <w:pPr>
              <w:spacing w:after="0"/>
              <w:rPr>
                <w:sz w:val="24"/>
                <w:szCs w:val="24"/>
                <w:color w:val="auto"/>
              </w:rPr>
            </w:pPr>
          </w:p>
        </w:tc>
        <w:tc>
          <w:tcPr>
            <w:tcW w:w="3320" w:type="dxa"/>
            <w:vAlign w:val="bottom"/>
            <w:tcBorders>
              <w:bottom w:val="single" w:sz="8" w:color="8797B7"/>
            </w:tcBorders>
          </w:tcPr>
          <w:p>
            <w:pPr>
              <w:jc w:val="center"/>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63"/>
        </w:trPr>
        <w:tc>
          <w:tcPr>
            <w:tcW w:w="2380" w:type="dxa"/>
            <w:vAlign w:val="bottom"/>
            <w:gridSpan w:val="2"/>
            <w:vMerge w:val="restart"/>
          </w:tcPr>
          <w:p>
            <w:pPr>
              <w:spacing w:after="0"/>
              <w:rPr>
                <w:sz w:val="20"/>
                <w:szCs w:val="20"/>
                <w:color w:val="auto"/>
              </w:rPr>
            </w:pPr>
            <w:r>
              <w:rPr>
                <w:rFonts w:ascii="Arial" w:cs="Arial" w:eastAsia="Arial" w:hAnsi="Arial"/>
                <w:sz w:val="18"/>
                <w:szCs w:val="18"/>
                <w:color w:val="auto"/>
              </w:rPr>
              <w:t>Maximum</w:t>
            </w:r>
          </w:p>
        </w:tc>
        <w:tc>
          <w:tcPr>
            <w:tcW w:w="3320" w:type="dxa"/>
            <w:vAlign w:val="bottom"/>
          </w:tcPr>
          <w:p>
            <w:pPr>
              <w:jc w:val="center"/>
              <w:spacing w:after="0"/>
              <w:rPr>
                <w:sz w:val="20"/>
                <w:szCs w:val="20"/>
                <w:color w:val="auto"/>
              </w:rPr>
            </w:pPr>
            <w:r>
              <w:rPr>
                <w:rFonts w:ascii="Arial" w:cs="Arial" w:eastAsia="Arial" w:hAnsi="Arial"/>
                <w:sz w:val="18"/>
                <w:szCs w:val="18"/>
                <w:color w:val="auto"/>
                <w:w w:val="95"/>
              </w:rPr>
              <w:t>200%</w:t>
            </w:r>
          </w:p>
        </w:tc>
        <w:tc>
          <w:tcPr>
            <w:tcW w:w="0" w:type="dxa"/>
            <w:vAlign w:val="bottom"/>
          </w:tcPr>
          <w:p>
            <w:pPr>
              <w:spacing w:after="0"/>
              <w:rPr>
                <w:sz w:val="1"/>
                <w:szCs w:val="1"/>
                <w:color w:val="auto"/>
              </w:rPr>
            </w:pPr>
          </w:p>
        </w:tc>
      </w:tr>
      <w:tr>
        <w:trPr>
          <w:trHeight w:val="54"/>
        </w:trPr>
        <w:tc>
          <w:tcPr>
            <w:tcW w:w="2380" w:type="dxa"/>
            <w:vAlign w:val="bottom"/>
            <w:gridSpan w:val="2"/>
            <w:vMerge w:val="continue"/>
          </w:tcPr>
          <w:p>
            <w:pPr>
              <w:spacing w:after="0"/>
              <w:rPr>
                <w:sz w:val="4"/>
                <w:szCs w:val="4"/>
                <w:color w:val="auto"/>
              </w:rPr>
            </w:pPr>
          </w:p>
        </w:tc>
        <w:tc>
          <w:tcPr>
            <w:tcW w:w="33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236" w:hanging="236"/>
        <w:spacing w:after="0"/>
        <w:tabs>
          <w:tab w:leader="none" w:pos="236" w:val="left"/>
        </w:tabs>
        <w:numPr>
          <w:ilvl w:val="0"/>
          <w:numId w:val="81"/>
        </w:numPr>
        <w:rPr>
          <w:rFonts w:ascii="Arial" w:cs="Arial" w:eastAsia="Arial" w:hAnsi="Arial"/>
          <w:sz w:val="17"/>
          <w:szCs w:val="17"/>
          <w:color w:val="355889"/>
        </w:rPr>
      </w:pPr>
      <w:r>
        <w:rPr>
          <w:rFonts w:ascii="Arial" w:cs="Arial" w:eastAsia="Arial" w:hAnsi="Arial"/>
          <w:sz w:val="18"/>
          <w:szCs w:val="18"/>
          <w:color w:val="auto"/>
        </w:rPr>
        <w:t>Funds Available for Distribution (25%)</w:t>
      </w:r>
    </w:p>
    <w:p>
      <w:pPr>
        <w:spacing w:after="0" w:line="36" w:lineRule="exact"/>
        <w:rPr>
          <w:rFonts w:ascii="Arial" w:cs="Arial" w:eastAsia="Arial" w:hAnsi="Arial"/>
          <w:sz w:val="17"/>
          <w:szCs w:val="17"/>
          <w:color w:val="355889"/>
        </w:rPr>
      </w:pPr>
    </w:p>
    <w:p>
      <w:pPr>
        <w:ind w:left="236" w:hanging="236"/>
        <w:spacing w:after="0"/>
        <w:tabs>
          <w:tab w:leader="none" w:pos="236" w:val="left"/>
        </w:tabs>
        <w:numPr>
          <w:ilvl w:val="0"/>
          <w:numId w:val="81"/>
        </w:numPr>
        <w:rPr>
          <w:rFonts w:ascii="Arial" w:cs="Arial" w:eastAsia="Arial" w:hAnsi="Arial"/>
          <w:sz w:val="17"/>
          <w:szCs w:val="17"/>
          <w:color w:val="355889"/>
        </w:rPr>
      </w:pPr>
      <w:r>
        <w:rPr>
          <w:rFonts w:ascii="Arial" w:cs="Arial" w:eastAsia="Arial" w:hAnsi="Arial"/>
          <w:sz w:val="18"/>
          <w:szCs w:val="18"/>
          <w:color w:val="auto"/>
        </w:rPr>
        <w:t>Debt/EBITDA Ratio (25%)</w:t>
      </w:r>
    </w:p>
    <w:p>
      <w:pPr>
        <w:spacing w:after="0" w:line="36" w:lineRule="exact"/>
        <w:rPr>
          <w:rFonts w:ascii="Arial" w:cs="Arial" w:eastAsia="Arial" w:hAnsi="Arial"/>
          <w:sz w:val="17"/>
          <w:szCs w:val="17"/>
          <w:color w:val="355889"/>
        </w:rPr>
      </w:pPr>
    </w:p>
    <w:p>
      <w:pPr>
        <w:ind w:left="236" w:hanging="236"/>
        <w:spacing w:after="0"/>
        <w:tabs>
          <w:tab w:leader="none" w:pos="236" w:val="left"/>
        </w:tabs>
        <w:numPr>
          <w:ilvl w:val="0"/>
          <w:numId w:val="81"/>
        </w:numPr>
        <w:rPr>
          <w:rFonts w:ascii="Arial" w:cs="Arial" w:eastAsia="Arial" w:hAnsi="Arial"/>
          <w:sz w:val="16"/>
          <w:szCs w:val="16"/>
          <w:color w:val="355889"/>
        </w:rPr>
      </w:pPr>
      <w:r>
        <w:rPr>
          <w:rFonts w:ascii="Arial" w:cs="Arial" w:eastAsia="Arial" w:hAnsi="Arial"/>
          <w:sz w:val="16"/>
          <w:szCs w:val="16"/>
          <w:color w:val="auto"/>
        </w:rPr>
        <w:t>Manhattan Office Same Store Leased Occupancy (25%)</w:t>
      </w:r>
    </w:p>
    <w:p>
      <w:pPr>
        <w:spacing w:after="0" w:line="59" w:lineRule="exact"/>
        <w:rPr>
          <w:rFonts w:ascii="Arial" w:cs="Arial" w:eastAsia="Arial" w:hAnsi="Arial"/>
          <w:sz w:val="16"/>
          <w:szCs w:val="16"/>
          <w:color w:val="355889"/>
        </w:rPr>
      </w:pPr>
    </w:p>
    <w:p>
      <w:pPr>
        <w:ind w:left="236" w:hanging="236"/>
        <w:spacing w:after="0"/>
        <w:tabs>
          <w:tab w:leader="none" w:pos="236" w:val="left"/>
        </w:tabs>
        <w:numPr>
          <w:ilvl w:val="0"/>
          <w:numId w:val="81"/>
        </w:numPr>
        <w:rPr>
          <w:rFonts w:ascii="Arial" w:cs="Arial" w:eastAsia="Arial" w:hAnsi="Arial"/>
          <w:sz w:val="17"/>
          <w:szCs w:val="17"/>
          <w:color w:val="355889"/>
        </w:rPr>
      </w:pPr>
      <w:r>
        <w:rPr>
          <w:rFonts w:ascii="Arial" w:cs="Arial" w:eastAsia="Arial" w:hAnsi="Arial"/>
          <w:sz w:val="18"/>
          <w:szCs w:val="18"/>
          <w:color w:val="auto"/>
        </w:rPr>
        <w:t>Manhattan Office Leasing Volume (25%)</w:t>
      </w:r>
    </w:p>
    <w:p>
      <w:pPr>
        <w:spacing w:after="0" w:line="217" w:lineRule="exact"/>
        <w:rPr>
          <w:sz w:val="20"/>
          <w:szCs w:val="20"/>
          <w:color w:val="auto"/>
        </w:rPr>
      </w:pPr>
    </w:p>
    <w:p>
      <w:pPr>
        <w:sectPr>
          <w:pgSz w:w="11900" w:h="16838" w:orient="portrait"/>
          <w:cols w:equalWidth="0" w:num="2">
            <w:col w:w="5700" w:space="284"/>
            <w:col w:w="5256"/>
          </w:cols>
          <w:pgMar w:left="320" w:top="121" w:right="339" w:bottom="1440" w:gutter="0" w:footer="0" w:header="0"/>
          <w:type w:val="continuous"/>
        </w:sectPr>
      </w:pP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355889"/>
        </w:rPr>
        <w:t>Absolute TSR Modifier (Three Years) (Only Modifies Operational Performance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80" w:type="dxa"/>
            <w:vAlign w:val="bottom"/>
            <w:gridSpan w:val="2"/>
          </w:tcPr>
          <w:p>
            <w:pPr>
              <w:ind w:left="940"/>
              <w:spacing w:after="0"/>
              <w:rPr>
                <w:sz w:val="20"/>
                <w:szCs w:val="20"/>
                <w:color w:val="auto"/>
              </w:rPr>
            </w:pPr>
            <w:r>
              <w:rPr>
                <w:rFonts w:ascii="Arial" w:cs="Arial" w:eastAsia="Arial" w:hAnsi="Arial"/>
                <w:sz w:val="13"/>
                <w:szCs w:val="13"/>
                <w:b w:val="1"/>
                <w:bCs w:val="1"/>
                <w:color w:val="355889"/>
              </w:rPr>
              <w:t>Level</w:t>
            </w:r>
          </w:p>
        </w:tc>
        <w:tc>
          <w:tcPr>
            <w:tcW w:w="3480" w:type="dxa"/>
            <w:vAlign w:val="bottom"/>
            <w:gridSpan w:val="2"/>
          </w:tcPr>
          <w:p>
            <w:pPr>
              <w:ind w:left="580"/>
              <w:spacing w:after="0"/>
              <w:rPr>
                <w:sz w:val="20"/>
                <w:szCs w:val="20"/>
                <w:color w:val="auto"/>
              </w:rPr>
            </w:pPr>
            <w:r>
              <w:rPr>
                <w:rFonts w:ascii="Arial" w:cs="Arial" w:eastAsia="Arial" w:hAnsi="Arial"/>
                <w:sz w:val="13"/>
                <w:szCs w:val="13"/>
                <w:b w:val="1"/>
                <w:bCs w:val="1"/>
                <w:color w:val="355889"/>
              </w:rPr>
              <w:t>Adjustment to Percentage Earned</w:t>
            </w:r>
          </w:p>
        </w:tc>
        <w:tc>
          <w:tcPr>
            <w:tcW w:w="5380" w:type="dxa"/>
            <w:vAlign w:val="bottom"/>
          </w:tcPr>
          <w:p>
            <w:pPr>
              <w:ind w:left="1960"/>
              <w:spacing w:after="0"/>
              <w:rPr>
                <w:sz w:val="20"/>
                <w:szCs w:val="20"/>
                <w:color w:val="auto"/>
              </w:rPr>
            </w:pPr>
            <w:r>
              <w:rPr>
                <w:rFonts w:ascii="Arial" w:cs="Arial" w:eastAsia="Arial" w:hAnsi="Arial"/>
                <w:sz w:val="13"/>
                <w:szCs w:val="13"/>
                <w:b w:val="1"/>
                <w:bCs w:val="1"/>
                <w:color w:val="355889"/>
              </w:rPr>
              <w:t>Absolute TSR Per Year</w:t>
            </w:r>
          </w:p>
        </w:tc>
      </w:tr>
      <w:tr>
        <w:trPr>
          <w:trHeight w:val="35"/>
        </w:trPr>
        <w:tc>
          <w:tcPr>
            <w:tcW w:w="2200" w:type="dxa"/>
            <w:vAlign w:val="bottom"/>
            <w:tcBorders>
              <w:bottom w:val="single" w:sz="8" w:color="355889"/>
            </w:tcBorders>
          </w:tcPr>
          <w:p>
            <w:pPr>
              <w:spacing w:after="0"/>
              <w:rPr>
                <w:sz w:val="3"/>
                <w:szCs w:val="3"/>
                <w:color w:val="auto"/>
              </w:rPr>
            </w:pPr>
          </w:p>
        </w:tc>
        <w:tc>
          <w:tcPr>
            <w:tcW w:w="180" w:type="dxa"/>
            <w:vAlign w:val="bottom"/>
          </w:tcPr>
          <w:p>
            <w:pPr>
              <w:spacing w:after="0"/>
              <w:rPr>
                <w:sz w:val="3"/>
                <w:szCs w:val="3"/>
                <w:color w:val="auto"/>
              </w:rPr>
            </w:pPr>
          </w:p>
        </w:tc>
        <w:tc>
          <w:tcPr>
            <w:tcW w:w="3320" w:type="dxa"/>
            <w:vAlign w:val="bottom"/>
            <w:tcBorders>
              <w:bottom w:val="single" w:sz="8" w:color="355889"/>
            </w:tcBorders>
          </w:tcPr>
          <w:p>
            <w:pPr>
              <w:spacing w:after="0"/>
              <w:rPr>
                <w:sz w:val="3"/>
                <w:szCs w:val="3"/>
                <w:color w:val="auto"/>
              </w:rPr>
            </w:pPr>
          </w:p>
        </w:tc>
        <w:tc>
          <w:tcPr>
            <w:tcW w:w="160" w:type="dxa"/>
            <w:vAlign w:val="bottom"/>
          </w:tcPr>
          <w:p>
            <w:pPr>
              <w:spacing w:after="0"/>
              <w:rPr>
                <w:sz w:val="3"/>
                <w:szCs w:val="3"/>
                <w:color w:val="auto"/>
              </w:rPr>
            </w:pPr>
          </w:p>
        </w:tc>
        <w:tc>
          <w:tcPr>
            <w:tcW w:w="5380" w:type="dxa"/>
            <w:vAlign w:val="bottom"/>
            <w:tcBorders>
              <w:bottom w:val="single" w:sz="8" w:color="355889"/>
            </w:tcBorders>
          </w:tcPr>
          <w:p>
            <w:pPr>
              <w:spacing w:after="0"/>
              <w:rPr>
                <w:sz w:val="3"/>
                <w:szCs w:val="3"/>
                <w:color w:val="auto"/>
              </w:rPr>
            </w:pPr>
          </w:p>
        </w:tc>
      </w:tr>
      <w:tr>
        <w:trPr>
          <w:trHeight w:val="229"/>
        </w:trPr>
        <w:tc>
          <w:tcPr>
            <w:tcW w:w="220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Threshold</w:t>
            </w:r>
          </w:p>
        </w:tc>
        <w:tc>
          <w:tcPr>
            <w:tcW w:w="180" w:type="dxa"/>
            <w:vAlign w:val="bottom"/>
          </w:tcPr>
          <w:p>
            <w:pPr>
              <w:spacing w:after="0"/>
              <w:rPr>
                <w:sz w:val="19"/>
                <w:szCs w:val="19"/>
                <w:color w:val="auto"/>
              </w:rPr>
            </w:pPr>
          </w:p>
        </w:tc>
        <w:tc>
          <w:tcPr>
            <w:tcW w:w="3320" w:type="dxa"/>
            <w:vAlign w:val="bottom"/>
            <w:tcBorders>
              <w:bottom w:val="single" w:sz="8" w:color="8797B7"/>
            </w:tcBorders>
          </w:tcPr>
          <w:p>
            <w:pPr>
              <w:jc w:val="center"/>
              <w:spacing w:after="0"/>
              <w:rPr>
                <w:sz w:val="20"/>
                <w:szCs w:val="20"/>
                <w:color w:val="auto"/>
              </w:rPr>
            </w:pPr>
            <w:r>
              <w:rPr>
                <w:rFonts w:ascii="Arial" w:cs="Arial" w:eastAsia="Arial" w:hAnsi="Arial"/>
                <w:sz w:val="18"/>
                <w:szCs w:val="18"/>
                <w:color w:val="auto"/>
                <w:w w:val="98"/>
              </w:rPr>
              <w:t>-12.5%</w:t>
            </w:r>
          </w:p>
        </w:tc>
        <w:tc>
          <w:tcPr>
            <w:tcW w:w="160" w:type="dxa"/>
            <w:vAlign w:val="bottom"/>
          </w:tcPr>
          <w:p>
            <w:pPr>
              <w:spacing w:after="0"/>
              <w:rPr>
                <w:sz w:val="19"/>
                <w:szCs w:val="19"/>
                <w:color w:val="auto"/>
              </w:rPr>
            </w:pPr>
          </w:p>
        </w:tc>
        <w:tc>
          <w:tcPr>
            <w:tcW w:w="5380" w:type="dxa"/>
            <w:vAlign w:val="bottom"/>
            <w:tcBorders>
              <w:bottom w:val="single" w:sz="8" w:color="8797B7"/>
            </w:tcBorders>
          </w:tcPr>
          <w:p>
            <w:pPr>
              <w:jc w:val="center"/>
              <w:spacing w:after="0"/>
              <w:rPr>
                <w:sz w:val="20"/>
                <w:szCs w:val="20"/>
                <w:color w:val="auto"/>
              </w:rPr>
            </w:pPr>
            <w:r>
              <w:rPr>
                <w:rFonts w:ascii="Arial" w:cs="Arial" w:eastAsia="Arial" w:hAnsi="Arial"/>
                <w:sz w:val="18"/>
                <w:szCs w:val="18"/>
                <w:color w:val="auto"/>
                <w:w w:val="96"/>
              </w:rPr>
              <w:t>≤ 3.5%</w:t>
            </w:r>
          </w:p>
        </w:tc>
      </w:tr>
      <w:tr>
        <w:trPr>
          <w:trHeight w:val="223"/>
        </w:trPr>
        <w:tc>
          <w:tcPr>
            <w:tcW w:w="220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Target</w:t>
            </w:r>
          </w:p>
        </w:tc>
        <w:tc>
          <w:tcPr>
            <w:tcW w:w="180" w:type="dxa"/>
            <w:vAlign w:val="bottom"/>
          </w:tcPr>
          <w:p>
            <w:pPr>
              <w:spacing w:after="0"/>
              <w:rPr>
                <w:sz w:val="19"/>
                <w:szCs w:val="19"/>
                <w:color w:val="auto"/>
              </w:rPr>
            </w:pPr>
          </w:p>
        </w:tc>
        <w:tc>
          <w:tcPr>
            <w:tcW w:w="3320" w:type="dxa"/>
            <w:vAlign w:val="bottom"/>
            <w:tcBorders>
              <w:bottom w:val="single" w:sz="8" w:color="8797B7"/>
            </w:tcBorders>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5380" w:type="dxa"/>
            <w:vAlign w:val="bottom"/>
            <w:tcBorders>
              <w:bottom w:val="single" w:sz="8" w:color="8797B7"/>
            </w:tcBorders>
          </w:tcPr>
          <w:p>
            <w:pPr>
              <w:jc w:val="center"/>
              <w:spacing w:after="0"/>
              <w:rPr>
                <w:sz w:val="20"/>
                <w:szCs w:val="20"/>
                <w:color w:val="auto"/>
              </w:rPr>
            </w:pPr>
            <w:r>
              <w:rPr>
                <w:rFonts w:ascii="Arial" w:cs="Arial" w:eastAsia="Arial" w:hAnsi="Arial"/>
                <w:sz w:val="18"/>
                <w:szCs w:val="18"/>
                <w:color w:val="auto"/>
                <w:w w:val="97"/>
              </w:rPr>
              <w:t>5.5%</w:t>
            </w:r>
          </w:p>
        </w:tc>
      </w:tr>
      <w:tr>
        <w:trPr>
          <w:trHeight w:val="231"/>
        </w:trPr>
        <w:tc>
          <w:tcPr>
            <w:tcW w:w="2200" w:type="dxa"/>
            <w:vAlign w:val="bottom"/>
            <w:tcBorders>
              <w:bottom w:val="single" w:sz="8" w:color="355889"/>
            </w:tcBorders>
          </w:tcPr>
          <w:p>
            <w:pPr>
              <w:spacing w:after="0"/>
              <w:rPr>
                <w:sz w:val="20"/>
                <w:szCs w:val="20"/>
                <w:color w:val="auto"/>
              </w:rPr>
            </w:pPr>
            <w:r>
              <w:rPr>
                <w:rFonts w:ascii="Arial" w:cs="Arial" w:eastAsia="Arial" w:hAnsi="Arial"/>
                <w:sz w:val="18"/>
                <w:szCs w:val="18"/>
                <w:color w:val="auto"/>
              </w:rPr>
              <w:t>Maximum</w:t>
            </w:r>
          </w:p>
        </w:tc>
        <w:tc>
          <w:tcPr>
            <w:tcW w:w="180" w:type="dxa"/>
            <w:vAlign w:val="bottom"/>
          </w:tcPr>
          <w:p>
            <w:pPr>
              <w:spacing w:after="0"/>
              <w:rPr>
                <w:sz w:val="20"/>
                <w:szCs w:val="20"/>
                <w:color w:val="auto"/>
              </w:rPr>
            </w:pPr>
          </w:p>
        </w:tc>
        <w:tc>
          <w:tcPr>
            <w:tcW w:w="332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7"/>
              </w:rPr>
              <w:t>+12.5%</w:t>
            </w:r>
          </w:p>
        </w:tc>
        <w:tc>
          <w:tcPr>
            <w:tcW w:w="160" w:type="dxa"/>
            <w:vAlign w:val="bottom"/>
          </w:tcPr>
          <w:p>
            <w:pPr>
              <w:spacing w:after="0"/>
              <w:rPr>
                <w:sz w:val="20"/>
                <w:szCs w:val="20"/>
                <w:color w:val="auto"/>
              </w:rPr>
            </w:pPr>
          </w:p>
        </w:tc>
        <w:tc>
          <w:tcPr>
            <w:tcW w:w="5380" w:type="dxa"/>
            <w:vAlign w:val="bottom"/>
            <w:tcBorders>
              <w:bottom w:val="single" w:sz="8" w:color="355889"/>
            </w:tcBorders>
          </w:tcPr>
          <w:p>
            <w:pPr>
              <w:jc w:val="center"/>
              <w:spacing w:after="0"/>
              <w:rPr>
                <w:sz w:val="20"/>
                <w:szCs w:val="20"/>
                <w:color w:val="auto"/>
              </w:rPr>
            </w:pPr>
            <w:r>
              <w:rPr>
                <w:rFonts w:ascii="Arial" w:cs="Arial" w:eastAsia="Arial" w:hAnsi="Arial"/>
                <w:sz w:val="18"/>
                <w:szCs w:val="18"/>
                <w:color w:val="auto"/>
                <w:w w:val="96"/>
              </w:rPr>
              <w:t>≥ 7.5%</w:t>
            </w:r>
          </w:p>
        </w:tc>
      </w:tr>
    </w:tbl>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EXECUTIVE COMPENSATION</w:t>
      </w:r>
    </w:p>
    <w:p>
      <w:pPr>
        <w:spacing w:after="0" w:line="21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designing our 2019 performance-based equity awards, we carefully selected performance criteria across not just a range of financial and corporate goals but also a range of performance periods that, taken together, aim to account for the complexities of operating our business over both the short-term and the long-term. Striking the right balance requires that we establish performance goals that incentivize our executive officers to strive for excellence no matter the time horizon. We aim to accomplish this objective by rationally linking the sum of the component parts of our compensation structure - not just to the way our executive officers think about our business but also to the way that our shareholders think about value, thereby aligning interests of executives with those of long-term stockholders. The alignment of the payouts with outcomes for our stockholders is underscored by the fact that the Company’s TSR as of March 31, 2020 is below the threshold performance level for the equity awards based on three-year relative TSR and, therefore, could result in no payout to executives. Further, the three-year absolute TSR modifier would result in a negative adjustment of 12.5% had the performance period ended on March 31, 2020.</w:t>
      </w:r>
    </w:p>
    <w:p>
      <w:pPr>
        <w:spacing w:after="0" w:line="21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table below indicates equity award grants made under our 2019 annual performance-based equity award program. For Messrs. Holliday and Mathias, the grants were made in accordance with the terms of the employment agreements that were in effect with each executive during 2019. The awards made to Messrs. DiLiberto and Levine were discretionary based on the Committee’s assessment of each executive’s historical compensation, skill, experience and position, competitive market factors and other factors as were determined appropriate by the Committee.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40" w:type="dxa"/>
            <w:vAlign w:val="bottom"/>
            <w:gridSpan w:val="8"/>
          </w:tcPr>
          <w:p>
            <w:pPr>
              <w:jc w:val="right"/>
              <w:ind w:right="380"/>
              <w:spacing w:after="0"/>
              <w:rPr>
                <w:sz w:val="20"/>
                <w:szCs w:val="20"/>
                <w:color w:val="auto"/>
              </w:rPr>
            </w:pPr>
            <w:r>
              <w:rPr>
                <w:rFonts w:ascii="Arial" w:cs="Arial" w:eastAsia="Arial" w:hAnsi="Arial"/>
                <w:sz w:val="13"/>
                <w:szCs w:val="13"/>
                <w:b w:val="1"/>
                <w:bCs w:val="1"/>
                <w:color w:val="355889"/>
              </w:rPr>
              <w:t>Annual Performance-based LTIP Units</w:t>
            </w:r>
          </w:p>
        </w:tc>
        <w:tc>
          <w:tcPr>
            <w:tcW w:w="640" w:type="dxa"/>
            <w:vAlign w:val="bottom"/>
          </w:tcPr>
          <w:p>
            <w:pPr>
              <w:spacing w:after="0"/>
              <w:rPr>
                <w:sz w:val="15"/>
                <w:szCs w:val="15"/>
                <w:color w:val="auto"/>
              </w:rPr>
            </w:pPr>
          </w:p>
        </w:tc>
      </w:tr>
      <w:tr>
        <w:trPr>
          <w:trHeight w:val="48"/>
        </w:trPr>
        <w:tc>
          <w:tcPr>
            <w:tcW w:w="6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320" w:type="dxa"/>
            <w:vAlign w:val="bottom"/>
            <w:tcBorders>
              <w:bottom w:val="single" w:sz="8" w:color="355889"/>
            </w:tcBorders>
            <w:gridSpan w:val="6"/>
          </w:tcPr>
          <w:p>
            <w:pPr>
              <w:spacing w:after="0"/>
              <w:rPr>
                <w:sz w:val="4"/>
                <w:szCs w:val="4"/>
                <w:color w:val="auto"/>
              </w:rPr>
            </w:pPr>
          </w:p>
        </w:tc>
        <w:tc>
          <w:tcPr>
            <w:tcW w:w="2180" w:type="dxa"/>
            <w:vAlign w:val="bottom"/>
            <w:tcBorders>
              <w:bottom w:val="single" w:sz="8" w:color="355889"/>
            </w:tcBorders>
            <w:gridSpan w:val="5"/>
          </w:tcPr>
          <w:p>
            <w:pPr>
              <w:spacing w:after="0"/>
              <w:rPr>
                <w:sz w:val="4"/>
                <w:szCs w:val="4"/>
                <w:color w:val="auto"/>
              </w:rPr>
            </w:pPr>
          </w:p>
        </w:tc>
      </w:tr>
      <w:tr>
        <w:trPr>
          <w:trHeight w:val="202"/>
        </w:trPr>
        <w:tc>
          <w:tcPr>
            <w:tcW w:w="6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6"/>
          </w:tcPr>
          <w:p>
            <w:pPr>
              <w:ind w:left="520"/>
              <w:spacing w:after="0"/>
              <w:rPr>
                <w:sz w:val="20"/>
                <w:szCs w:val="20"/>
                <w:color w:val="auto"/>
              </w:rPr>
            </w:pPr>
            <w:r>
              <w:rPr>
                <w:rFonts w:ascii="Arial" w:cs="Arial" w:eastAsia="Arial" w:hAnsi="Arial"/>
                <w:sz w:val="13"/>
                <w:szCs w:val="13"/>
                <w:b w:val="1"/>
                <w:bCs w:val="1"/>
                <w:color w:val="355889"/>
              </w:rPr>
              <w:t>Operational Units</w:t>
            </w:r>
          </w:p>
        </w:tc>
        <w:tc>
          <w:tcPr>
            <w:tcW w:w="2180" w:type="dxa"/>
            <w:vAlign w:val="bottom"/>
            <w:gridSpan w:val="5"/>
          </w:tcPr>
          <w:p>
            <w:pPr>
              <w:jc w:val="right"/>
              <w:ind w:right="396"/>
              <w:spacing w:after="0"/>
              <w:rPr>
                <w:sz w:val="20"/>
                <w:szCs w:val="20"/>
                <w:color w:val="auto"/>
              </w:rPr>
            </w:pPr>
            <w:r>
              <w:rPr>
                <w:rFonts w:ascii="Arial" w:cs="Arial" w:eastAsia="Arial" w:hAnsi="Arial"/>
                <w:sz w:val="13"/>
                <w:szCs w:val="13"/>
                <w:b w:val="1"/>
                <w:bCs w:val="1"/>
                <w:color w:val="355889"/>
              </w:rPr>
              <w:t>Relative TSR Units</w:t>
            </w:r>
          </w:p>
        </w:tc>
      </w:tr>
      <w:tr>
        <w:trPr>
          <w:trHeight w:val="48"/>
        </w:trPr>
        <w:tc>
          <w:tcPr>
            <w:tcW w:w="6740" w:type="dxa"/>
            <w:vAlign w:val="bottom"/>
            <w:gridSpan w:val="2"/>
          </w:tcPr>
          <w:p>
            <w:pPr>
              <w:spacing w:after="0"/>
              <w:rPr>
                <w:sz w:val="4"/>
                <w:szCs w:val="4"/>
                <w:color w:val="auto"/>
              </w:rPr>
            </w:pPr>
          </w:p>
        </w:tc>
        <w:tc>
          <w:tcPr>
            <w:tcW w:w="820" w:type="dxa"/>
            <w:vAlign w:val="bottom"/>
            <w:tcBorders>
              <w:bottom w:val="single" w:sz="8" w:color="355889"/>
            </w:tcBorders>
            <w:gridSpan w:val="2"/>
          </w:tcPr>
          <w:p>
            <w:pPr>
              <w:spacing w:after="0"/>
              <w:rPr>
                <w:sz w:val="4"/>
                <w:szCs w:val="4"/>
                <w:color w:val="auto"/>
              </w:rPr>
            </w:pPr>
          </w:p>
        </w:tc>
        <w:tc>
          <w:tcPr>
            <w:tcW w:w="700" w:type="dxa"/>
            <w:vAlign w:val="bottom"/>
            <w:tcBorders>
              <w:bottom w:val="single" w:sz="8" w:color="355889"/>
            </w:tcBorders>
            <w:gridSpan w:val="2"/>
          </w:tcPr>
          <w:p>
            <w:pPr>
              <w:spacing w:after="0"/>
              <w:rPr>
                <w:sz w:val="4"/>
                <w:szCs w:val="4"/>
                <w:color w:val="auto"/>
              </w:rPr>
            </w:pPr>
          </w:p>
        </w:tc>
        <w:tc>
          <w:tcPr>
            <w:tcW w:w="640" w:type="dxa"/>
            <w:vAlign w:val="bottom"/>
            <w:tcBorders>
              <w:bottom w:val="single" w:sz="8" w:color="355889"/>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bottom w:val="single" w:sz="8" w:color="355889"/>
            </w:tcBorders>
            <w:gridSpan w:val="2"/>
          </w:tcPr>
          <w:p>
            <w:pPr>
              <w:spacing w:after="0"/>
              <w:rPr>
                <w:sz w:val="4"/>
                <w:szCs w:val="4"/>
                <w:color w:val="auto"/>
              </w:rPr>
            </w:pPr>
          </w:p>
        </w:tc>
        <w:tc>
          <w:tcPr>
            <w:tcW w:w="720" w:type="dxa"/>
            <w:vAlign w:val="bottom"/>
            <w:tcBorders>
              <w:bottom w:val="single" w:sz="8" w:color="355889"/>
            </w:tcBorders>
            <w:gridSpan w:val="2"/>
          </w:tcPr>
          <w:p>
            <w:pPr>
              <w:spacing w:after="0"/>
              <w:rPr>
                <w:sz w:val="4"/>
                <w:szCs w:val="4"/>
                <w:color w:val="auto"/>
              </w:rPr>
            </w:pPr>
          </w:p>
        </w:tc>
        <w:tc>
          <w:tcPr>
            <w:tcW w:w="640" w:type="dxa"/>
            <w:vAlign w:val="bottom"/>
            <w:tcBorders>
              <w:bottom w:val="single" w:sz="8" w:color="355889"/>
            </w:tcBorders>
          </w:tcPr>
          <w:p>
            <w:pPr>
              <w:spacing w:after="0"/>
              <w:rPr>
                <w:sz w:val="4"/>
                <w:szCs w:val="4"/>
                <w:color w:val="auto"/>
              </w:rPr>
            </w:pPr>
          </w:p>
        </w:tc>
      </w:tr>
      <w:tr>
        <w:trPr>
          <w:trHeight w:val="202"/>
        </w:trPr>
        <w:tc>
          <w:tcPr>
            <w:tcW w:w="6740" w:type="dxa"/>
            <w:vAlign w:val="bottom"/>
            <w:gridSpan w:val="2"/>
          </w:tcPr>
          <w:p>
            <w:pPr>
              <w:spacing w:after="0"/>
              <w:rPr>
                <w:sz w:val="20"/>
                <w:szCs w:val="20"/>
                <w:color w:val="auto"/>
              </w:rPr>
            </w:pPr>
            <w:r>
              <w:rPr>
                <w:rFonts w:ascii="Arial" w:cs="Arial" w:eastAsia="Arial" w:hAnsi="Arial"/>
                <w:sz w:val="13"/>
                <w:szCs w:val="13"/>
                <w:b w:val="1"/>
                <w:bCs w:val="1"/>
                <w:color w:val="auto"/>
              </w:rPr>
              <w:t>Executive</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355889"/>
              </w:rPr>
              <w:t>Threshold</w:t>
            </w:r>
          </w:p>
        </w:tc>
        <w:tc>
          <w:tcPr>
            <w:tcW w:w="700" w:type="dxa"/>
            <w:vAlign w:val="bottom"/>
            <w:gridSpan w:val="2"/>
          </w:tcPr>
          <w:p>
            <w:pPr>
              <w:ind w:left="140"/>
              <w:spacing w:after="0"/>
              <w:rPr>
                <w:sz w:val="20"/>
                <w:szCs w:val="20"/>
                <w:color w:val="auto"/>
              </w:rPr>
            </w:pPr>
            <w:r>
              <w:rPr>
                <w:rFonts w:ascii="Arial" w:cs="Arial" w:eastAsia="Arial" w:hAnsi="Arial"/>
                <w:sz w:val="13"/>
                <w:szCs w:val="13"/>
                <w:b w:val="1"/>
                <w:bCs w:val="1"/>
                <w:color w:val="355889"/>
              </w:rPr>
              <w:t>Target</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355889"/>
              </w:rPr>
              <w:t>Maximum</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Threshold</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Target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355889"/>
              </w:rPr>
              <w:t>Maximum</w:t>
            </w:r>
          </w:p>
        </w:tc>
      </w:tr>
      <w:tr>
        <w:trPr>
          <w:trHeight w:val="48"/>
        </w:trPr>
        <w:tc>
          <w:tcPr>
            <w:tcW w:w="6560" w:type="dxa"/>
            <w:vAlign w:val="bottom"/>
            <w:tcBorders>
              <w:bottom w:val="single" w:sz="8" w:color="355889"/>
            </w:tcBorders>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Borders>
              <w:bottom w:val="single" w:sz="8" w:color="355889"/>
            </w:tcBorders>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bottom w:val="single" w:sz="8" w:color="355889"/>
            </w:tcBorders>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bottom w:val="single" w:sz="8" w:color="355889"/>
            </w:tcBorders>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Borders>
              <w:bottom w:val="single" w:sz="8" w:color="355889"/>
            </w:tcBorders>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bottom w:val="single" w:sz="8" w:color="355889"/>
            </w:tcBorders>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bottom w:val="single" w:sz="8" w:color="355889"/>
            </w:tcBorders>
          </w:tcPr>
          <w:p>
            <w:pPr>
              <w:spacing w:after="0"/>
              <w:rPr>
                <w:sz w:val="4"/>
                <w:szCs w:val="4"/>
                <w:color w:val="auto"/>
              </w:rPr>
            </w:pPr>
          </w:p>
        </w:tc>
      </w:tr>
      <w:tr>
        <w:trPr>
          <w:trHeight w:val="235"/>
        </w:trPr>
        <w:tc>
          <w:tcPr>
            <w:tcW w:w="6560" w:type="dxa"/>
            <w:vAlign w:val="bottom"/>
          </w:tcPr>
          <w:p>
            <w:pPr>
              <w:spacing w:after="0"/>
              <w:rPr>
                <w:sz w:val="20"/>
                <w:szCs w:val="20"/>
                <w:color w:val="auto"/>
              </w:rPr>
            </w:pPr>
            <w:r>
              <w:rPr>
                <w:rFonts w:ascii="Arial" w:cs="Arial" w:eastAsia="Arial" w:hAnsi="Arial"/>
                <w:sz w:val="18"/>
                <w:szCs w:val="18"/>
                <w:color w:val="auto"/>
              </w:rPr>
              <w:t>Marc Holliday</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20,163</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46,087</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103,696</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23,044</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46,087</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103,696</w:t>
            </w:r>
          </w:p>
        </w:tc>
      </w:tr>
      <w:tr>
        <w:trPr>
          <w:trHeight w:val="21"/>
        </w:trPr>
        <w:tc>
          <w:tcPr>
            <w:tcW w:w="6560" w:type="dxa"/>
            <w:vAlign w:val="bottom"/>
            <w:shd w:val="clear" w:color="auto" w:fill="8797B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8797B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r>
      <w:tr>
        <w:trPr>
          <w:trHeight w:val="235"/>
        </w:trPr>
        <w:tc>
          <w:tcPr>
            <w:tcW w:w="6560" w:type="dxa"/>
            <w:vAlign w:val="bottom"/>
          </w:tcPr>
          <w:p>
            <w:pPr>
              <w:spacing w:after="0"/>
              <w:rPr>
                <w:sz w:val="20"/>
                <w:szCs w:val="20"/>
                <w:color w:val="auto"/>
              </w:rPr>
            </w:pPr>
            <w:r>
              <w:rPr>
                <w:rFonts w:ascii="Arial" w:cs="Arial" w:eastAsia="Arial" w:hAnsi="Arial"/>
                <w:sz w:val="18"/>
                <w:szCs w:val="18"/>
                <w:color w:val="auto"/>
              </w:rPr>
              <w:t>Andrew Mathias</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16,131</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36,870</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82,956</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18,435</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36,870</w:t>
            </w:r>
          </w:p>
        </w:tc>
        <w:tc>
          <w:tcPr>
            <w:tcW w:w="640" w:type="dxa"/>
            <w:vAlign w:val="bottom"/>
          </w:tcPr>
          <w:p>
            <w:pPr>
              <w:jc w:val="right"/>
              <w:spacing w:after="0"/>
              <w:rPr>
                <w:sz w:val="20"/>
                <w:szCs w:val="20"/>
                <w:color w:val="auto"/>
              </w:rPr>
            </w:pPr>
            <w:r>
              <w:rPr>
                <w:rFonts w:ascii="Arial" w:cs="Arial" w:eastAsia="Arial" w:hAnsi="Arial"/>
                <w:sz w:val="18"/>
                <w:szCs w:val="18"/>
                <w:color w:val="auto"/>
              </w:rPr>
              <w:t>82,956</w:t>
            </w:r>
          </w:p>
        </w:tc>
      </w:tr>
      <w:tr>
        <w:trPr>
          <w:trHeight w:val="21"/>
        </w:trPr>
        <w:tc>
          <w:tcPr>
            <w:tcW w:w="6560" w:type="dxa"/>
            <w:vAlign w:val="bottom"/>
            <w:shd w:val="clear" w:color="auto" w:fill="8797B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8797B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r>
      <w:tr>
        <w:trPr>
          <w:trHeight w:val="235"/>
        </w:trPr>
        <w:tc>
          <w:tcPr>
            <w:tcW w:w="6560" w:type="dxa"/>
            <w:vAlign w:val="bottom"/>
          </w:tcPr>
          <w:p>
            <w:pPr>
              <w:spacing w:after="0"/>
              <w:rPr>
                <w:sz w:val="20"/>
                <w:szCs w:val="20"/>
                <w:color w:val="auto"/>
              </w:rPr>
            </w:pPr>
            <w:r>
              <w:rPr>
                <w:rFonts w:ascii="Arial" w:cs="Arial" w:eastAsia="Arial" w:hAnsi="Arial"/>
                <w:sz w:val="18"/>
                <w:szCs w:val="18"/>
                <w:color w:val="auto"/>
              </w:rPr>
              <w:t>Matthew J. DiLiberto</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3,414</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7,681</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1,707</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3,414</w:t>
            </w:r>
          </w:p>
        </w:tc>
        <w:tc>
          <w:tcPr>
            <w:tcW w:w="640" w:type="dxa"/>
            <w:vAlign w:val="bottom"/>
          </w:tcPr>
          <w:p>
            <w:pPr>
              <w:jc w:val="right"/>
              <w:spacing w:after="0"/>
              <w:rPr>
                <w:sz w:val="20"/>
                <w:szCs w:val="20"/>
                <w:color w:val="auto"/>
              </w:rPr>
            </w:pPr>
            <w:r>
              <w:rPr>
                <w:rFonts w:ascii="Arial" w:cs="Arial" w:eastAsia="Arial" w:hAnsi="Arial"/>
                <w:sz w:val="18"/>
                <w:szCs w:val="18"/>
                <w:color w:val="auto"/>
              </w:rPr>
              <w:t>7,681</w:t>
            </w:r>
          </w:p>
        </w:tc>
      </w:tr>
      <w:tr>
        <w:trPr>
          <w:trHeight w:val="21"/>
        </w:trPr>
        <w:tc>
          <w:tcPr>
            <w:tcW w:w="6560" w:type="dxa"/>
            <w:vAlign w:val="bottom"/>
            <w:shd w:val="clear" w:color="auto" w:fill="8797B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8797B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r>
      <w:tr>
        <w:trPr>
          <w:trHeight w:val="235"/>
        </w:trPr>
        <w:tc>
          <w:tcPr>
            <w:tcW w:w="6560" w:type="dxa"/>
            <w:vAlign w:val="bottom"/>
          </w:tcPr>
          <w:p>
            <w:pPr>
              <w:spacing w:after="0"/>
              <w:rPr>
                <w:sz w:val="20"/>
                <w:szCs w:val="20"/>
                <w:color w:val="auto"/>
              </w:rPr>
            </w:pPr>
            <w:r>
              <w:rPr>
                <w:rFonts w:ascii="Arial" w:cs="Arial" w:eastAsia="Arial" w:hAnsi="Arial"/>
                <w:sz w:val="18"/>
                <w:szCs w:val="18"/>
                <w:color w:val="auto"/>
              </w:rPr>
              <w:t>Andrew S. Levine</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3,414</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7,681</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1,707</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3,414</w:t>
            </w:r>
          </w:p>
        </w:tc>
        <w:tc>
          <w:tcPr>
            <w:tcW w:w="640" w:type="dxa"/>
            <w:vAlign w:val="bottom"/>
          </w:tcPr>
          <w:p>
            <w:pPr>
              <w:jc w:val="right"/>
              <w:spacing w:after="0"/>
              <w:rPr>
                <w:sz w:val="20"/>
                <w:szCs w:val="20"/>
                <w:color w:val="auto"/>
              </w:rPr>
            </w:pPr>
            <w:r>
              <w:rPr>
                <w:rFonts w:ascii="Arial" w:cs="Arial" w:eastAsia="Arial" w:hAnsi="Arial"/>
                <w:sz w:val="18"/>
                <w:szCs w:val="18"/>
                <w:color w:val="auto"/>
              </w:rPr>
              <w:t>7,681</w:t>
            </w:r>
          </w:p>
        </w:tc>
      </w:tr>
      <w:tr>
        <w:trPr>
          <w:trHeight w:val="35"/>
        </w:trPr>
        <w:tc>
          <w:tcPr>
            <w:tcW w:w="6560" w:type="dxa"/>
            <w:vAlign w:val="bottom"/>
            <w:shd w:val="clear" w:color="auto" w:fill="355889"/>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shd w:val="clear" w:color="auto" w:fill="355889"/>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shd w:val="clear" w:color="auto" w:fill="355889"/>
          </w:tcPr>
          <w:p>
            <w:pPr>
              <w:spacing w:after="0"/>
              <w:rPr>
                <w:sz w:val="3"/>
                <w:szCs w:val="3"/>
                <w:color w:val="auto"/>
              </w:rPr>
            </w:pPr>
          </w:p>
        </w:tc>
      </w:tr>
    </w:tbl>
    <w:p>
      <w:pPr>
        <w:spacing w:after="0" w:line="219" w:lineRule="exact"/>
        <w:rPr>
          <w:sz w:val="20"/>
          <w:szCs w:val="20"/>
          <w:color w:val="auto"/>
        </w:rPr>
      </w:pPr>
    </w:p>
    <w:p>
      <w:pPr>
        <w:jc w:val="both"/>
        <w:ind w:right="600"/>
        <w:spacing w:after="0" w:line="238" w:lineRule="auto"/>
        <w:rPr>
          <w:sz w:val="20"/>
          <w:szCs w:val="20"/>
          <w:color w:val="auto"/>
        </w:rPr>
      </w:pPr>
      <w:r>
        <w:rPr>
          <w:rFonts w:ascii="Arial" w:cs="Arial" w:eastAsia="Arial" w:hAnsi="Arial"/>
          <w:sz w:val="18"/>
          <w:szCs w:val="18"/>
          <w:color w:val="auto"/>
        </w:rPr>
        <w:t>The one-year performance period for the operational portion of the 2019 annual performance-based equity award program concluded on December 31, 2019. In January 2020, the Committee determined that each of our named executive officers earned 150.1% based on our performance relative to each goal, as set forth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Threshold</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Target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Maximum</w:t>
            </w:r>
          </w:p>
        </w:tc>
        <w:tc>
          <w:tcPr>
            <w:tcW w:w="920" w:type="dxa"/>
            <w:vAlign w:val="bottom"/>
          </w:tcPr>
          <w:p>
            <w:pPr>
              <w:jc w:val="right"/>
              <w:ind w:right="19"/>
              <w:spacing w:after="0"/>
              <w:rPr>
                <w:sz w:val="20"/>
                <w:szCs w:val="20"/>
                <w:color w:val="auto"/>
              </w:rPr>
            </w:pPr>
            <w:r>
              <w:rPr>
                <w:rFonts w:ascii="Arial" w:cs="Arial" w:eastAsia="Arial" w:hAnsi="Arial"/>
                <w:sz w:val="13"/>
                <w:szCs w:val="13"/>
                <w:b w:val="1"/>
                <w:bCs w:val="1"/>
                <w:color w:val="355889"/>
              </w:rPr>
              <w:t>Actual</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355889"/>
              </w:rPr>
              <w:t>Percentage</w:t>
            </w:r>
          </w:p>
        </w:tc>
      </w:tr>
      <w:tr>
        <w:trPr>
          <w:trHeight w:val="199"/>
        </w:trPr>
        <w:tc>
          <w:tcPr>
            <w:tcW w:w="5740" w:type="dxa"/>
            <w:vAlign w:val="bottom"/>
          </w:tcPr>
          <w:p>
            <w:pPr>
              <w:spacing w:after="0"/>
              <w:rPr>
                <w:sz w:val="20"/>
                <w:szCs w:val="20"/>
                <w:color w:val="auto"/>
              </w:rPr>
            </w:pPr>
            <w:r>
              <w:rPr>
                <w:rFonts w:ascii="Arial" w:cs="Arial" w:eastAsia="Arial" w:hAnsi="Arial"/>
                <w:sz w:val="13"/>
                <w:szCs w:val="13"/>
                <w:b w:val="1"/>
                <w:bCs w:val="1"/>
                <w:color w:val="auto"/>
              </w:rPr>
              <w:t>2019 Goal</w:t>
            </w: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355889"/>
                <w:w w:val="96"/>
              </w:rPr>
              <w:t>Weight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355889"/>
              </w:rPr>
              <w:t>Performance</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355889"/>
              </w:rPr>
              <w:t>Performance</w:t>
            </w: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Performance</w:t>
            </w:r>
          </w:p>
        </w:tc>
        <w:tc>
          <w:tcPr>
            <w:tcW w:w="920" w:type="dxa"/>
            <w:vAlign w:val="bottom"/>
          </w:tcPr>
          <w:p>
            <w:pPr>
              <w:jc w:val="right"/>
              <w:ind w:right="19"/>
              <w:spacing w:after="0"/>
              <w:rPr>
                <w:sz w:val="20"/>
                <w:szCs w:val="20"/>
                <w:color w:val="auto"/>
              </w:rPr>
            </w:pPr>
            <w:r>
              <w:rPr>
                <w:rFonts w:ascii="Arial" w:cs="Arial" w:eastAsia="Arial" w:hAnsi="Arial"/>
                <w:sz w:val="13"/>
                <w:szCs w:val="13"/>
                <w:b w:val="1"/>
                <w:bCs w:val="1"/>
                <w:color w:val="355889"/>
              </w:rPr>
              <w:t>Performance</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355889"/>
              </w:rPr>
              <w:t>Earned</w:t>
            </w:r>
          </w:p>
        </w:tc>
      </w:tr>
      <w:tr>
        <w:trPr>
          <w:trHeight w:val="228"/>
        </w:trPr>
        <w:tc>
          <w:tcPr>
            <w:tcW w:w="5740" w:type="dxa"/>
            <w:vAlign w:val="bottom"/>
            <w:tcBorders>
              <w:top w:val="single" w:sz="8" w:color="355889"/>
            </w:tcBorders>
          </w:tcPr>
          <w:p>
            <w:pPr>
              <w:spacing w:after="0"/>
              <w:rPr>
                <w:sz w:val="20"/>
                <w:szCs w:val="20"/>
                <w:color w:val="auto"/>
              </w:rPr>
            </w:pPr>
            <w:r>
              <w:rPr>
                <w:rFonts w:ascii="Arial" w:cs="Arial" w:eastAsia="Arial" w:hAnsi="Arial"/>
                <w:sz w:val="18"/>
                <w:szCs w:val="18"/>
                <w:color w:val="auto"/>
              </w:rPr>
              <w:t>Funds Available</w:t>
            </w:r>
          </w:p>
        </w:tc>
        <w:tc>
          <w:tcPr>
            <w:tcW w:w="160" w:type="dxa"/>
            <w:vAlign w:val="bottom"/>
          </w:tcPr>
          <w:p>
            <w:pPr>
              <w:spacing w:after="0"/>
              <w:rPr>
                <w:sz w:val="19"/>
                <w:szCs w:val="19"/>
                <w:color w:val="auto"/>
              </w:rPr>
            </w:pPr>
          </w:p>
        </w:tc>
        <w:tc>
          <w:tcPr>
            <w:tcW w:w="460" w:type="dxa"/>
            <w:vAlign w:val="bottom"/>
            <w:tcBorders>
              <w:top w:val="single" w:sz="8" w:color="355889"/>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355889"/>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355889"/>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355889"/>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top w:val="single" w:sz="8" w:color="355889"/>
            </w:tcBorders>
          </w:tcPr>
          <w:p>
            <w:pPr>
              <w:spacing w:after="0"/>
              <w:rPr>
                <w:sz w:val="19"/>
                <w:szCs w:val="19"/>
                <w:color w:val="auto"/>
              </w:rPr>
            </w:pPr>
          </w:p>
        </w:tc>
        <w:tc>
          <w:tcPr>
            <w:tcW w:w="800" w:type="dxa"/>
            <w:vAlign w:val="bottom"/>
            <w:tcBorders>
              <w:top w:val="single" w:sz="8" w:color="355889"/>
            </w:tcBorders>
          </w:tcPr>
          <w:p>
            <w:pPr>
              <w:spacing w:after="0"/>
              <w:rPr>
                <w:sz w:val="19"/>
                <w:szCs w:val="19"/>
                <w:color w:val="auto"/>
              </w:rPr>
            </w:pPr>
          </w:p>
        </w:tc>
      </w:tr>
      <w:tr>
        <w:trPr>
          <w:trHeight w:val="251"/>
        </w:trPr>
        <w:tc>
          <w:tcPr>
            <w:tcW w:w="5740" w:type="dxa"/>
            <w:vAlign w:val="bottom"/>
          </w:tcPr>
          <w:p>
            <w:pPr>
              <w:spacing w:after="0"/>
              <w:rPr>
                <w:sz w:val="20"/>
                <w:szCs w:val="20"/>
                <w:color w:val="auto"/>
              </w:rPr>
            </w:pPr>
            <w:r>
              <w:rPr>
                <w:rFonts w:ascii="Arial" w:cs="Arial" w:eastAsia="Arial" w:hAnsi="Arial"/>
                <w:sz w:val="18"/>
                <w:szCs w:val="18"/>
                <w:color w:val="auto"/>
              </w:rPr>
              <w:t>for Distribution</w:t>
            </w: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$385M</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$400M</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≥$415M</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$407M</w:t>
            </w:r>
          </w:p>
        </w:tc>
        <w:tc>
          <w:tcPr>
            <w:tcW w:w="80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1"/>
        </w:trPr>
        <w:tc>
          <w:tcPr>
            <w:tcW w:w="57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8797B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8797B7"/>
          </w:tcPr>
          <w:p>
            <w:pPr>
              <w:spacing w:after="0" w:line="20" w:lineRule="exact"/>
              <w:rPr>
                <w:sz w:val="1"/>
                <w:szCs w:val="1"/>
                <w:color w:val="auto"/>
              </w:rPr>
            </w:pPr>
          </w:p>
        </w:tc>
        <w:tc>
          <w:tcPr>
            <w:tcW w:w="800" w:type="dxa"/>
            <w:vAlign w:val="bottom"/>
            <w:shd w:val="clear" w:color="auto" w:fill="8797B7"/>
          </w:tcPr>
          <w:p>
            <w:pPr>
              <w:spacing w:after="0" w:line="20" w:lineRule="exact"/>
              <w:rPr>
                <w:sz w:val="1"/>
                <w:szCs w:val="1"/>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8"/>
                <w:szCs w:val="18"/>
                <w:color w:val="auto"/>
              </w:rPr>
              <w:t>Debt / EBITDA Ratio</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7.50x</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7.25x</w:t>
            </w: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≤7.00x</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7.38x</w:t>
            </w:r>
          </w:p>
        </w:tc>
        <w:tc>
          <w:tcPr>
            <w:tcW w:w="8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28"/>
        </w:trPr>
        <w:tc>
          <w:tcPr>
            <w:tcW w:w="5740" w:type="dxa"/>
            <w:vAlign w:val="bottom"/>
            <w:tcBorders>
              <w:top w:val="single" w:sz="8" w:color="8797B7"/>
            </w:tcBorders>
          </w:tcPr>
          <w:p>
            <w:pPr>
              <w:spacing w:after="0"/>
              <w:rPr>
                <w:sz w:val="20"/>
                <w:szCs w:val="20"/>
                <w:color w:val="auto"/>
              </w:rPr>
            </w:pPr>
            <w:r>
              <w:rPr>
                <w:rFonts w:ascii="Arial" w:cs="Arial" w:eastAsia="Arial" w:hAnsi="Arial"/>
                <w:sz w:val="18"/>
                <w:szCs w:val="18"/>
                <w:color w:val="auto"/>
              </w:rPr>
              <w:t>Manhattan Office Same-</w:t>
            </w:r>
          </w:p>
        </w:tc>
        <w:tc>
          <w:tcPr>
            <w:tcW w:w="160" w:type="dxa"/>
            <w:vAlign w:val="bottom"/>
          </w:tcPr>
          <w:p>
            <w:pPr>
              <w:spacing w:after="0"/>
              <w:rPr>
                <w:sz w:val="19"/>
                <w:szCs w:val="19"/>
                <w:color w:val="auto"/>
              </w:rPr>
            </w:pPr>
          </w:p>
        </w:tc>
        <w:tc>
          <w:tcPr>
            <w:tcW w:w="460" w:type="dxa"/>
            <w:vAlign w:val="bottom"/>
            <w:tcBorders>
              <w:top w:val="single" w:sz="8" w:color="8797B7"/>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8797B7"/>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8797B7"/>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8797B7"/>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top w:val="single" w:sz="8" w:color="8797B7"/>
            </w:tcBorders>
          </w:tcPr>
          <w:p>
            <w:pPr>
              <w:spacing w:after="0"/>
              <w:rPr>
                <w:sz w:val="19"/>
                <w:szCs w:val="19"/>
                <w:color w:val="auto"/>
              </w:rPr>
            </w:pPr>
          </w:p>
        </w:tc>
        <w:tc>
          <w:tcPr>
            <w:tcW w:w="800" w:type="dxa"/>
            <w:vAlign w:val="bottom"/>
            <w:tcBorders>
              <w:top w:val="single" w:sz="8" w:color="8797B7"/>
            </w:tcBorders>
          </w:tcPr>
          <w:p>
            <w:pPr>
              <w:spacing w:after="0"/>
              <w:rPr>
                <w:sz w:val="19"/>
                <w:szCs w:val="19"/>
                <w:color w:val="auto"/>
              </w:rPr>
            </w:pPr>
          </w:p>
        </w:tc>
      </w:tr>
      <w:tr>
        <w:trPr>
          <w:trHeight w:val="252"/>
        </w:trPr>
        <w:tc>
          <w:tcPr>
            <w:tcW w:w="5740" w:type="dxa"/>
            <w:vAlign w:val="bottom"/>
          </w:tcPr>
          <w:p>
            <w:pPr>
              <w:spacing w:after="0"/>
              <w:rPr>
                <w:sz w:val="20"/>
                <w:szCs w:val="20"/>
                <w:color w:val="auto"/>
              </w:rPr>
            </w:pPr>
            <w:r>
              <w:rPr>
                <w:rFonts w:ascii="Arial" w:cs="Arial" w:eastAsia="Arial" w:hAnsi="Arial"/>
                <w:sz w:val="18"/>
                <w:szCs w:val="18"/>
                <w:color w:val="auto"/>
              </w:rPr>
              <w:t>Store Leased Occupancy</w:t>
            </w: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95.75%</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96.00%</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96.25%</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96.20%</w:t>
            </w:r>
          </w:p>
        </w:tc>
        <w:tc>
          <w:tcPr>
            <w:tcW w:w="8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28"/>
        </w:trPr>
        <w:tc>
          <w:tcPr>
            <w:tcW w:w="5740" w:type="dxa"/>
            <w:vAlign w:val="bottom"/>
            <w:tcBorders>
              <w:top w:val="single" w:sz="8" w:color="8797B7"/>
            </w:tcBorders>
          </w:tcPr>
          <w:p>
            <w:pPr>
              <w:spacing w:after="0"/>
              <w:rPr>
                <w:sz w:val="20"/>
                <w:szCs w:val="20"/>
                <w:color w:val="auto"/>
              </w:rPr>
            </w:pPr>
            <w:r>
              <w:rPr>
                <w:rFonts w:ascii="Arial" w:cs="Arial" w:eastAsia="Arial" w:hAnsi="Arial"/>
                <w:sz w:val="18"/>
                <w:szCs w:val="18"/>
                <w:color w:val="auto"/>
              </w:rPr>
              <w:t>Manhattan Office</w:t>
            </w:r>
          </w:p>
        </w:tc>
        <w:tc>
          <w:tcPr>
            <w:tcW w:w="160" w:type="dxa"/>
            <w:vAlign w:val="bottom"/>
          </w:tcPr>
          <w:p>
            <w:pPr>
              <w:spacing w:after="0"/>
              <w:rPr>
                <w:sz w:val="19"/>
                <w:szCs w:val="19"/>
                <w:color w:val="auto"/>
              </w:rPr>
            </w:pPr>
          </w:p>
        </w:tc>
        <w:tc>
          <w:tcPr>
            <w:tcW w:w="460" w:type="dxa"/>
            <w:vAlign w:val="bottom"/>
            <w:tcBorders>
              <w:top w:val="single" w:sz="8" w:color="8797B7"/>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8797B7"/>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8797B7"/>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8797B7"/>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top w:val="single" w:sz="8" w:color="8797B7"/>
            </w:tcBorders>
          </w:tcPr>
          <w:p>
            <w:pPr>
              <w:spacing w:after="0"/>
              <w:rPr>
                <w:sz w:val="19"/>
                <w:szCs w:val="19"/>
                <w:color w:val="auto"/>
              </w:rPr>
            </w:pPr>
          </w:p>
        </w:tc>
        <w:tc>
          <w:tcPr>
            <w:tcW w:w="800" w:type="dxa"/>
            <w:vAlign w:val="bottom"/>
            <w:tcBorders>
              <w:top w:val="single" w:sz="8" w:color="8797B7"/>
            </w:tcBorders>
          </w:tcPr>
          <w:p>
            <w:pPr>
              <w:spacing w:after="0"/>
              <w:rPr>
                <w:sz w:val="19"/>
                <w:szCs w:val="19"/>
                <w:color w:val="auto"/>
              </w:rPr>
            </w:pPr>
          </w:p>
        </w:tc>
      </w:tr>
      <w:tr>
        <w:trPr>
          <w:trHeight w:val="252"/>
        </w:trPr>
        <w:tc>
          <w:tcPr>
            <w:tcW w:w="5900" w:type="dxa"/>
            <w:vAlign w:val="bottom"/>
            <w:gridSpan w:val="2"/>
          </w:tcPr>
          <w:p>
            <w:pPr>
              <w:spacing w:after="0"/>
              <w:rPr>
                <w:sz w:val="20"/>
                <w:szCs w:val="20"/>
                <w:color w:val="auto"/>
              </w:rPr>
            </w:pPr>
            <w:r>
              <w:rPr>
                <w:rFonts w:ascii="Arial" w:cs="Arial" w:eastAsia="Arial" w:hAnsi="Arial"/>
                <w:sz w:val="18"/>
                <w:szCs w:val="18"/>
                <w:color w:val="auto"/>
              </w:rPr>
              <w:t>Leasing Volume</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1.0M sf</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1.2M sf</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1.5M sf</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2.5M sf</w:t>
            </w: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50"/>
        </w:trPr>
        <w:tc>
          <w:tcPr>
            <w:tcW w:w="5740" w:type="dxa"/>
            <w:vAlign w:val="bottom"/>
            <w:tcBorders>
              <w:top w:val="single" w:sz="8" w:color="8797B7"/>
              <w:bottom w:val="single" w:sz="8" w:color="355889"/>
            </w:tcBorders>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Borders>
              <w:top w:val="single" w:sz="8" w:color="8797B7"/>
              <w:bottom w:val="single" w:sz="8" w:color="355889"/>
            </w:tcBorders>
          </w:tcPr>
          <w:p>
            <w:pPr>
              <w:jc w:val="right"/>
              <w:spacing w:after="0"/>
              <w:rPr>
                <w:sz w:val="20"/>
                <w:szCs w:val="20"/>
                <w:color w:val="auto"/>
              </w:rPr>
            </w:pPr>
            <w:r>
              <w:rPr>
                <w:rFonts w:ascii="Arial" w:cs="Arial" w:eastAsia="Arial" w:hAnsi="Arial"/>
                <w:sz w:val="18"/>
                <w:szCs w:val="18"/>
                <w:b w:val="1"/>
                <w:bCs w:val="1"/>
                <w:color w:val="auto"/>
                <w:w w:val="95"/>
              </w:rPr>
              <w:t>100%</w:t>
            </w:r>
          </w:p>
        </w:tc>
        <w:tc>
          <w:tcPr>
            <w:tcW w:w="160" w:type="dxa"/>
            <w:vAlign w:val="bottom"/>
          </w:tcPr>
          <w:p>
            <w:pPr>
              <w:spacing w:after="0"/>
              <w:rPr>
                <w:sz w:val="21"/>
                <w:szCs w:val="21"/>
                <w:color w:val="auto"/>
              </w:rPr>
            </w:pPr>
          </w:p>
        </w:tc>
        <w:tc>
          <w:tcPr>
            <w:tcW w:w="840" w:type="dxa"/>
            <w:vAlign w:val="bottom"/>
            <w:tcBorders>
              <w:top w:val="single" w:sz="8" w:color="8797B7"/>
              <w:bottom w:val="single" w:sz="8" w:color="355889"/>
            </w:tcBorders>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Borders>
              <w:top w:val="single" w:sz="8" w:color="8797B7"/>
              <w:bottom w:val="single" w:sz="8" w:color="355889"/>
            </w:tcBorders>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Borders>
              <w:top w:val="single" w:sz="8" w:color="8797B7"/>
              <w:bottom w:val="single" w:sz="8" w:color="355889"/>
            </w:tcBorders>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Borders>
              <w:top w:val="single" w:sz="8" w:color="8797B7"/>
              <w:bottom w:val="single" w:sz="8" w:color="355889"/>
            </w:tcBorders>
          </w:tcPr>
          <w:p>
            <w:pPr>
              <w:spacing w:after="0"/>
              <w:rPr>
                <w:sz w:val="21"/>
                <w:szCs w:val="21"/>
                <w:color w:val="auto"/>
              </w:rPr>
            </w:pPr>
          </w:p>
        </w:tc>
        <w:tc>
          <w:tcPr>
            <w:tcW w:w="800" w:type="dxa"/>
            <w:vAlign w:val="bottom"/>
            <w:tcBorders>
              <w:top w:val="single" w:sz="8" w:color="8797B7"/>
              <w:bottom w:val="single" w:sz="8" w:color="355889"/>
            </w:tcBorders>
          </w:tcPr>
          <w:p>
            <w:pPr>
              <w:jc w:val="right"/>
              <w:spacing w:after="0"/>
              <w:rPr>
                <w:sz w:val="20"/>
                <w:szCs w:val="20"/>
                <w:color w:val="auto"/>
              </w:rPr>
            </w:pPr>
            <w:r>
              <w:rPr>
                <w:rFonts w:ascii="Arial" w:cs="Arial" w:eastAsia="Arial" w:hAnsi="Arial"/>
                <w:sz w:val="18"/>
                <w:szCs w:val="18"/>
                <w:b w:val="1"/>
                <w:bCs w:val="1"/>
                <w:color w:val="auto"/>
              </w:rPr>
              <w:t>150.1%</w:t>
            </w:r>
          </w:p>
        </w:tc>
      </w:tr>
    </w:tbl>
    <w:p>
      <w:pPr>
        <w:spacing w:after="0" w:line="219"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remaining portion of the operational performance component that could no longer be earned was forfeited. The table below sets forth the number of LTIP units initially earned, the minimum and maximum numbers of LTIP units that may ultimately be earned at the end of the three-year performance period after the application of the absolute TSR modifier, and the status of the earning of these LTIP units based on our absolute TSR performance through December 31, 2019 and March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gridSpan w:val="6"/>
          </w:tcPr>
          <w:p>
            <w:pPr>
              <w:ind w:left="660"/>
              <w:spacing w:after="0"/>
              <w:rPr>
                <w:sz w:val="20"/>
                <w:szCs w:val="20"/>
                <w:color w:val="auto"/>
              </w:rPr>
            </w:pPr>
            <w:r>
              <w:rPr>
                <w:rFonts w:ascii="Arial" w:cs="Arial" w:eastAsia="Arial" w:hAnsi="Arial"/>
                <w:sz w:val="13"/>
                <w:szCs w:val="13"/>
                <w:b w:val="1"/>
                <w:bCs w:val="1"/>
                <w:color w:val="355889"/>
              </w:rPr>
              <w:t>Earned 2019 Operational Units</w:t>
            </w:r>
          </w:p>
        </w:tc>
        <w:tc>
          <w:tcPr>
            <w:tcW w:w="2640" w:type="dxa"/>
            <w:vAlign w:val="bottom"/>
            <w:gridSpan w:val="3"/>
          </w:tcPr>
          <w:p>
            <w:pPr>
              <w:jc w:val="right"/>
              <w:ind w:right="179"/>
              <w:spacing w:after="0"/>
              <w:rPr>
                <w:sz w:val="20"/>
                <w:szCs w:val="20"/>
                <w:color w:val="auto"/>
              </w:rPr>
            </w:pPr>
            <w:r>
              <w:rPr>
                <w:rFonts w:ascii="Arial" w:cs="Arial" w:eastAsia="Arial" w:hAnsi="Arial"/>
                <w:sz w:val="13"/>
                <w:szCs w:val="13"/>
                <w:b w:val="1"/>
                <w:bCs w:val="1"/>
                <w:color w:val="355889"/>
              </w:rPr>
              <w:t>Projected 2019 Operational Units</w:t>
            </w:r>
          </w:p>
        </w:tc>
      </w:tr>
      <w:tr>
        <w:trPr>
          <w:trHeight w:val="48"/>
        </w:trPr>
        <w:tc>
          <w:tcPr>
            <w:tcW w:w="5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Borders>
              <w:bottom w:val="single" w:sz="8" w:color="355889"/>
            </w:tcBorders>
            <w:gridSpan w:val="2"/>
          </w:tcPr>
          <w:p>
            <w:pPr>
              <w:spacing w:after="0"/>
              <w:rPr>
                <w:sz w:val="4"/>
                <w:szCs w:val="4"/>
                <w:color w:val="auto"/>
              </w:rPr>
            </w:pPr>
          </w:p>
        </w:tc>
        <w:tc>
          <w:tcPr>
            <w:tcW w:w="980" w:type="dxa"/>
            <w:vAlign w:val="bottom"/>
            <w:tcBorders>
              <w:bottom w:val="single" w:sz="8" w:color="355889"/>
            </w:tcBorders>
          </w:tcPr>
          <w:p>
            <w:pPr>
              <w:spacing w:after="0"/>
              <w:rPr>
                <w:sz w:val="4"/>
                <w:szCs w:val="4"/>
                <w:color w:val="auto"/>
              </w:rPr>
            </w:pPr>
          </w:p>
        </w:tc>
        <w:tc>
          <w:tcPr>
            <w:tcW w:w="160" w:type="dxa"/>
            <w:vAlign w:val="bottom"/>
            <w:tcBorders>
              <w:bottom w:val="single" w:sz="8" w:color="355889"/>
            </w:tcBorders>
          </w:tcPr>
          <w:p>
            <w:pPr>
              <w:spacing w:after="0"/>
              <w:rPr>
                <w:sz w:val="4"/>
                <w:szCs w:val="4"/>
                <w:color w:val="auto"/>
              </w:rPr>
            </w:pPr>
          </w:p>
        </w:tc>
        <w:tc>
          <w:tcPr>
            <w:tcW w:w="1000" w:type="dxa"/>
            <w:vAlign w:val="bottom"/>
            <w:tcBorders>
              <w:bottom w:val="single" w:sz="8" w:color="355889"/>
            </w:tcBorders>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Borders>
              <w:bottom w:val="single" w:sz="8" w:color="355889"/>
            </w:tcBorders>
            <w:gridSpan w:val="2"/>
          </w:tcPr>
          <w:p>
            <w:pPr>
              <w:spacing w:after="0"/>
              <w:rPr>
                <w:sz w:val="4"/>
                <w:szCs w:val="4"/>
                <w:color w:val="auto"/>
              </w:rPr>
            </w:pPr>
          </w:p>
        </w:tc>
        <w:tc>
          <w:tcPr>
            <w:tcW w:w="980" w:type="dxa"/>
            <w:vAlign w:val="bottom"/>
            <w:tcBorders>
              <w:bottom w:val="single" w:sz="8" w:color="355889"/>
            </w:tcBorders>
          </w:tcPr>
          <w:p>
            <w:pPr>
              <w:spacing w:after="0"/>
              <w:rPr>
                <w:sz w:val="4"/>
                <w:szCs w:val="4"/>
                <w:color w:val="auto"/>
              </w:rPr>
            </w:pPr>
          </w:p>
        </w:tc>
      </w:tr>
      <w:tr>
        <w:trPr>
          <w:trHeight w:val="159"/>
        </w:trPr>
        <w:tc>
          <w:tcPr>
            <w:tcW w:w="5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Minimum (after</w:t>
            </w: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Maximum (after</w:t>
            </w:r>
          </w:p>
        </w:tc>
        <w:tc>
          <w:tcPr>
            <w:tcW w:w="166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355889"/>
              </w:rPr>
              <w:t>Projected as of</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355889"/>
              </w:rPr>
              <w:t>Projected as of</w:t>
            </w:r>
          </w:p>
        </w:tc>
      </w:tr>
      <w:tr>
        <w:trPr>
          <w:trHeight w:val="185"/>
        </w:trPr>
        <w:tc>
          <w:tcPr>
            <w:tcW w:w="5000" w:type="dxa"/>
            <w:vAlign w:val="bottom"/>
          </w:tcPr>
          <w:p>
            <w:pPr>
              <w:spacing w:after="0"/>
              <w:rPr>
                <w:sz w:val="20"/>
                <w:szCs w:val="20"/>
                <w:color w:val="auto"/>
              </w:rPr>
            </w:pPr>
            <w:r>
              <w:rPr>
                <w:rFonts w:ascii="Arial" w:cs="Arial" w:eastAsia="Arial" w:hAnsi="Arial"/>
                <w:sz w:val="13"/>
                <w:szCs w:val="13"/>
                <w:b w:val="1"/>
                <w:bCs w:val="1"/>
                <w:color w:val="auto"/>
              </w:rPr>
              <w:t>Executive</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355889"/>
              </w:rPr>
              <w:t>TSR modifier)</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355889"/>
              </w:rPr>
              <w:t>Initially Earned</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355889"/>
              </w:rPr>
              <w:t>TSR modifier)</w:t>
            </w:r>
          </w:p>
        </w:tc>
        <w:tc>
          <w:tcPr>
            <w:tcW w:w="160" w:type="dxa"/>
            <w:vAlign w:val="bottom"/>
          </w:tcPr>
          <w:p>
            <w:pPr>
              <w:spacing w:after="0"/>
              <w:rPr>
                <w:sz w:val="16"/>
                <w:szCs w:val="16"/>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355889"/>
              </w:rPr>
              <w:t>12/31/2019</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355889"/>
              </w:rPr>
              <w:t>3/31/2020</w:t>
            </w:r>
          </w:p>
        </w:tc>
      </w:tr>
      <w:tr>
        <w:trPr>
          <w:trHeight w:val="34"/>
        </w:trPr>
        <w:tc>
          <w:tcPr>
            <w:tcW w:w="500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355889"/>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shd w:val="clear" w:color="auto" w:fill="355889"/>
          </w:tcPr>
          <w:p>
            <w:pPr>
              <w:spacing w:after="0"/>
              <w:rPr>
                <w:sz w:val="2"/>
                <w:szCs w:val="2"/>
                <w:color w:val="auto"/>
              </w:rPr>
            </w:pPr>
          </w:p>
        </w:tc>
      </w:tr>
      <w:tr>
        <w:trPr>
          <w:trHeight w:val="235"/>
        </w:trPr>
        <w:tc>
          <w:tcPr>
            <w:tcW w:w="500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60,530</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69,177</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77,824</w:t>
            </w:r>
          </w:p>
        </w:tc>
        <w:tc>
          <w:tcPr>
            <w:tcW w:w="160" w:type="dxa"/>
            <w:vAlign w:val="bottom"/>
          </w:tcPr>
          <w:p>
            <w:pPr>
              <w:spacing w:after="0"/>
              <w:rPr>
                <w:sz w:val="20"/>
                <w:szCs w:val="20"/>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77,824</w:t>
            </w:r>
          </w:p>
        </w:tc>
        <w:tc>
          <w:tcPr>
            <w:tcW w:w="980" w:type="dxa"/>
            <w:vAlign w:val="bottom"/>
          </w:tcPr>
          <w:p>
            <w:pPr>
              <w:jc w:val="right"/>
              <w:spacing w:after="0"/>
              <w:rPr>
                <w:sz w:val="20"/>
                <w:szCs w:val="20"/>
                <w:color w:val="auto"/>
              </w:rPr>
            </w:pPr>
            <w:r>
              <w:rPr>
                <w:rFonts w:ascii="Arial" w:cs="Arial" w:eastAsia="Arial" w:hAnsi="Arial"/>
                <w:sz w:val="18"/>
                <w:szCs w:val="18"/>
                <w:color w:val="auto"/>
              </w:rPr>
              <w:t>60,530</w:t>
            </w:r>
          </w:p>
        </w:tc>
      </w:tr>
      <w:tr>
        <w:trPr>
          <w:trHeight w:val="21"/>
        </w:trPr>
        <w:tc>
          <w:tcPr>
            <w:tcW w:w="50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8797B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shd w:val="clear" w:color="auto" w:fill="8797B7"/>
          </w:tcPr>
          <w:p>
            <w:pPr>
              <w:spacing w:after="0" w:line="20" w:lineRule="exact"/>
              <w:rPr>
                <w:sz w:val="1"/>
                <w:szCs w:val="1"/>
                <w:color w:val="auto"/>
              </w:rPr>
            </w:pPr>
          </w:p>
        </w:tc>
      </w:tr>
      <w:tr>
        <w:trPr>
          <w:trHeight w:val="235"/>
        </w:trPr>
        <w:tc>
          <w:tcPr>
            <w:tcW w:w="500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48,423</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55,341</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62,259</w:t>
            </w:r>
          </w:p>
        </w:tc>
        <w:tc>
          <w:tcPr>
            <w:tcW w:w="160" w:type="dxa"/>
            <w:vAlign w:val="bottom"/>
          </w:tcPr>
          <w:p>
            <w:pPr>
              <w:spacing w:after="0"/>
              <w:rPr>
                <w:sz w:val="20"/>
                <w:szCs w:val="20"/>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62,259</w:t>
            </w:r>
          </w:p>
        </w:tc>
        <w:tc>
          <w:tcPr>
            <w:tcW w:w="980" w:type="dxa"/>
            <w:vAlign w:val="bottom"/>
          </w:tcPr>
          <w:p>
            <w:pPr>
              <w:jc w:val="right"/>
              <w:spacing w:after="0"/>
              <w:rPr>
                <w:sz w:val="20"/>
                <w:szCs w:val="20"/>
                <w:color w:val="auto"/>
              </w:rPr>
            </w:pPr>
            <w:r>
              <w:rPr>
                <w:rFonts w:ascii="Arial" w:cs="Arial" w:eastAsia="Arial" w:hAnsi="Arial"/>
                <w:sz w:val="18"/>
                <w:szCs w:val="18"/>
                <w:color w:val="auto"/>
              </w:rPr>
              <w:t>48,423</w:t>
            </w:r>
          </w:p>
        </w:tc>
      </w:tr>
      <w:tr>
        <w:trPr>
          <w:trHeight w:val="21"/>
        </w:trPr>
        <w:tc>
          <w:tcPr>
            <w:tcW w:w="50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8797B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shd w:val="clear" w:color="auto" w:fill="8797B7"/>
          </w:tcPr>
          <w:p>
            <w:pPr>
              <w:spacing w:after="0" w:line="20" w:lineRule="exact"/>
              <w:rPr>
                <w:sz w:val="1"/>
                <w:szCs w:val="1"/>
                <w:color w:val="auto"/>
              </w:rPr>
            </w:pPr>
          </w:p>
        </w:tc>
      </w:tr>
      <w:tr>
        <w:trPr>
          <w:trHeight w:val="235"/>
        </w:trPr>
        <w:tc>
          <w:tcPr>
            <w:tcW w:w="5000" w:type="dxa"/>
            <w:vAlign w:val="bottom"/>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4,484</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5,124</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5,765</w:t>
            </w:r>
          </w:p>
        </w:tc>
        <w:tc>
          <w:tcPr>
            <w:tcW w:w="160" w:type="dxa"/>
            <w:vAlign w:val="bottom"/>
          </w:tcPr>
          <w:p>
            <w:pPr>
              <w:spacing w:after="0"/>
              <w:rPr>
                <w:sz w:val="20"/>
                <w:szCs w:val="20"/>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5,765</w:t>
            </w:r>
          </w:p>
        </w:tc>
        <w:tc>
          <w:tcPr>
            <w:tcW w:w="980" w:type="dxa"/>
            <w:vAlign w:val="bottom"/>
          </w:tcPr>
          <w:p>
            <w:pPr>
              <w:jc w:val="right"/>
              <w:spacing w:after="0"/>
              <w:rPr>
                <w:sz w:val="20"/>
                <w:szCs w:val="20"/>
                <w:color w:val="auto"/>
              </w:rPr>
            </w:pPr>
            <w:r>
              <w:rPr>
                <w:rFonts w:ascii="Arial" w:cs="Arial" w:eastAsia="Arial" w:hAnsi="Arial"/>
                <w:sz w:val="18"/>
                <w:szCs w:val="18"/>
                <w:color w:val="auto"/>
              </w:rPr>
              <w:t>4,484</w:t>
            </w:r>
          </w:p>
        </w:tc>
      </w:tr>
      <w:tr>
        <w:trPr>
          <w:trHeight w:val="21"/>
        </w:trPr>
        <w:tc>
          <w:tcPr>
            <w:tcW w:w="50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8797B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shd w:val="clear" w:color="auto" w:fill="8797B7"/>
          </w:tcPr>
          <w:p>
            <w:pPr>
              <w:spacing w:after="0" w:line="20" w:lineRule="exact"/>
              <w:rPr>
                <w:sz w:val="1"/>
                <w:szCs w:val="1"/>
                <w:color w:val="auto"/>
              </w:rPr>
            </w:pPr>
          </w:p>
        </w:tc>
      </w:tr>
      <w:tr>
        <w:trPr>
          <w:trHeight w:val="235"/>
        </w:trPr>
        <w:tc>
          <w:tcPr>
            <w:tcW w:w="5000" w:type="dxa"/>
            <w:vAlign w:val="bottom"/>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4,484</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5,124</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5,765</w:t>
            </w:r>
          </w:p>
        </w:tc>
        <w:tc>
          <w:tcPr>
            <w:tcW w:w="160" w:type="dxa"/>
            <w:vAlign w:val="bottom"/>
          </w:tcPr>
          <w:p>
            <w:pPr>
              <w:spacing w:after="0"/>
              <w:rPr>
                <w:sz w:val="20"/>
                <w:szCs w:val="20"/>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5,765</w:t>
            </w:r>
          </w:p>
        </w:tc>
        <w:tc>
          <w:tcPr>
            <w:tcW w:w="980" w:type="dxa"/>
            <w:vAlign w:val="bottom"/>
          </w:tcPr>
          <w:p>
            <w:pPr>
              <w:jc w:val="right"/>
              <w:spacing w:after="0"/>
              <w:rPr>
                <w:sz w:val="20"/>
                <w:szCs w:val="20"/>
                <w:color w:val="auto"/>
              </w:rPr>
            </w:pPr>
            <w:r>
              <w:rPr>
                <w:rFonts w:ascii="Arial" w:cs="Arial" w:eastAsia="Arial" w:hAnsi="Arial"/>
                <w:sz w:val="18"/>
                <w:szCs w:val="18"/>
                <w:color w:val="auto"/>
              </w:rPr>
              <w:t>4,484</w:t>
            </w:r>
          </w:p>
        </w:tc>
      </w:tr>
      <w:tr>
        <w:trPr>
          <w:trHeight w:val="35"/>
        </w:trPr>
        <w:tc>
          <w:tcPr>
            <w:tcW w:w="500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shd w:val="clear" w:color="auto" w:fill="355889"/>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shd w:val="clear" w:color="auto" w:fill="355889"/>
          </w:tcPr>
          <w:p>
            <w:pPr>
              <w:spacing w:after="0"/>
              <w:rPr>
                <w:sz w:val="3"/>
                <w:szCs w:val="3"/>
                <w:color w:val="auto"/>
              </w:rPr>
            </w:pPr>
          </w:p>
        </w:tc>
      </w:tr>
    </w:tbl>
    <w:p>
      <w:pPr>
        <w:spacing w:after="0" w:line="219" w:lineRule="exact"/>
        <w:rPr>
          <w:sz w:val="20"/>
          <w:szCs w:val="20"/>
          <w:color w:val="auto"/>
        </w:rPr>
      </w:pPr>
    </w:p>
    <w:p>
      <w:pPr>
        <w:ind w:left="300" w:hanging="292"/>
        <w:spacing w:after="0"/>
        <w:tabs>
          <w:tab w:leader="none" w:pos="300" w:val="left"/>
        </w:tabs>
        <w:numPr>
          <w:ilvl w:val="0"/>
          <w:numId w:val="82"/>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780"/>
        <w:spacing w:after="0"/>
        <w:rPr>
          <w:sz w:val="20"/>
          <w:szCs w:val="20"/>
          <w:color w:val="auto"/>
        </w:rPr>
      </w:pPr>
      <w:r>
        <w:rPr>
          <w:rFonts w:ascii="Arial" w:cs="Arial" w:eastAsia="Arial" w:hAnsi="Arial"/>
          <w:sz w:val="16"/>
          <w:szCs w:val="16"/>
          <w:u w:val="single" w:color="auto"/>
          <w:color w:val="355889"/>
        </w:rPr>
        <w:t>EXECUTIVE COMPENSATION</w:t>
      </w:r>
    </w:p>
    <w:p>
      <w:pPr>
        <w:spacing w:after="0" w:line="235"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As of December 31, 2019 and March 31, 2020, based on our performance through each such date, each of our named executive officers would have forfeited all of the portion of the 2019 annual performance-based equity award subject to vesting based on our relative TSR performance, as set forth in the table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355889"/>
              </w:rPr>
              <w:t>Issued 2019 Relative TSR Units</w:t>
            </w:r>
          </w:p>
        </w:tc>
        <w:tc>
          <w:tcPr>
            <w:tcW w:w="2680" w:type="dxa"/>
            <w:vAlign w:val="bottom"/>
            <w:gridSpan w:val="3"/>
          </w:tcPr>
          <w:p>
            <w:pPr>
              <w:jc w:val="right"/>
              <w:ind w:right="159"/>
              <w:spacing w:after="0"/>
              <w:rPr>
                <w:sz w:val="20"/>
                <w:szCs w:val="20"/>
                <w:color w:val="auto"/>
              </w:rPr>
            </w:pPr>
            <w:r>
              <w:rPr>
                <w:rFonts w:ascii="Arial" w:cs="Arial" w:eastAsia="Arial" w:hAnsi="Arial"/>
                <w:sz w:val="13"/>
                <w:szCs w:val="13"/>
                <w:b w:val="1"/>
                <w:bCs w:val="1"/>
                <w:color w:val="355889"/>
              </w:rPr>
              <w:t>Projected 2019 Relative TSR Units</w:t>
            </w:r>
          </w:p>
        </w:tc>
      </w:tr>
      <w:tr>
        <w:trPr>
          <w:trHeight w:val="48"/>
        </w:trPr>
        <w:tc>
          <w:tcPr>
            <w:tcW w:w="6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Borders>
              <w:bottom w:val="single" w:sz="8" w:color="355889"/>
            </w:tcBorders>
          </w:tcPr>
          <w:p>
            <w:pPr>
              <w:spacing w:after="0"/>
              <w:rPr>
                <w:sz w:val="4"/>
                <w:szCs w:val="4"/>
                <w:color w:val="auto"/>
              </w:rPr>
            </w:pPr>
          </w:p>
        </w:tc>
        <w:tc>
          <w:tcPr>
            <w:tcW w:w="160" w:type="dxa"/>
            <w:vAlign w:val="bottom"/>
            <w:tcBorders>
              <w:bottom w:val="single" w:sz="8" w:color="355889"/>
            </w:tcBorders>
          </w:tcPr>
          <w:p>
            <w:pPr>
              <w:spacing w:after="0"/>
              <w:rPr>
                <w:sz w:val="4"/>
                <w:szCs w:val="4"/>
                <w:color w:val="auto"/>
              </w:rPr>
            </w:pPr>
          </w:p>
        </w:tc>
        <w:tc>
          <w:tcPr>
            <w:tcW w:w="540" w:type="dxa"/>
            <w:vAlign w:val="bottom"/>
            <w:tcBorders>
              <w:bottom w:val="single" w:sz="8" w:color="355889"/>
            </w:tcBorders>
          </w:tcPr>
          <w:p>
            <w:pPr>
              <w:spacing w:after="0"/>
              <w:rPr>
                <w:sz w:val="4"/>
                <w:szCs w:val="4"/>
                <w:color w:val="auto"/>
              </w:rPr>
            </w:pPr>
          </w:p>
        </w:tc>
        <w:tc>
          <w:tcPr>
            <w:tcW w:w="160" w:type="dxa"/>
            <w:vAlign w:val="bottom"/>
            <w:tcBorders>
              <w:bottom w:val="single" w:sz="8" w:color="355889"/>
            </w:tcBorders>
          </w:tcPr>
          <w:p>
            <w:pPr>
              <w:spacing w:after="0"/>
              <w:rPr>
                <w:sz w:val="4"/>
                <w:szCs w:val="4"/>
                <w:color w:val="auto"/>
              </w:rPr>
            </w:pPr>
          </w:p>
        </w:tc>
        <w:tc>
          <w:tcPr>
            <w:tcW w:w="640" w:type="dxa"/>
            <w:vAlign w:val="bottom"/>
            <w:tcBorders>
              <w:bottom w:val="single" w:sz="8" w:color="355889"/>
            </w:tcBorders>
          </w:tcPr>
          <w:p>
            <w:pPr>
              <w:spacing w:after="0"/>
              <w:rPr>
                <w:sz w:val="4"/>
                <w:szCs w:val="4"/>
                <w:color w:val="auto"/>
              </w:rPr>
            </w:pPr>
          </w:p>
        </w:tc>
        <w:tc>
          <w:tcPr>
            <w:tcW w:w="160" w:type="dxa"/>
            <w:vAlign w:val="bottom"/>
          </w:tcPr>
          <w:p>
            <w:pPr>
              <w:spacing w:after="0"/>
              <w:rPr>
                <w:sz w:val="4"/>
                <w:szCs w:val="4"/>
                <w:color w:val="auto"/>
              </w:rPr>
            </w:pPr>
          </w:p>
        </w:tc>
        <w:tc>
          <w:tcPr>
            <w:tcW w:w="1700" w:type="dxa"/>
            <w:vAlign w:val="bottom"/>
            <w:tcBorders>
              <w:bottom w:val="single" w:sz="8" w:color="355889"/>
            </w:tcBorders>
            <w:gridSpan w:val="2"/>
          </w:tcPr>
          <w:p>
            <w:pPr>
              <w:spacing w:after="0"/>
              <w:rPr>
                <w:sz w:val="4"/>
                <w:szCs w:val="4"/>
                <w:color w:val="auto"/>
              </w:rPr>
            </w:pPr>
          </w:p>
        </w:tc>
        <w:tc>
          <w:tcPr>
            <w:tcW w:w="980" w:type="dxa"/>
            <w:vAlign w:val="bottom"/>
            <w:tcBorders>
              <w:bottom w:val="single" w:sz="8" w:color="355889"/>
            </w:tcBorders>
          </w:tcPr>
          <w:p>
            <w:pPr>
              <w:spacing w:after="0"/>
              <w:rPr>
                <w:sz w:val="4"/>
                <w:szCs w:val="4"/>
                <w:color w:val="auto"/>
              </w:rPr>
            </w:pPr>
          </w:p>
        </w:tc>
      </w:tr>
      <w:tr>
        <w:trPr>
          <w:trHeight w:val="159"/>
        </w:trPr>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ind w:left="20"/>
              <w:spacing w:after="0"/>
              <w:rPr>
                <w:sz w:val="20"/>
                <w:szCs w:val="20"/>
                <w:color w:val="auto"/>
              </w:rPr>
            </w:pPr>
            <w:r>
              <w:rPr>
                <w:rFonts w:ascii="Arial" w:cs="Arial" w:eastAsia="Arial" w:hAnsi="Arial"/>
                <w:sz w:val="13"/>
                <w:szCs w:val="13"/>
                <w:b w:val="1"/>
                <w:bCs w:val="1"/>
                <w:color w:val="355889"/>
              </w:rPr>
              <w:t>Projected as of</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355889"/>
              </w:rPr>
              <w:t>Projected as of</w:t>
            </w:r>
          </w:p>
        </w:tc>
      </w:tr>
      <w:tr>
        <w:trPr>
          <w:trHeight w:val="185"/>
        </w:trPr>
        <w:tc>
          <w:tcPr>
            <w:tcW w:w="6060" w:type="dxa"/>
            <w:vAlign w:val="bottom"/>
          </w:tcPr>
          <w:p>
            <w:pPr>
              <w:spacing w:after="0"/>
              <w:rPr>
                <w:sz w:val="20"/>
                <w:szCs w:val="20"/>
                <w:color w:val="auto"/>
              </w:rPr>
            </w:pPr>
            <w:r>
              <w:rPr>
                <w:rFonts w:ascii="Arial" w:cs="Arial" w:eastAsia="Arial" w:hAnsi="Arial"/>
                <w:sz w:val="13"/>
                <w:szCs w:val="13"/>
                <w:b w:val="1"/>
                <w:bCs w:val="1"/>
                <w:color w:val="auto"/>
              </w:rPr>
              <w:t>Executive</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355889"/>
              </w:rPr>
              <w:t>Threshold</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355889"/>
              </w:rPr>
              <w:t>Target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Maximum</w:t>
            </w:r>
          </w:p>
        </w:tc>
        <w:tc>
          <w:tcPr>
            <w:tcW w:w="170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355889"/>
              </w:rPr>
              <w:t>12/31/2019</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355889"/>
              </w:rPr>
              <w:t>3/31/2020</w:t>
            </w:r>
          </w:p>
        </w:tc>
      </w:tr>
      <w:tr>
        <w:trPr>
          <w:trHeight w:val="34"/>
        </w:trPr>
        <w:tc>
          <w:tcPr>
            <w:tcW w:w="6060" w:type="dxa"/>
            <w:vAlign w:val="bottom"/>
            <w:shd w:val="clear" w:color="auto" w:fill="355889"/>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355889"/>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shd w:val="clear" w:color="auto" w:fill="355889"/>
          </w:tcPr>
          <w:p>
            <w:pPr>
              <w:spacing w:after="0"/>
              <w:rPr>
                <w:sz w:val="2"/>
                <w:szCs w:val="2"/>
                <w:color w:val="auto"/>
              </w:rPr>
            </w:pPr>
          </w:p>
        </w:tc>
      </w:tr>
      <w:tr>
        <w:trPr>
          <w:trHeight w:val="235"/>
        </w:trPr>
        <w:tc>
          <w:tcPr>
            <w:tcW w:w="6060" w:type="dxa"/>
            <w:vAlign w:val="bottom"/>
          </w:tcPr>
          <w:p>
            <w:pPr>
              <w:spacing w:after="0"/>
              <w:rPr>
                <w:sz w:val="20"/>
                <w:szCs w:val="20"/>
                <w:color w:val="auto"/>
              </w:rPr>
            </w:pPr>
            <w:r>
              <w:rPr>
                <w:rFonts w:ascii="Arial" w:cs="Arial" w:eastAsia="Arial" w:hAnsi="Arial"/>
                <w:sz w:val="18"/>
                <w:szCs w:val="18"/>
                <w:color w:val="auto"/>
              </w:rPr>
              <w:t>Marc Holliday</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23,044</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46,087</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103,696</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0</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
        </w:trPr>
        <w:tc>
          <w:tcPr>
            <w:tcW w:w="6060" w:type="dxa"/>
            <w:vAlign w:val="bottom"/>
            <w:shd w:val="clear" w:color="auto" w:fill="8797B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8797B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shd w:val="clear" w:color="auto" w:fill="8797B7"/>
          </w:tcPr>
          <w:p>
            <w:pPr>
              <w:spacing w:after="0" w:line="20" w:lineRule="exact"/>
              <w:rPr>
                <w:sz w:val="1"/>
                <w:szCs w:val="1"/>
                <w:color w:val="auto"/>
              </w:rPr>
            </w:pPr>
          </w:p>
        </w:tc>
      </w:tr>
      <w:tr>
        <w:trPr>
          <w:trHeight w:val="235"/>
        </w:trPr>
        <w:tc>
          <w:tcPr>
            <w:tcW w:w="6060" w:type="dxa"/>
            <w:vAlign w:val="bottom"/>
          </w:tcPr>
          <w:p>
            <w:pPr>
              <w:spacing w:after="0"/>
              <w:rPr>
                <w:sz w:val="20"/>
                <w:szCs w:val="20"/>
                <w:color w:val="auto"/>
              </w:rPr>
            </w:pPr>
            <w:r>
              <w:rPr>
                <w:rFonts w:ascii="Arial" w:cs="Arial" w:eastAsia="Arial" w:hAnsi="Arial"/>
                <w:sz w:val="18"/>
                <w:szCs w:val="18"/>
                <w:color w:val="auto"/>
              </w:rPr>
              <w:t>Andrew Mathias</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18,435</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36,870</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82,956</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0</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
        </w:trPr>
        <w:tc>
          <w:tcPr>
            <w:tcW w:w="6060" w:type="dxa"/>
            <w:vAlign w:val="bottom"/>
            <w:shd w:val="clear" w:color="auto" w:fill="8797B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8797B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shd w:val="clear" w:color="auto" w:fill="8797B7"/>
          </w:tcPr>
          <w:p>
            <w:pPr>
              <w:spacing w:after="0" w:line="20" w:lineRule="exact"/>
              <w:rPr>
                <w:sz w:val="1"/>
                <w:szCs w:val="1"/>
                <w:color w:val="auto"/>
              </w:rPr>
            </w:pPr>
          </w:p>
        </w:tc>
      </w:tr>
      <w:tr>
        <w:trPr>
          <w:trHeight w:val="235"/>
        </w:trPr>
        <w:tc>
          <w:tcPr>
            <w:tcW w:w="6060" w:type="dxa"/>
            <w:vAlign w:val="bottom"/>
          </w:tcPr>
          <w:p>
            <w:pPr>
              <w:spacing w:after="0"/>
              <w:rPr>
                <w:sz w:val="20"/>
                <w:szCs w:val="20"/>
                <w:color w:val="auto"/>
              </w:rPr>
            </w:pPr>
            <w:r>
              <w:rPr>
                <w:rFonts w:ascii="Arial" w:cs="Arial" w:eastAsia="Arial" w:hAnsi="Arial"/>
                <w:sz w:val="18"/>
                <w:szCs w:val="18"/>
                <w:color w:val="auto"/>
              </w:rPr>
              <w:t>Matthew J. DiLiberto</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1,707</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3,414</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7,681</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0</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
        </w:trPr>
        <w:tc>
          <w:tcPr>
            <w:tcW w:w="6060" w:type="dxa"/>
            <w:vAlign w:val="bottom"/>
            <w:shd w:val="clear" w:color="auto" w:fill="8797B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8797B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shd w:val="clear" w:color="auto" w:fill="8797B7"/>
          </w:tcPr>
          <w:p>
            <w:pPr>
              <w:spacing w:after="0" w:line="20" w:lineRule="exact"/>
              <w:rPr>
                <w:sz w:val="1"/>
                <w:szCs w:val="1"/>
                <w:color w:val="auto"/>
              </w:rPr>
            </w:pPr>
          </w:p>
        </w:tc>
      </w:tr>
      <w:tr>
        <w:trPr>
          <w:trHeight w:val="235"/>
        </w:trPr>
        <w:tc>
          <w:tcPr>
            <w:tcW w:w="6060" w:type="dxa"/>
            <w:vAlign w:val="bottom"/>
          </w:tcPr>
          <w:p>
            <w:pPr>
              <w:spacing w:after="0"/>
              <w:rPr>
                <w:sz w:val="20"/>
                <w:szCs w:val="20"/>
                <w:color w:val="auto"/>
              </w:rPr>
            </w:pPr>
            <w:r>
              <w:rPr>
                <w:rFonts w:ascii="Arial" w:cs="Arial" w:eastAsia="Arial" w:hAnsi="Arial"/>
                <w:sz w:val="18"/>
                <w:szCs w:val="18"/>
                <w:color w:val="auto"/>
              </w:rPr>
              <w:t>Andrew S. Levine</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1,707</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3,414</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7,681</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0</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5"/>
        </w:trPr>
        <w:tc>
          <w:tcPr>
            <w:tcW w:w="6060" w:type="dxa"/>
            <w:vAlign w:val="bottom"/>
            <w:shd w:val="clear" w:color="auto" w:fill="355889"/>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shd w:val="clear" w:color="auto" w:fill="355889"/>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shd w:val="clear" w:color="auto" w:fill="355889"/>
          </w:tcPr>
          <w:p>
            <w:pPr>
              <w:spacing w:after="0"/>
              <w:rPr>
                <w:sz w:val="3"/>
                <w:szCs w:val="3"/>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Legacy 2016 Employment Agreement Award</w:t>
      </w:r>
    </w:p>
    <w:p>
      <w:pPr>
        <w:spacing w:after="0" w:line="235"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In addition to performance-based equity awards granted to our named executive officers for 2019, Mr. Holliday also received the final grant of LTIP units pursuant to his prior 2016 employment agreement. This grant of LTIP units was subject to the achievement of performance-based vesting hurdles, with 50-100% of the LTIP units vesting based on the achievement of either annual FFO growth or TSR of 5-8% per year or TSR in the top 50-35% of the MSCI US REIT Index, respectively, during 2018 (or on a cumulative basis from 2016 through the end of 2018). None of these LTIP units would have vested if threshold performance had not been achieved. Vesting was also subject to Mr. Holliday’s continued employment through January 17, 2018. Performance-based vesting was achieved at 100% based on performance through the end of 2018.</w:t>
      </w:r>
    </w:p>
    <w:p>
      <w:pPr>
        <w:spacing w:after="0" w:line="18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As outlined in “—2020 Represents Complete Transition Away From Legacy Compensation,” above, this award type has been eliminated under our redesigned executive compensation program announced in 2018. The award, which is subject to a restriction on transfer until the earlier of two years after vesting, termination of employment or a change in control, was earned based on our cumulative 2016, 2017 and 2018 performance and issued in January 2019, as set forth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552069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20690" cy="1714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5206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20690" cy="171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2019 Time-Based Equity Awards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355889"/>
        </w:rPr>
        <w:t>Performance-based LTIP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15087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08760" cy="1714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355889"/>
              </w:rPr>
              <w:t># of Units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355889"/>
              </w:rPr>
              <w:t>Grant Value</w:t>
            </w:r>
          </w:p>
        </w:tc>
      </w:tr>
      <w:tr>
        <w:trPr>
          <w:trHeight w:val="48"/>
        </w:trPr>
        <w:tc>
          <w:tcPr>
            <w:tcW w:w="620" w:type="dxa"/>
            <w:vAlign w:val="bottom"/>
            <w:tcBorders>
              <w:bottom w:val="single" w:sz="8" w:color="355889"/>
            </w:tcBorders>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Borders>
              <w:bottom w:val="single" w:sz="8" w:color="355889"/>
            </w:tcBorders>
          </w:tcPr>
          <w:p>
            <w:pPr>
              <w:spacing w:after="0"/>
              <w:rPr>
                <w:sz w:val="4"/>
                <w:szCs w:val="4"/>
                <w:color w:val="auto"/>
              </w:rPr>
            </w:pPr>
          </w:p>
        </w:tc>
        <w:tc>
          <w:tcPr>
            <w:tcW w:w="980" w:type="dxa"/>
            <w:vAlign w:val="bottom"/>
            <w:tcBorders>
              <w:bottom w:val="single" w:sz="8" w:color="355889"/>
            </w:tcBorders>
          </w:tcPr>
          <w:p>
            <w:pPr>
              <w:spacing w:after="0"/>
              <w:rPr>
                <w:sz w:val="4"/>
                <w:szCs w:val="4"/>
                <w:color w:val="auto"/>
              </w:rPr>
            </w:pPr>
          </w:p>
        </w:tc>
      </w:tr>
      <w:tr>
        <w:trPr>
          <w:trHeight w:val="235"/>
        </w:trPr>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61,584</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4,449,444</w:t>
            </w:r>
          </w:p>
        </w:tc>
      </w:tr>
      <w:tr>
        <w:trPr>
          <w:trHeight w:val="35"/>
        </w:trPr>
        <w:tc>
          <w:tcPr>
            <w:tcW w:w="620" w:type="dxa"/>
            <w:vAlign w:val="bottom"/>
            <w:shd w:val="clear" w:color="auto" w:fill="355889"/>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shd w:val="clear" w:color="auto" w:fill="355889"/>
          </w:tcPr>
          <w:p>
            <w:pPr>
              <w:spacing w:after="0"/>
              <w:rPr>
                <w:sz w:val="3"/>
                <w:szCs w:val="3"/>
                <w:color w:val="auto"/>
              </w:rPr>
            </w:pPr>
          </w:p>
        </w:tc>
        <w:tc>
          <w:tcPr>
            <w:tcW w:w="980" w:type="dxa"/>
            <w:vAlign w:val="bottom"/>
            <w:shd w:val="clear" w:color="auto" w:fill="355889"/>
          </w:tcPr>
          <w:p>
            <w:pPr>
              <w:spacing w:after="0"/>
              <w:rPr>
                <w:sz w:val="3"/>
                <w:szCs w:val="3"/>
                <w:color w:val="auto"/>
              </w:rPr>
            </w:pPr>
          </w:p>
        </w:tc>
      </w:tr>
    </w:tbl>
    <w:p>
      <w:pPr>
        <w:spacing w:after="0" w:line="548" w:lineRule="exact"/>
        <w:rPr>
          <w:sz w:val="20"/>
          <w:szCs w:val="20"/>
          <w:color w:val="auto"/>
        </w:rPr>
      </w:pPr>
    </w:p>
    <w:p>
      <w:pPr>
        <w:sectPr>
          <w:pgSz w:w="11900" w:h="16838" w:orient="portrait"/>
          <w:cols w:equalWidth="0" w:num="2">
            <w:col w:w="8140" w:space="720"/>
            <w:col w:w="2380"/>
          </w:cols>
          <w:pgMar w:left="320" w:top="121" w:right="339" w:bottom="1440" w:gutter="0" w:footer="0" w:header="0"/>
          <w:type w:val="continuous"/>
        </w:sectPr>
      </w:pPr>
    </w:p>
    <w:p>
      <w:pPr>
        <w:spacing w:after="0" w:line="35"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In January 2020, we also made annual awards of time-based LTIP units to Messrs. Holliday, Mathias and Levine pursuant to each executive’s employment agreement that are subject to vesting over three years, in the case of Messrs. Holliday and Mathias, and over two years in the case</w:t>
      </w:r>
    </w:p>
    <w:p>
      <w:pPr>
        <w:spacing w:after="0" w:line="1"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of Mr. Levine, with each award vesting ratably on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each year following the grant of each award. The annual value of each executive’s equity award was determined by the Committee based on its evaluation of 2019 performance. Pursuant to the employment agreements we entered into with Messrs. Holliday, Mathias and Levine, the amounts awarded for target performance could not be less than the following: Mr. Holliday - $4,500,000; Mr. Mathias - $3,500,000 and Mr. Levine - $1,300,000.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355889"/>
              </w:rPr>
              <w:t>Time-based LTIP Units</w:t>
            </w:r>
          </w:p>
        </w:tc>
      </w:tr>
      <w:tr>
        <w:trPr>
          <w:trHeight w:val="48"/>
        </w:trPr>
        <w:tc>
          <w:tcPr>
            <w:tcW w:w="9220" w:type="dxa"/>
            <w:vAlign w:val="bottom"/>
            <w:gridSpan w:val="2"/>
          </w:tcPr>
          <w:p>
            <w:pPr>
              <w:spacing w:after="0"/>
              <w:rPr>
                <w:sz w:val="4"/>
                <w:szCs w:val="4"/>
                <w:color w:val="auto"/>
              </w:rPr>
            </w:pPr>
          </w:p>
        </w:tc>
        <w:tc>
          <w:tcPr>
            <w:tcW w:w="880" w:type="dxa"/>
            <w:vAlign w:val="bottom"/>
            <w:tcBorders>
              <w:bottom w:val="single" w:sz="8" w:color="355889"/>
            </w:tcBorders>
            <w:gridSpan w:val="2"/>
          </w:tcPr>
          <w:p>
            <w:pPr>
              <w:spacing w:after="0"/>
              <w:rPr>
                <w:sz w:val="4"/>
                <w:szCs w:val="4"/>
                <w:color w:val="auto"/>
              </w:rPr>
            </w:pPr>
          </w:p>
        </w:tc>
        <w:tc>
          <w:tcPr>
            <w:tcW w:w="240" w:type="dxa"/>
            <w:vAlign w:val="bottom"/>
            <w:tcBorders>
              <w:bottom w:val="single" w:sz="8" w:color="355889"/>
            </w:tcBorders>
          </w:tcPr>
          <w:p>
            <w:pPr>
              <w:spacing w:after="0"/>
              <w:rPr>
                <w:sz w:val="4"/>
                <w:szCs w:val="4"/>
                <w:color w:val="auto"/>
              </w:rPr>
            </w:pPr>
          </w:p>
        </w:tc>
        <w:tc>
          <w:tcPr>
            <w:tcW w:w="900" w:type="dxa"/>
            <w:vAlign w:val="bottom"/>
            <w:tcBorders>
              <w:bottom w:val="single" w:sz="8" w:color="355889"/>
            </w:tcBorders>
          </w:tcPr>
          <w:p>
            <w:pPr>
              <w:spacing w:after="0"/>
              <w:rPr>
                <w:sz w:val="4"/>
                <w:szCs w:val="4"/>
                <w:color w:val="auto"/>
              </w:rPr>
            </w:pPr>
          </w:p>
        </w:tc>
      </w:tr>
      <w:tr>
        <w:trPr>
          <w:trHeight w:val="202"/>
        </w:trPr>
        <w:tc>
          <w:tcPr>
            <w:tcW w:w="9220" w:type="dxa"/>
            <w:vAlign w:val="bottom"/>
            <w:gridSpan w:val="2"/>
          </w:tcPr>
          <w:p>
            <w:pPr>
              <w:spacing w:after="0"/>
              <w:rPr>
                <w:sz w:val="20"/>
                <w:szCs w:val="20"/>
                <w:color w:val="auto"/>
              </w:rPr>
            </w:pPr>
            <w:r>
              <w:rPr>
                <w:rFonts w:ascii="Arial" w:cs="Arial" w:eastAsia="Arial" w:hAnsi="Arial"/>
                <w:sz w:val="13"/>
                <w:szCs w:val="13"/>
                <w:b w:val="1"/>
                <w:bCs w:val="1"/>
                <w:color w:val="auto"/>
              </w:rPr>
              <w:t>Executive</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355889"/>
              </w:rPr>
              <w:t># of Units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355889"/>
              </w:rPr>
              <w:t>Grant Value</w:t>
            </w:r>
          </w:p>
        </w:tc>
      </w:tr>
      <w:tr>
        <w:trPr>
          <w:trHeight w:val="48"/>
        </w:trPr>
        <w:tc>
          <w:tcPr>
            <w:tcW w:w="9060" w:type="dxa"/>
            <w:vAlign w:val="bottom"/>
            <w:tcBorders>
              <w:bottom w:val="single" w:sz="8" w:color="355889"/>
            </w:tcBorders>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bottom w:val="single" w:sz="8" w:color="355889"/>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bottom w:val="single" w:sz="8" w:color="355889"/>
            </w:tcBorders>
          </w:tcPr>
          <w:p>
            <w:pPr>
              <w:spacing w:after="0"/>
              <w:rPr>
                <w:sz w:val="4"/>
                <w:szCs w:val="4"/>
                <w:color w:val="auto"/>
              </w:rPr>
            </w:pPr>
          </w:p>
        </w:tc>
        <w:tc>
          <w:tcPr>
            <w:tcW w:w="900" w:type="dxa"/>
            <w:vAlign w:val="bottom"/>
            <w:tcBorders>
              <w:bottom w:val="single" w:sz="8" w:color="355889"/>
            </w:tcBorders>
          </w:tcPr>
          <w:p>
            <w:pPr>
              <w:spacing w:after="0"/>
              <w:rPr>
                <w:sz w:val="4"/>
                <w:szCs w:val="4"/>
                <w:color w:val="auto"/>
              </w:rPr>
            </w:pPr>
          </w:p>
        </w:tc>
      </w:tr>
      <w:tr>
        <w:trPr>
          <w:trHeight w:val="310"/>
        </w:trPr>
        <w:tc>
          <w:tcPr>
            <w:tcW w:w="906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4"/>
                <w:szCs w:val="24"/>
                <w:color w:val="auto"/>
              </w:rPr>
            </w:pPr>
          </w:p>
        </w:tc>
        <w:tc>
          <w:tcPr>
            <w:tcW w:w="880" w:type="dxa"/>
            <w:vAlign w:val="bottom"/>
            <w:gridSpan w:val="2"/>
          </w:tcPr>
          <w:p>
            <w:pPr>
              <w:jc w:val="center"/>
              <w:ind w:right="160"/>
              <w:spacing w:after="0" w:line="310" w:lineRule="exact"/>
              <w:rPr>
                <w:sz w:val="20"/>
                <w:szCs w:val="20"/>
                <w:color w:val="auto"/>
              </w:rPr>
            </w:pPr>
            <w:r>
              <w:rPr>
                <w:rFonts w:ascii="Arial" w:cs="Arial" w:eastAsia="Arial" w:hAnsi="Arial"/>
                <w:sz w:val="18"/>
                <w:szCs w:val="18"/>
                <w:color w:val="auto"/>
                <w:w w:val="91"/>
              </w:rPr>
              <w:t>49,294</w:t>
            </w:r>
            <w:r>
              <w:rPr>
                <w:rFonts w:ascii="Arial" w:cs="Arial" w:eastAsia="Arial" w:hAnsi="Arial"/>
                <w:sz w:val="29"/>
                <w:szCs w:val="29"/>
                <w:color w:val="auto"/>
                <w:w w:val="91"/>
                <w:vertAlign w:val="superscript"/>
              </w:rPr>
              <w:t>(1)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4,500,000</w:t>
            </w:r>
          </w:p>
        </w:tc>
      </w:tr>
      <w:tr>
        <w:trPr>
          <w:trHeight w:val="20"/>
        </w:trPr>
        <w:tc>
          <w:tcPr>
            <w:tcW w:w="90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797B7"/>
          </w:tcPr>
          <w:p>
            <w:pPr>
              <w:spacing w:after="0" w:line="20" w:lineRule="exact"/>
              <w:rPr>
                <w:sz w:val="1"/>
                <w:szCs w:val="1"/>
                <w:color w:val="auto"/>
              </w:rPr>
            </w:pPr>
          </w:p>
        </w:tc>
        <w:tc>
          <w:tcPr>
            <w:tcW w:w="900" w:type="dxa"/>
            <w:vAlign w:val="bottom"/>
            <w:shd w:val="clear" w:color="auto" w:fill="8797B7"/>
          </w:tcPr>
          <w:p>
            <w:pPr>
              <w:spacing w:after="0" w:line="20" w:lineRule="exact"/>
              <w:rPr>
                <w:sz w:val="1"/>
                <w:szCs w:val="1"/>
                <w:color w:val="auto"/>
              </w:rPr>
            </w:pPr>
          </w:p>
        </w:tc>
      </w:tr>
      <w:tr>
        <w:trPr>
          <w:trHeight w:val="304"/>
        </w:trPr>
        <w:tc>
          <w:tcPr>
            <w:tcW w:w="906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4"/>
                <w:szCs w:val="24"/>
                <w:color w:val="auto"/>
              </w:rPr>
            </w:pPr>
          </w:p>
        </w:tc>
        <w:tc>
          <w:tcPr>
            <w:tcW w:w="880" w:type="dxa"/>
            <w:vAlign w:val="bottom"/>
            <w:gridSpan w:val="2"/>
          </w:tcPr>
          <w:p>
            <w:pPr>
              <w:jc w:val="center"/>
              <w:ind w:right="160"/>
              <w:spacing w:after="0" w:line="303" w:lineRule="exact"/>
              <w:rPr>
                <w:sz w:val="20"/>
                <w:szCs w:val="20"/>
                <w:color w:val="auto"/>
              </w:rPr>
            </w:pPr>
            <w:r>
              <w:rPr>
                <w:rFonts w:ascii="Arial" w:cs="Arial" w:eastAsia="Arial" w:hAnsi="Arial"/>
                <w:sz w:val="18"/>
                <w:szCs w:val="18"/>
                <w:color w:val="auto"/>
                <w:w w:val="91"/>
              </w:rPr>
              <w:t>38,340</w:t>
            </w:r>
            <w:r>
              <w:rPr>
                <w:rFonts w:ascii="Arial" w:cs="Arial" w:eastAsia="Arial" w:hAnsi="Arial"/>
                <w:sz w:val="29"/>
                <w:szCs w:val="29"/>
                <w:color w:val="auto"/>
                <w:w w:val="91"/>
                <w:vertAlign w:val="superscript"/>
              </w:rPr>
              <w:t>(1)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3,500,000</w:t>
            </w:r>
          </w:p>
        </w:tc>
      </w:tr>
      <w:tr>
        <w:trPr>
          <w:trHeight w:val="20"/>
        </w:trPr>
        <w:tc>
          <w:tcPr>
            <w:tcW w:w="90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8797B7"/>
          </w:tcPr>
          <w:p>
            <w:pPr>
              <w:spacing w:after="0" w:line="20" w:lineRule="exact"/>
              <w:rPr>
                <w:sz w:val="1"/>
                <w:szCs w:val="1"/>
                <w:color w:val="auto"/>
              </w:rPr>
            </w:pPr>
          </w:p>
        </w:tc>
        <w:tc>
          <w:tcPr>
            <w:tcW w:w="900" w:type="dxa"/>
            <w:vAlign w:val="bottom"/>
            <w:shd w:val="clear" w:color="auto" w:fill="8797B7"/>
          </w:tcPr>
          <w:p>
            <w:pPr>
              <w:spacing w:after="0" w:line="20" w:lineRule="exact"/>
              <w:rPr>
                <w:sz w:val="1"/>
                <w:szCs w:val="1"/>
                <w:color w:val="auto"/>
              </w:rPr>
            </w:pPr>
          </w:p>
        </w:tc>
      </w:tr>
      <w:tr>
        <w:trPr>
          <w:trHeight w:val="304"/>
        </w:trPr>
        <w:tc>
          <w:tcPr>
            <w:tcW w:w="9060" w:type="dxa"/>
            <w:vAlign w:val="bottom"/>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4"/>
                <w:szCs w:val="24"/>
                <w:color w:val="auto"/>
              </w:rPr>
            </w:pPr>
          </w:p>
        </w:tc>
        <w:tc>
          <w:tcPr>
            <w:tcW w:w="880" w:type="dxa"/>
            <w:vAlign w:val="bottom"/>
            <w:gridSpan w:val="2"/>
          </w:tcPr>
          <w:p>
            <w:pPr>
              <w:jc w:val="center"/>
              <w:ind w:right="160"/>
              <w:spacing w:after="0" w:line="303" w:lineRule="exact"/>
              <w:rPr>
                <w:sz w:val="20"/>
                <w:szCs w:val="20"/>
                <w:color w:val="auto"/>
              </w:rPr>
            </w:pPr>
            <w:r>
              <w:rPr>
                <w:rFonts w:ascii="Arial" w:cs="Arial" w:eastAsia="Arial" w:hAnsi="Arial"/>
                <w:sz w:val="18"/>
                <w:szCs w:val="18"/>
                <w:color w:val="auto"/>
                <w:w w:val="91"/>
              </w:rPr>
              <w:t>14,240</w:t>
            </w:r>
            <w:r>
              <w:rPr>
                <w:rFonts w:ascii="Arial" w:cs="Arial" w:eastAsia="Arial" w:hAnsi="Arial"/>
                <w:sz w:val="29"/>
                <w:szCs w:val="29"/>
                <w:color w:val="auto"/>
                <w:w w:val="91"/>
                <w:vertAlign w:val="superscript"/>
              </w:rPr>
              <w:t>(2)</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1,300,000</w:t>
            </w:r>
          </w:p>
        </w:tc>
      </w:tr>
      <w:tr>
        <w:trPr>
          <w:trHeight w:val="27"/>
        </w:trPr>
        <w:tc>
          <w:tcPr>
            <w:tcW w:w="906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355889"/>
          </w:tcPr>
          <w:p>
            <w:pPr>
              <w:spacing w:after="0"/>
              <w:rPr>
                <w:sz w:val="2"/>
                <w:szCs w:val="2"/>
                <w:color w:val="auto"/>
              </w:rPr>
            </w:pPr>
          </w:p>
        </w:tc>
        <w:tc>
          <w:tcPr>
            <w:tcW w:w="900" w:type="dxa"/>
            <w:vAlign w:val="bottom"/>
            <w:shd w:val="clear" w:color="auto" w:fill="355889"/>
          </w:tcPr>
          <w:p>
            <w:pPr>
              <w:spacing w:after="0"/>
              <w:rPr>
                <w:sz w:val="2"/>
                <w:szCs w:val="2"/>
                <w:color w:val="auto"/>
              </w:rPr>
            </w:pPr>
          </w:p>
        </w:tc>
      </w:tr>
    </w:tbl>
    <w:p>
      <w:pPr>
        <w:spacing w:after="0" w:line="107" w:lineRule="exact"/>
        <w:rPr>
          <w:sz w:val="20"/>
          <w:szCs w:val="20"/>
          <w:color w:val="auto"/>
        </w:rPr>
      </w:pPr>
    </w:p>
    <w:p>
      <w:pPr>
        <w:ind w:left="320" w:hanging="312"/>
        <w:spacing w:after="0"/>
        <w:tabs>
          <w:tab w:leader="none" w:pos="3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These LTIP units will vest in equal installments on each of January 1, 2021, January 1, 2022 and January 1, 2023.</w:t>
      </w:r>
    </w:p>
    <w:p>
      <w:pPr>
        <w:spacing w:after="0" w:line="66" w:lineRule="exact"/>
        <w:rPr>
          <w:rFonts w:ascii="Arial" w:cs="Arial" w:eastAsia="Arial" w:hAnsi="Arial"/>
          <w:sz w:val="13"/>
          <w:szCs w:val="13"/>
          <w:color w:val="auto"/>
        </w:rPr>
      </w:pPr>
    </w:p>
    <w:p>
      <w:pPr>
        <w:ind w:left="320" w:hanging="312"/>
        <w:spacing w:after="0"/>
        <w:tabs>
          <w:tab w:leader="none" w:pos="3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These LTIP units will vest in equal installments on each of January 1, 2021 and January 1, 2022.</w:t>
      </w:r>
    </w:p>
    <w:p>
      <w:pPr>
        <w:spacing w:after="0" w:line="219" w:lineRule="exact"/>
        <w:rPr>
          <w:sz w:val="20"/>
          <w:szCs w:val="20"/>
          <w:color w:val="auto"/>
        </w:rPr>
      </w:pPr>
    </w:p>
    <w:p>
      <w:pPr>
        <w:jc w:val="both"/>
        <w:ind w:right="500"/>
        <w:spacing w:after="0" w:line="238" w:lineRule="auto"/>
        <w:rPr>
          <w:sz w:val="20"/>
          <w:szCs w:val="20"/>
          <w:color w:val="auto"/>
        </w:rPr>
      </w:pPr>
      <w:r>
        <w:rPr>
          <w:rFonts w:ascii="Arial" w:cs="Arial" w:eastAsia="Arial" w:hAnsi="Arial"/>
          <w:sz w:val="18"/>
          <w:szCs w:val="18"/>
          <w:color w:val="auto"/>
        </w:rPr>
        <w:t>Mr. DiLiberto’s current employment agreement was entered into before the Committee implemented these changes to our long-term equity incentive award program. Given that Mr. DiLiberto received a long-term equity award in connection with the signing of this agreement, Mr. DiLiberto does not currently participate in this aspect of our long-term equity incentive award program.</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Other Compensation Policies and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How We Determine Executive Compensation</w:t>
      </w:r>
    </w:p>
    <w:p>
      <w:pPr>
        <w:spacing w:after="0" w:line="23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Compensation Committee determines compensation for our named executive officers and is comprised of four of our independent directors, Lauren B. Dillard (Chair), John H. Alschuler, Edwin T. Burton, III and John S. Levy.</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Consideration of Say-on-Pay Vote</w:t>
      </w:r>
    </w:p>
    <w:p>
      <w:pPr>
        <w:spacing w:after="0" w:line="23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Committee considered the results of our 2019 advisory vote on executive compensation and the feedback received through our extensive stockholders engagement program in its decisions for 2019 compensation. The significant increase in the votes cast for our 2019 advisory vote on executive compensation from 2018 was viewed by the Committee as an indication of our stockholders’ support for the significant changes made to our executive compensation programs beginning in 2019.</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Independent Compensation Consultant/Compensation Process</w:t>
      </w:r>
    </w:p>
    <w:p>
      <w:pPr>
        <w:spacing w:after="0" w:line="2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Committee retained Gressle &amp; McGinley LLC as its independent outside compensation consulting firm and engaged Gressle &amp; McGinley LLC to provide the Committee with relevant data concerning the marketplace, our peer group and its own independent analysis and recommendations concerning executive compensation. Gressle &amp; McGinley LLC regularly participates in Compensation Committee meetings. Gressle &amp; McGinley LLC does not provide any additional services to the Committee and does not provide any services to the Company other than to the Committee. Its sole role is as an independent consulting firm to advise the Committee with respect to the compensation of our named executive officers. The ultimate determination of total compensation and the elements that comprise that total compensation is made solely by the Committee.</w:t>
      </w:r>
    </w:p>
    <w:p>
      <w:pPr>
        <w:spacing w:after="0" w:line="209"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With respect to our named executive officers, the Committee solicits recommendations from our Chief Executive Officer regarding total compensation, the allocation of this compensation among base salary, annual bonus amounts and other long-term incentive compensation, as well as the portion of overall compensation to be provided in cash or equity. FTI Consulting is retained by our management as a general business advisor and provides services to the Company in a number of areas, including compensation. FTI Consulting, which has relationships with certain officers of the Company, provided market data to our Chief Executive Officer and former Chairman, which they review when considering their compensation recommendations. The recommendations with respect to compensation were formulated by our Chief Executive Officer and former Chairman and were communicated to the Committee by them. The Committee is also provided with the market data compiled by FTI Consulting and its recommendations with respect to the compensation of our named executive officers. The other named executive officers do not play a role in determining their own compensation, other than discussing their performance with our Chief Executive Officer.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All final determinations of compensation for our named executive officers are made solely by the Committee.</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Committee meets during the year to evaluate executive performance, to monitor market conditions in light of our goals and objectives, to solicit input from our independent compensation consultant on market practices, including peer group pay practices and new developments, and to review our executive compensation practices. As part of these meetings, in formulation of its executive compensation policies and practices for 2019, the Committee reviewed then-existing policies of certain of our institutional investors, ISS and Glass Lewis and other governance groups, as well as feedback provided by such groups in prior year proxy research reports. The Committee engaged with a significant number of stockholders holding a substantial percentage of outstanding shares as discussed above, and annually reviews our executive compensation policies and practices to ensure that such policies are in line with current market practices and stockholders’ best interests. The Committee makes regular reports to the Board.</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Peer Group Benchmarking</w:t>
      </w:r>
    </w:p>
    <w:p>
      <w:pPr>
        <w:spacing w:after="0" w:line="23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2019, as in prior years, the Committee reviewed various peer compensation information in connection with its compensation decisions, primarily focused on the chief executive officer’s compensation. This peer information was not used to target a particular percentile for our Chief Executive Officer’s total compensation for 2019, but rather to confirm that our Chief Executive Officer’s total compensation for 2019 was within an appropriate range of the total compensation, considering relative size and performance. With respect to size, we ranked above the median of these peers with respect to common equity market capitalization and total revenue.</w:t>
      </w:r>
    </w:p>
    <w:p>
      <w:pPr>
        <w:spacing w:after="0" w:line="21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Committee reviewed 2019 total compensation information for the chief executive officers of a peer group, with an emphasis on the REIT industry. The peer group included a number of New York City-based peer companies. That decision is based on the unique characteristics of the New York City real estate marketplace, which is where we conduct substantially all of our business, and which is one of the most competitive in the world, from both a business and compensation perspective. The following companies were included in the peer group that the Committee reviewed: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100" w:type="dxa"/>
            <w:vAlign w:val="bottom"/>
          </w:tcPr>
          <w:p>
            <w:pPr>
              <w:ind w:left="1080"/>
              <w:spacing w:after="0"/>
              <w:rPr>
                <w:sz w:val="20"/>
                <w:szCs w:val="20"/>
                <w:color w:val="auto"/>
              </w:rPr>
            </w:pPr>
            <w:r>
              <w:rPr>
                <w:rFonts w:ascii="Arial" w:cs="Arial" w:eastAsia="Arial" w:hAnsi="Arial"/>
                <w:sz w:val="13"/>
                <w:szCs w:val="13"/>
                <w:b w:val="1"/>
                <w:bCs w:val="1"/>
                <w:color w:val="4B6794"/>
              </w:rPr>
              <w:t>Peer Group</w:t>
            </w:r>
          </w:p>
        </w:tc>
        <w:tc>
          <w:tcPr>
            <w:tcW w:w="82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18"/>
        </w:trPr>
        <w:tc>
          <w:tcPr>
            <w:tcW w:w="3520" w:type="dxa"/>
            <w:vAlign w:val="bottom"/>
            <w:gridSpan w:val="2"/>
          </w:tcPr>
          <w:p>
            <w:pPr>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Alexandria Real Estate Equities, Inc.</w:t>
            </w:r>
          </w:p>
        </w:tc>
        <w:tc>
          <w:tcPr>
            <w:tcW w:w="3740" w:type="dxa"/>
            <w:vAlign w:val="bottom"/>
            <w:gridSpan w:val="2"/>
          </w:tcPr>
          <w:p>
            <w:pPr>
              <w:ind w:left="46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Hudson Pacific Properties, Inc.</w:t>
            </w:r>
          </w:p>
        </w:tc>
        <w:tc>
          <w:tcPr>
            <w:tcW w:w="820" w:type="dxa"/>
            <w:vAlign w:val="bottom"/>
          </w:tcPr>
          <w:p>
            <w:pPr>
              <w:ind w:left="640"/>
              <w:spacing w:after="0"/>
              <w:rPr>
                <w:sz w:val="20"/>
                <w:szCs w:val="20"/>
                <w:color w:val="auto"/>
              </w:rPr>
            </w:pPr>
            <w:r>
              <w:rPr>
                <w:rFonts w:ascii="Arial" w:cs="Arial" w:eastAsia="Arial" w:hAnsi="Arial"/>
                <w:sz w:val="17"/>
                <w:szCs w:val="17"/>
                <w:color w:val="355889"/>
              </w:rPr>
              <w:t>●</w:t>
            </w:r>
          </w:p>
        </w:tc>
        <w:tc>
          <w:tcPr>
            <w:tcW w:w="1840" w:type="dxa"/>
            <w:vAlign w:val="bottom"/>
          </w:tcPr>
          <w:p>
            <w:pPr>
              <w:ind w:left="60"/>
              <w:spacing w:after="0"/>
              <w:rPr>
                <w:sz w:val="20"/>
                <w:szCs w:val="20"/>
                <w:color w:val="auto"/>
              </w:rPr>
            </w:pPr>
            <w:r>
              <w:rPr>
                <w:rFonts w:ascii="Arial" w:cs="Arial" w:eastAsia="Arial" w:hAnsi="Arial"/>
                <w:sz w:val="18"/>
                <w:szCs w:val="18"/>
                <w:color w:val="auto"/>
              </w:rPr>
              <w:t>Ladder Capital Corp.</w:t>
            </w:r>
          </w:p>
        </w:tc>
      </w:tr>
      <w:tr>
        <w:trPr>
          <w:trHeight w:val="283"/>
        </w:trPr>
        <w:tc>
          <w:tcPr>
            <w:tcW w:w="160" w:type="dxa"/>
            <w:vAlign w:val="bottom"/>
          </w:tcPr>
          <w:p>
            <w:pPr>
              <w:spacing w:after="0"/>
              <w:rPr>
                <w:sz w:val="20"/>
                <w:szCs w:val="20"/>
                <w:color w:val="auto"/>
              </w:rPr>
            </w:pPr>
            <w:r>
              <w:rPr>
                <w:rFonts w:ascii="Arial" w:cs="Arial" w:eastAsia="Arial" w:hAnsi="Arial"/>
                <w:sz w:val="17"/>
                <w:szCs w:val="17"/>
                <w:color w:val="355889"/>
              </w:rPr>
              <w:t>●</w:t>
            </w:r>
          </w:p>
        </w:tc>
        <w:tc>
          <w:tcPr>
            <w:tcW w:w="3360" w:type="dxa"/>
            <w:vAlign w:val="bottom"/>
          </w:tcPr>
          <w:p>
            <w:pPr>
              <w:ind w:left="80"/>
              <w:spacing w:after="0"/>
              <w:rPr>
                <w:sz w:val="20"/>
                <w:szCs w:val="20"/>
                <w:color w:val="auto"/>
              </w:rPr>
            </w:pPr>
            <w:r>
              <w:rPr>
                <w:rFonts w:ascii="Arial" w:cs="Arial" w:eastAsia="Arial" w:hAnsi="Arial"/>
                <w:sz w:val="18"/>
                <w:szCs w:val="18"/>
                <w:color w:val="auto"/>
              </w:rPr>
              <w:t>Boston Properties, Inc.</w:t>
            </w:r>
          </w:p>
        </w:tc>
        <w:tc>
          <w:tcPr>
            <w:tcW w:w="640" w:type="dxa"/>
            <w:vAlign w:val="bottom"/>
          </w:tcPr>
          <w:p>
            <w:pPr>
              <w:ind w:left="460"/>
              <w:spacing w:after="0"/>
              <w:rPr>
                <w:sz w:val="20"/>
                <w:szCs w:val="20"/>
                <w:color w:val="auto"/>
              </w:rPr>
            </w:pPr>
            <w:r>
              <w:rPr>
                <w:rFonts w:ascii="Arial" w:cs="Arial" w:eastAsia="Arial" w:hAnsi="Arial"/>
                <w:sz w:val="17"/>
                <w:szCs w:val="17"/>
                <w:color w:val="355889"/>
              </w:rPr>
              <w:t>●</w:t>
            </w:r>
          </w:p>
        </w:tc>
        <w:tc>
          <w:tcPr>
            <w:tcW w:w="3100" w:type="dxa"/>
            <w:vAlign w:val="bottom"/>
          </w:tcPr>
          <w:p>
            <w:pPr>
              <w:ind w:left="60"/>
              <w:spacing w:after="0"/>
              <w:rPr>
                <w:sz w:val="20"/>
                <w:szCs w:val="20"/>
                <w:color w:val="auto"/>
              </w:rPr>
            </w:pPr>
            <w:r>
              <w:rPr>
                <w:rFonts w:ascii="Arial" w:cs="Arial" w:eastAsia="Arial" w:hAnsi="Arial"/>
                <w:sz w:val="18"/>
                <w:szCs w:val="18"/>
                <w:color w:val="auto"/>
              </w:rPr>
              <w:t>Kennedy-Wilson Holdings, Inc.</w:t>
            </w:r>
          </w:p>
        </w:tc>
        <w:tc>
          <w:tcPr>
            <w:tcW w:w="820" w:type="dxa"/>
            <w:vAlign w:val="bottom"/>
          </w:tcPr>
          <w:p>
            <w:pPr>
              <w:ind w:left="640"/>
              <w:spacing w:after="0"/>
              <w:rPr>
                <w:sz w:val="20"/>
                <w:szCs w:val="20"/>
                <w:color w:val="auto"/>
              </w:rPr>
            </w:pPr>
            <w:r>
              <w:rPr>
                <w:rFonts w:ascii="Arial" w:cs="Arial" w:eastAsia="Arial" w:hAnsi="Arial"/>
                <w:sz w:val="17"/>
                <w:szCs w:val="17"/>
                <w:color w:val="355889"/>
              </w:rPr>
              <w:t>●</w:t>
            </w:r>
          </w:p>
        </w:tc>
        <w:tc>
          <w:tcPr>
            <w:tcW w:w="1840" w:type="dxa"/>
            <w:vAlign w:val="bottom"/>
          </w:tcPr>
          <w:p>
            <w:pPr>
              <w:ind w:left="60"/>
              <w:spacing w:after="0"/>
              <w:rPr>
                <w:sz w:val="20"/>
                <w:szCs w:val="20"/>
                <w:color w:val="auto"/>
              </w:rPr>
            </w:pPr>
            <w:r>
              <w:rPr>
                <w:rFonts w:ascii="Arial" w:cs="Arial" w:eastAsia="Arial" w:hAnsi="Arial"/>
                <w:sz w:val="18"/>
                <w:szCs w:val="18"/>
                <w:color w:val="auto"/>
                <w:w w:val="96"/>
              </w:rPr>
              <w:t>Paramount Group, Inc.</w:t>
            </w:r>
          </w:p>
        </w:tc>
      </w:tr>
      <w:tr>
        <w:trPr>
          <w:trHeight w:val="297"/>
        </w:trPr>
        <w:tc>
          <w:tcPr>
            <w:tcW w:w="160" w:type="dxa"/>
            <w:vAlign w:val="bottom"/>
          </w:tcPr>
          <w:p>
            <w:pPr>
              <w:spacing w:after="0"/>
              <w:rPr>
                <w:sz w:val="20"/>
                <w:szCs w:val="20"/>
                <w:color w:val="auto"/>
              </w:rPr>
            </w:pPr>
            <w:r>
              <w:rPr>
                <w:rFonts w:ascii="Arial" w:cs="Arial" w:eastAsia="Arial" w:hAnsi="Arial"/>
                <w:sz w:val="17"/>
                <w:szCs w:val="17"/>
                <w:color w:val="355889"/>
              </w:rPr>
              <w:t>●</w:t>
            </w:r>
          </w:p>
        </w:tc>
        <w:tc>
          <w:tcPr>
            <w:tcW w:w="3360" w:type="dxa"/>
            <w:vAlign w:val="bottom"/>
          </w:tcPr>
          <w:p>
            <w:pPr>
              <w:ind w:left="80"/>
              <w:spacing w:after="0"/>
              <w:rPr>
                <w:sz w:val="20"/>
                <w:szCs w:val="20"/>
                <w:color w:val="auto"/>
              </w:rPr>
            </w:pPr>
            <w:r>
              <w:rPr>
                <w:rFonts w:ascii="Arial" w:cs="Arial" w:eastAsia="Arial" w:hAnsi="Arial"/>
                <w:sz w:val="18"/>
                <w:szCs w:val="18"/>
                <w:color w:val="auto"/>
              </w:rPr>
              <w:t>Douglas Emmett, Inc.</w:t>
            </w:r>
          </w:p>
        </w:tc>
        <w:tc>
          <w:tcPr>
            <w:tcW w:w="640" w:type="dxa"/>
            <w:vAlign w:val="bottom"/>
          </w:tcPr>
          <w:p>
            <w:pPr>
              <w:ind w:left="460"/>
              <w:spacing w:after="0"/>
              <w:rPr>
                <w:sz w:val="20"/>
                <w:szCs w:val="20"/>
                <w:color w:val="auto"/>
              </w:rPr>
            </w:pPr>
            <w:r>
              <w:rPr>
                <w:rFonts w:ascii="Arial" w:cs="Arial" w:eastAsia="Arial" w:hAnsi="Arial"/>
                <w:sz w:val="17"/>
                <w:szCs w:val="17"/>
                <w:color w:val="355889"/>
              </w:rPr>
              <w:t>●</w:t>
            </w:r>
          </w:p>
        </w:tc>
        <w:tc>
          <w:tcPr>
            <w:tcW w:w="3100" w:type="dxa"/>
            <w:vAlign w:val="bottom"/>
          </w:tcPr>
          <w:p>
            <w:pPr>
              <w:ind w:left="60"/>
              <w:spacing w:after="0"/>
              <w:rPr>
                <w:sz w:val="20"/>
                <w:szCs w:val="20"/>
                <w:color w:val="auto"/>
              </w:rPr>
            </w:pPr>
            <w:r>
              <w:rPr>
                <w:rFonts w:ascii="Arial" w:cs="Arial" w:eastAsia="Arial" w:hAnsi="Arial"/>
                <w:sz w:val="18"/>
                <w:szCs w:val="18"/>
                <w:color w:val="auto"/>
              </w:rPr>
              <w:t>Kilroy Realty Corporation</w:t>
            </w:r>
          </w:p>
        </w:tc>
        <w:tc>
          <w:tcPr>
            <w:tcW w:w="820" w:type="dxa"/>
            <w:vAlign w:val="bottom"/>
          </w:tcPr>
          <w:p>
            <w:pPr>
              <w:ind w:left="640"/>
              <w:spacing w:after="0"/>
              <w:rPr>
                <w:sz w:val="20"/>
                <w:szCs w:val="20"/>
                <w:color w:val="auto"/>
              </w:rPr>
            </w:pPr>
            <w:r>
              <w:rPr>
                <w:rFonts w:ascii="Arial" w:cs="Arial" w:eastAsia="Arial" w:hAnsi="Arial"/>
                <w:sz w:val="17"/>
                <w:szCs w:val="17"/>
                <w:color w:val="355889"/>
              </w:rPr>
              <w:t>●</w:t>
            </w:r>
          </w:p>
        </w:tc>
        <w:tc>
          <w:tcPr>
            <w:tcW w:w="1840" w:type="dxa"/>
            <w:vAlign w:val="bottom"/>
          </w:tcPr>
          <w:p>
            <w:pPr>
              <w:ind w:left="60"/>
              <w:spacing w:after="0"/>
              <w:rPr>
                <w:sz w:val="20"/>
                <w:szCs w:val="20"/>
                <w:color w:val="auto"/>
              </w:rPr>
            </w:pPr>
            <w:r>
              <w:rPr>
                <w:rFonts w:ascii="Arial" w:cs="Arial" w:eastAsia="Arial" w:hAnsi="Arial"/>
                <w:sz w:val="18"/>
                <w:szCs w:val="18"/>
                <w:color w:val="auto"/>
              </w:rPr>
              <w:t>Vornado Realty Trust</w:t>
            </w:r>
          </w:p>
        </w:tc>
      </w:tr>
    </w:tbl>
    <w:p>
      <w:pPr>
        <w:spacing w:after="0" w:line="73" w:lineRule="exact"/>
        <w:rPr>
          <w:sz w:val="20"/>
          <w:szCs w:val="20"/>
          <w:color w:val="auto"/>
        </w:rPr>
      </w:pPr>
    </w:p>
    <w:p>
      <w:pPr>
        <w:ind w:left="260" w:hanging="243"/>
        <w:spacing w:after="0"/>
        <w:tabs>
          <w:tab w:leader="none" w:pos="260" w:val="left"/>
        </w:tabs>
        <w:numPr>
          <w:ilvl w:val="0"/>
          <w:numId w:val="84"/>
        </w:numPr>
        <w:rPr>
          <w:rFonts w:ascii="Arial" w:cs="Arial" w:eastAsia="Arial" w:hAnsi="Arial"/>
          <w:sz w:val="17"/>
          <w:szCs w:val="17"/>
          <w:color w:val="355889"/>
        </w:rPr>
      </w:pPr>
      <w:r>
        <w:rPr>
          <w:rFonts w:ascii="Arial" w:cs="Arial" w:eastAsia="Arial" w:hAnsi="Arial"/>
          <w:sz w:val="18"/>
          <w:szCs w:val="18"/>
          <w:color w:val="auto"/>
        </w:rPr>
        <w:t>Empire State Realty Trust, Inc.</w:t>
      </w:r>
    </w:p>
    <w:p>
      <w:pPr>
        <w:spacing w:after="0" w:line="292" w:lineRule="exact"/>
        <w:rPr>
          <w:rFonts w:ascii="Arial" w:cs="Arial" w:eastAsia="Arial" w:hAnsi="Arial"/>
          <w:sz w:val="17"/>
          <w:szCs w:val="17"/>
          <w:color w:val="355889"/>
        </w:rPr>
      </w:pPr>
    </w:p>
    <w:p>
      <w:pPr>
        <w:spacing w:after="0"/>
        <w:rPr>
          <w:rFonts w:ascii="Arial" w:cs="Arial" w:eastAsia="Arial" w:hAnsi="Arial"/>
          <w:sz w:val="17"/>
          <w:szCs w:val="17"/>
          <w:color w:val="355889"/>
        </w:rPr>
      </w:pPr>
      <w:r>
        <w:rPr>
          <w:rFonts w:ascii="Arial" w:cs="Arial" w:eastAsia="Arial" w:hAnsi="Arial"/>
          <w:sz w:val="18"/>
          <w:szCs w:val="18"/>
          <w:color w:val="355889"/>
        </w:rPr>
        <w:t xml:space="preserve">46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780"/>
        <w:spacing w:after="0"/>
        <w:rPr>
          <w:sz w:val="20"/>
          <w:szCs w:val="20"/>
          <w:color w:val="auto"/>
        </w:rPr>
      </w:pPr>
      <w:r>
        <w:rPr>
          <w:rFonts w:ascii="Arial" w:cs="Arial" w:eastAsia="Arial" w:hAnsi="Arial"/>
          <w:sz w:val="16"/>
          <w:szCs w:val="16"/>
          <w:u w:val="single" w:color="auto"/>
          <w:color w:val="355889"/>
        </w:rPr>
        <w:t>EXECUTIVE COMPENSATION</w:t>
      </w:r>
    </w:p>
    <w:p>
      <w:pPr>
        <w:spacing w:after="0" w:line="23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Our direct New York City competitors, both in terms of real estate business and talent, are not limited to other public REITs doing business in New York City. Rather, the Committee also views our competitors as consisting of top performing hedge funds, international investors, large private firms and others that may have equal or greater financial resources, including access to cost-efficient capital. The Committee believes that the top real estate principals of these non-REIT companies typically receive substantially higher compensation than chief executive officers of public REITs.</w:t>
      </w:r>
    </w:p>
    <w:p>
      <w:pPr>
        <w:spacing w:after="0" w:line="21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However, based on feedback from our stockholders, we previously removed all New York City-based asset managers from our peer group and now review compensation based on our updated peer group and a national office REIT index. During 2018, and as part of our on-going assessment of our stated peer group methodology, we removed Ventas, Inc. and Brookfield Property REIT Inc. (formerly known as General Growth Properties, Inc.) from our peer group and added Hudson Pacific Properties, Inc. to our peer group as an appropriately sized office REIT.</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Analysis of Risk Associated with Our Executive Compensation Plans</w:t>
      </w:r>
    </w:p>
    <w:p>
      <w:pPr>
        <w:spacing w:after="0" w:line="235"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In setting compensation, we also consider the risks to our stockholders and to achievement of our goals that may be inherent in the executive compensation program. We concluded that it is not reasonably likely that our compensation policies and practices will have a material adverse effect on 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reaching our conclusion, we considered the following aspects of our executive compensation plans and policies among others:</w:t>
      </w:r>
    </w:p>
    <w:p>
      <w:pPr>
        <w:spacing w:after="0" w:line="207" w:lineRule="exact"/>
        <w:rPr>
          <w:sz w:val="20"/>
          <w:szCs w:val="20"/>
          <w:color w:val="auto"/>
        </w:rPr>
      </w:pPr>
    </w:p>
    <w:p>
      <w:pPr>
        <w:ind w:left="540" w:hanging="262"/>
        <w:spacing w:after="0"/>
        <w:tabs>
          <w:tab w:leader="none" w:pos="540" w:val="left"/>
        </w:tabs>
        <w:numPr>
          <w:ilvl w:val="0"/>
          <w:numId w:val="85"/>
        </w:numPr>
        <w:rPr>
          <w:rFonts w:ascii="Arial" w:cs="Arial" w:eastAsia="Arial" w:hAnsi="Arial"/>
          <w:sz w:val="17"/>
          <w:szCs w:val="17"/>
          <w:color w:val="355889"/>
        </w:rPr>
      </w:pPr>
      <w:r>
        <w:rPr>
          <w:rFonts w:ascii="Arial" w:cs="Arial" w:eastAsia="Arial" w:hAnsi="Arial"/>
          <w:sz w:val="18"/>
          <w:szCs w:val="18"/>
          <w:color w:val="auto"/>
        </w:rPr>
        <w:t>We evaluate performance based upon the achievement of a variety of business objectives and goals;</w:t>
      </w:r>
    </w:p>
    <w:p>
      <w:pPr>
        <w:spacing w:after="0" w:line="63" w:lineRule="exact"/>
        <w:rPr>
          <w:rFonts w:ascii="Arial" w:cs="Arial" w:eastAsia="Arial" w:hAnsi="Arial"/>
          <w:sz w:val="17"/>
          <w:szCs w:val="17"/>
          <w:color w:val="355889"/>
        </w:rPr>
      </w:pPr>
    </w:p>
    <w:p>
      <w:pPr>
        <w:jc w:val="both"/>
        <w:ind w:left="540" w:right="180" w:hanging="262"/>
        <w:spacing w:after="0"/>
        <w:tabs>
          <w:tab w:leader="none" w:pos="540" w:val="left"/>
        </w:tabs>
        <w:numPr>
          <w:ilvl w:val="0"/>
          <w:numId w:val="85"/>
        </w:numPr>
        <w:rPr>
          <w:rFonts w:ascii="Arial" w:cs="Arial" w:eastAsia="Arial" w:hAnsi="Arial"/>
          <w:sz w:val="17"/>
          <w:szCs w:val="17"/>
          <w:color w:val="355889"/>
        </w:rPr>
      </w:pPr>
      <w:r>
        <w:rPr>
          <w:rFonts w:ascii="Arial" w:cs="Arial" w:eastAsia="Arial" w:hAnsi="Arial"/>
          <w:sz w:val="18"/>
          <w:szCs w:val="18"/>
          <w:color w:val="auto"/>
        </w:rPr>
        <w:t>We use a balanced equity compensation mix comprised of performance-based and time-based full value equity awards that lessens the likelihood that executives will take unreasonable risks to keep their equity awards “in-the-money,” as may be the case with equity compensation programs that rely solely on leveraged market-based equity compensation vehicles such as stock options;</w:t>
      </w:r>
    </w:p>
    <w:p>
      <w:pPr>
        <w:spacing w:after="0" w:line="54" w:lineRule="exact"/>
        <w:rPr>
          <w:rFonts w:ascii="Arial" w:cs="Arial" w:eastAsia="Arial" w:hAnsi="Arial"/>
          <w:sz w:val="17"/>
          <w:szCs w:val="17"/>
          <w:color w:val="355889"/>
        </w:rPr>
      </w:pPr>
    </w:p>
    <w:p>
      <w:pPr>
        <w:jc w:val="both"/>
        <w:ind w:left="540" w:right="60" w:hanging="262"/>
        <w:spacing w:after="0" w:line="274" w:lineRule="auto"/>
        <w:tabs>
          <w:tab w:leader="none" w:pos="540" w:val="left"/>
        </w:tabs>
        <w:numPr>
          <w:ilvl w:val="0"/>
          <w:numId w:val="85"/>
        </w:numPr>
        <w:rPr>
          <w:rFonts w:ascii="Arial" w:cs="Arial" w:eastAsia="Arial" w:hAnsi="Arial"/>
          <w:sz w:val="16"/>
          <w:szCs w:val="16"/>
          <w:color w:val="355889"/>
        </w:rPr>
      </w:pPr>
      <w:r>
        <w:rPr>
          <w:rFonts w:ascii="Arial" w:cs="Arial" w:eastAsia="Arial" w:hAnsi="Arial"/>
          <w:sz w:val="17"/>
          <w:szCs w:val="17"/>
          <w:color w:val="auto"/>
        </w:rPr>
        <w:t>We provide a significant portion of incentive compensation in the form of long-term incentive awards. The amounts that ultimately may be earned are tied to how we perform over a multi-year period, which focuses management on sustaining our long-term performance;</w:t>
      </w:r>
    </w:p>
    <w:p>
      <w:pPr>
        <w:spacing w:after="0" w:line="26" w:lineRule="exact"/>
        <w:rPr>
          <w:rFonts w:ascii="Arial" w:cs="Arial" w:eastAsia="Arial" w:hAnsi="Arial"/>
          <w:sz w:val="16"/>
          <w:szCs w:val="16"/>
          <w:color w:val="355889"/>
        </w:rPr>
      </w:pPr>
    </w:p>
    <w:p>
      <w:pPr>
        <w:ind w:left="540" w:right="600" w:hanging="262"/>
        <w:spacing w:after="0" w:line="246" w:lineRule="auto"/>
        <w:tabs>
          <w:tab w:leader="none" w:pos="540" w:val="left"/>
        </w:tabs>
        <w:numPr>
          <w:ilvl w:val="0"/>
          <w:numId w:val="85"/>
        </w:numPr>
        <w:rPr>
          <w:rFonts w:ascii="Arial" w:cs="Arial" w:eastAsia="Arial" w:hAnsi="Arial"/>
          <w:sz w:val="17"/>
          <w:szCs w:val="17"/>
          <w:color w:val="355889"/>
        </w:rPr>
      </w:pPr>
      <w:r>
        <w:rPr>
          <w:rFonts w:ascii="Arial" w:cs="Arial" w:eastAsia="Arial" w:hAnsi="Arial"/>
          <w:sz w:val="18"/>
          <w:szCs w:val="18"/>
          <w:color w:val="auto"/>
        </w:rPr>
        <w:t>We structure payouts under our performance-based awards based on achieving a minimum level of performance, so that some compensation is awarded at levels below full target achievement rather than an “all-or-nothing” approach;</w:t>
      </w:r>
    </w:p>
    <w:p>
      <w:pPr>
        <w:spacing w:after="0" w:line="48" w:lineRule="exact"/>
        <w:rPr>
          <w:rFonts w:ascii="Arial" w:cs="Arial" w:eastAsia="Arial" w:hAnsi="Arial"/>
          <w:sz w:val="17"/>
          <w:szCs w:val="17"/>
          <w:color w:val="355889"/>
        </w:rPr>
      </w:pPr>
    </w:p>
    <w:p>
      <w:pPr>
        <w:ind w:left="540" w:right="20" w:hanging="262"/>
        <w:spacing w:after="0"/>
        <w:tabs>
          <w:tab w:leader="none" w:pos="540" w:val="left"/>
        </w:tabs>
        <w:numPr>
          <w:ilvl w:val="0"/>
          <w:numId w:val="85"/>
        </w:numPr>
        <w:rPr>
          <w:rFonts w:ascii="Arial" w:cs="Arial" w:eastAsia="Arial" w:hAnsi="Arial"/>
          <w:sz w:val="17"/>
          <w:szCs w:val="17"/>
          <w:color w:val="355889"/>
        </w:rPr>
      </w:pPr>
      <w:r>
        <w:rPr>
          <w:rFonts w:ascii="Arial" w:cs="Arial" w:eastAsia="Arial" w:hAnsi="Arial"/>
          <w:sz w:val="18"/>
          <w:szCs w:val="18"/>
          <w:color w:val="auto"/>
        </w:rPr>
        <w:t>We provide a significant portion of each executive’s annual compensation in the form of equity-based compensation and executives are required to maintain sizable holdings of equity in the Company under the terms of our equity ownership guidelines, which aligns an appropriate portion of their personal wealth to our long-term performance; and</w:t>
      </w:r>
    </w:p>
    <w:p>
      <w:pPr>
        <w:spacing w:after="0" w:line="54" w:lineRule="exact"/>
        <w:rPr>
          <w:rFonts w:ascii="Arial" w:cs="Arial" w:eastAsia="Arial" w:hAnsi="Arial"/>
          <w:sz w:val="17"/>
          <w:szCs w:val="17"/>
          <w:color w:val="355889"/>
        </w:rPr>
      </w:pPr>
    </w:p>
    <w:p>
      <w:pPr>
        <w:ind w:left="540" w:right="40" w:hanging="262"/>
        <w:spacing w:after="0"/>
        <w:tabs>
          <w:tab w:leader="none" w:pos="540" w:val="left"/>
        </w:tabs>
        <w:numPr>
          <w:ilvl w:val="0"/>
          <w:numId w:val="85"/>
        </w:numPr>
        <w:rPr>
          <w:rFonts w:ascii="Arial" w:cs="Arial" w:eastAsia="Arial" w:hAnsi="Arial"/>
          <w:sz w:val="17"/>
          <w:szCs w:val="17"/>
          <w:color w:val="355889"/>
        </w:rPr>
      </w:pPr>
      <w:r>
        <w:rPr>
          <w:rFonts w:ascii="Arial" w:cs="Arial" w:eastAsia="Arial" w:hAnsi="Arial"/>
          <w:sz w:val="18"/>
          <w:szCs w:val="18"/>
          <w:color w:val="auto"/>
        </w:rPr>
        <w:t>We adopted a policy for recoupment of incentive payments made to our executives, including our named executive officers, if payment was based on having met or exceeded performance expectations during a period of fraudulent activity for which the executive is responsible.</w:t>
      </w:r>
    </w:p>
    <w:p>
      <w:pPr>
        <w:spacing w:after="0" w:line="207"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Accordingly, although a significant portion of our executives’ compensation is performance-based and “at-risk,” we believe our executive compensation programs are appropriately structured and do not pose a material risk to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Executive and Director Equity Ownership Guidelines</w:t>
      </w:r>
    </w:p>
    <w:p>
      <w:pPr>
        <w:spacing w:after="0" w:line="23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furtherance of the Committee’s ongoing efforts to foster an ownership culture among our senior leadership team, we adopted equity ownership guidelines for our named executive officers and non-employee directors, as set forth below:</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Named Executive Officers and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9747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74715" cy="1714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9747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59747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9747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747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355889"/>
        </w:rPr>
        <w:t>Multiple of Base Salary or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355889"/>
        </w:rPr>
        <w:t>Annual Cash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05410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54100" cy="17145"/>
                    </a:xfrm>
                    <a:prstGeom prst="rect">
                      <a:avLst/>
                    </a:prstGeom>
                    <a:noFill/>
                  </pic:spPr>
                </pic:pic>
              </a:graphicData>
            </a:graphic>
          </wp:anchor>
        </w:drawing>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541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541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5410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5410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60" w:space="720"/>
            <w:col w:w="1660"/>
          </w:cols>
          <w:pgMar w:left="320" w:top="121" w:right="339" w:bottom="1440" w:gutter="0" w:footer="0" w:header="0"/>
          <w:type w:val="continuous"/>
        </w:sectPr>
      </w:pPr>
    </w:p>
    <w:p>
      <w:pPr>
        <w:spacing w:after="0" w:line="66"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All of our named executive officers hold a significant amount of equity in our Company and are highly incentivized to create sustainable, long-term stockholder value. The extent to which the financial interests of our named executive officers are aligned with those of stockholders is illustrated by the table below, which shows the beneficial ownership of our executives following the award of annual equity grants in 2020 and the change in value of such equity holdings following the market disruption caused by the COVID-19 pandemic shortly thereafter.</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EXECUTIVE COMPENSATION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Value of</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Actual Equity</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355889"/>
              </w:rPr>
              <w:t>Change in Value</w:t>
            </w:r>
          </w:p>
        </w:tc>
      </w:tr>
      <w:tr>
        <w:trPr>
          <w:trHeight w:val="148"/>
        </w:trPr>
        <w:tc>
          <w:tcPr>
            <w:tcW w:w="6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Shares/Units</w:t>
            </w:r>
          </w:p>
        </w:tc>
        <w:tc>
          <w:tcPr>
            <w:tcW w:w="13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Shares/Units as of</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Ownership -</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355889"/>
              </w:rPr>
              <w:t>of Shares/Units</w:t>
            </w:r>
          </w:p>
        </w:tc>
      </w:tr>
      <w:tr>
        <w:trPr>
          <w:trHeight w:val="179"/>
        </w:trPr>
        <w:tc>
          <w:tcPr>
            <w:tcW w:w="6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Beneficially</w:t>
            </w:r>
          </w:p>
        </w:tc>
        <w:tc>
          <w:tcPr>
            <w:tcW w:w="1340" w:type="dxa"/>
            <w:vAlign w:val="bottom"/>
            <w:gridSpan w:val="2"/>
          </w:tcPr>
          <w:p>
            <w:pPr>
              <w:jc w:val="right"/>
              <w:ind w:right="160"/>
              <w:spacing w:after="0" w:line="179" w:lineRule="exact"/>
              <w:rPr>
                <w:sz w:val="20"/>
                <w:szCs w:val="20"/>
                <w:color w:val="auto"/>
              </w:rPr>
            </w:pPr>
            <w:r>
              <w:rPr>
                <w:rFonts w:ascii="Arial" w:cs="Arial" w:eastAsia="Arial" w:hAnsi="Arial"/>
                <w:sz w:val="12"/>
                <w:szCs w:val="12"/>
                <w:b w:val="1"/>
                <w:bCs w:val="1"/>
                <w:color w:val="355889"/>
              </w:rPr>
              <w:t>2/12/2020</w:t>
            </w:r>
            <w:r>
              <w:rPr>
                <w:rFonts w:ascii="Arial" w:cs="Arial" w:eastAsia="Arial" w:hAnsi="Arial"/>
                <w:sz w:val="20"/>
                <w:szCs w:val="20"/>
                <w:color w:val="355889"/>
                <w:vertAlign w:val="superscript"/>
              </w:rPr>
              <w:t>(1)</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Multiple of Base</w:t>
            </w:r>
          </w:p>
        </w:tc>
        <w:tc>
          <w:tcPr>
            <w:tcW w:w="1100" w:type="dxa"/>
            <w:vAlign w:val="bottom"/>
          </w:tcPr>
          <w:p>
            <w:pPr>
              <w:jc w:val="right"/>
              <w:spacing w:after="0" w:line="179" w:lineRule="exact"/>
              <w:rPr>
                <w:sz w:val="20"/>
                <w:szCs w:val="20"/>
                <w:color w:val="auto"/>
              </w:rPr>
            </w:pPr>
            <w:r>
              <w:rPr>
                <w:rFonts w:ascii="Arial" w:cs="Arial" w:eastAsia="Arial" w:hAnsi="Arial"/>
                <w:sz w:val="12"/>
                <w:szCs w:val="12"/>
                <w:b w:val="1"/>
                <w:bCs w:val="1"/>
                <w:color w:val="355889"/>
              </w:rPr>
              <w:t>as of 3/31/2020</w:t>
            </w:r>
            <w:r>
              <w:rPr>
                <w:rFonts w:ascii="Arial" w:cs="Arial" w:eastAsia="Arial" w:hAnsi="Arial"/>
                <w:sz w:val="20"/>
                <w:szCs w:val="20"/>
                <w:color w:val="355889"/>
                <w:vertAlign w:val="superscript"/>
              </w:rPr>
              <w:t>(2)</w:t>
            </w:r>
          </w:p>
        </w:tc>
      </w:tr>
      <w:tr>
        <w:trPr>
          <w:trHeight w:val="175"/>
        </w:trPr>
        <w:tc>
          <w:tcPr>
            <w:tcW w:w="6440" w:type="dxa"/>
            <w:vAlign w:val="bottom"/>
          </w:tcPr>
          <w:p>
            <w:pPr>
              <w:spacing w:after="0"/>
              <w:rPr>
                <w:sz w:val="20"/>
                <w:szCs w:val="20"/>
                <w:color w:val="auto"/>
              </w:rPr>
            </w:pPr>
            <w:r>
              <w:rPr>
                <w:rFonts w:ascii="Arial" w:cs="Arial" w:eastAsia="Arial" w:hAnsi="Arial"/>
                <w:sz w:val="13"/>
                <w:szCs w:val="13"/>
                <w:b w:val="1"/>
                <w:bCs w:val="1"/>
                <w:color w:val="auto"/>
              </w:rPr>
              <w:t>Named Executive Officers</w:t>
            </w: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2"/>
                <w:szCs w:val="12"/>
                <w:b w:val="1"/>
                <w:bCs w:val="1"/>
                <w:color w:val="355889"/>
              </w:rPr>
              <w:t>Owned</w:t>
            </w:r>
            <w:r>
              <w:rPr>
                <w:rFonts w:ascii="Arial" w:cs="Arial" w:eastAsia="Arial" w:hAnsi="Arial"/>
                <w:sz w:val="20"/>
                <w:szCs w:val="20"/>
                <w:color w:val="355889"/>
                <w:vertAlign w:val="superscript"/>
              </w:rPr>
              <w:t>(1)</w:t>
            </w: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w:t>
            </w:r>
          </w:p>
        </w:tc>
        <w:tc>
          <w:tcPr>
            <w:tcW w:w="1200" w:type="dxa"/>
            <w:vAlign w:val="bottom"/>
            <w:gridSpan w:val="2"/>
          </w:tcPr>
          <w:p>
            <w:pPr>
              <w:jc w:val="right"/>
              <w:ind w:right="160"/>
              <w:spacing w:after="0" w:line="176" w:lineRule="exact"/>
              <w:rPr>
                <w:sz w:val="20"/>
                <w:szCs w:val="20"/>
                <w:color w:val="auto"/>
              </w:rPr>
            </w:pPr>
            <w:r>
              <w:rPr>
                <w:rFonts w:ascii="Arial" w:cs="Arial" w:eastAsia="Arial" w:hAnsi="Arial"/>
                <w:sz w:val="12"/>
                <w:szCs w:val="12"/>
                <w:b w:val="1"/>
                <w:bCs w:val="1"/>
                <w:color w:val="355889"/>
              </w:rPr>
              <w:t>Salary</w:t>
            </w:r>
            <w:r>
              <w:rPr>
                <w:rFonts w:ascii="Arial" w:cs="Arial" w:eastAsia="Arial" w:hAnsi="Arial"/>
                <w:sz w:val="20"/>
                <w:szCs w:val="20"/>
                <w:color w:val="355889"/>
                <w:vertAlign w:val="superscript"/>
              </w:rPr>
              <w:t>(1)</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355889"/>
              </w:rPr>
              <w:t>($)</w:t>
            </w:r>
          </w:p>
        </w:tc>
      </w:tr>
      <w:tr>
        <w:trPr>
          <w:trHeight w:val="27"/>
        </w:trPr>
        <w:tc>
          <w:tcPr>
            <w:tcW w:w="644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355889"/>
          </w:tcPr>
          <w:p>
            <w:pPr>
              <w:spacing w:after="0"/>
              <w:rPr>
                <w:sz w:val="2"/>
                <w:szCs w:val="2"/>
                <w:color w:val="auto"/>
              </w:rPr>
            </w:pPr>
          </w:p>
        </w:tc>
      </w:tr>
      <w:tr>
        <w:trPr>
          <w:trHeight w:val="249"/>
        </w:trPr>
        <w:tc>
          <w:tcPr>
            <w:tcW w:w="644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932,576</w:t>
            </w: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88,436,182</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71x</w:t>
            </w:r>
          </w:p>
        </w:tc>
        <w:tc>
          <w:tcPr>
            <w:tcW w:w="1100" w:type="dxa"/>
            <w:vAlign w:val="bottom"/>
          </w:tcPr>
          <w:p>
            <w:pPr>
              <w:jc w:val="right"/>
              <w:spacing w:after="0"/>
              <w:rPr>
                <w:sz w:val="20"/>
                <w:szCs w:val="20"/>
                <w:color w:val="auto"/>
              </w:rPr>
            </w:pPr>
            <w:r>
              <w:rPr>
                <w:rFonts w:ascii="Arial" w:cs="Arial" w:eastAsia="Arial" w:hAnsi="Arial"/>
                <w:sz w:val="18"/>
                <w:szCs w:val="18"/>
                <w:color w:val="auto"/>
              </w:rPr>
              <w:t>(48,242,156)</w:t>
            </w:r>
          </w:p>
        </w:tc>
      </w:tr>
      <w:tr>
        <w:trPr>
          <w:trHeight w:val="21"/>
        </w:trPr>
        <w:tc>
          <w:tcPr>
            <w:tcW w:w="64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8797B7"/>
          </w:tcPr>
          <w:p>
            <w:pPr>
              <w:spacing w:after="0" w:line="20" w:lineRule="exact"/>
              <w:rPr>
                <w:sz w:val="1"/>
                <w:szCs w:val="1"/>
                <w:color w:val="auto"/>
              </w:rPr>
            </w:pPr>
          </w:p>
        </w:tc>
      </w:tr>
      <w:tr>
        <w:trPr>
          <w:trHeight w:val="249"/>
        </w:trPr>
        <w:tc>
          <w:tcPr>
            <w:tcW w:w="644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1,051,390</w:t>
            </w: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99,703,314</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105x</w:t>
            </w:r>
          </w:p>
        </w:tc>
        <w:tc>
          <w:tcPr>
            <w:tcW w:w="1100" w:type="dxa"/>
            <w:vAlign w:val="bottom"/>
          </w:tcPr>
          <w:p>
            <w:pPr>
              <w:jc w:val="right"/>
              <w:spacing w:after="0"/>
              <w:rPr>
                <w:sz w:val="20"/>
                <w:szCs w:val="20"/>
                <w:color w:val="auto"/>
              </w:rPr>
            </w:pPr>
            <w:r>
              <w:rPr>
                <w:rFonts w:ascii="Arial" w:cs="Arial" w:eastAsia="Arial" w:hAnsi="Arial"/>
                <w:sz w:val="18"/>
                <w:szCs w:val="18"/>
                <w:color w:val="auto"/>
              </w:rPr>
              <w:t>(54,388,405)</w:t>
            </w:r>
          </w:p>
        </w:tc>
      </w:tr>
      <w:tr>
        <w:trPr>
          <w:trHeight w:val="21"/>
        </w:trPr>
        <w:tc>
          <w:tcPr>
            <w:tcW w:w="64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8797B7"/>
          </w:tcPr>
          <w:p>
            <w:pPr>
              <w:spacing w:after="0" w:line="20" w:lineRule="exact"/>
              <w:rPr>
                <w:sz w:val="1"/>
                <w:szCs w:val="1"/>
                <w:color w:val="auto"/>
              </w:rPr>
            </w:pPr>
          </w:p>
        </w:tc>
      </w:tr>
      <w:tr>
        <w:trPr>
          <w:trHeight w:val="249"/>
        </w:trPr>
        <w:tc>
          <w:tcPr>
            <w:tcW w:w="6440" w:type="dxa"/>
            <w:vAlign w:val="bottom"/>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54,450</w:t>
            </w: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5,163,494</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9x</w:t>
            </w:r>
          </w:p>
        </w:tc>
        <w:tc>
          <w:tcPr>
            <w:tcW w:w="1100" w:type="dxa"/>
            <w:vAlign w:val="bottom"/>
          </w:tcPr>
          <w:p>
            <w:pPr>
              <w:jc w:val="right"/>
              <w:spacing w:after="0"/>
              <w:rPr>
                <w:sz w:val="20"/>
                <w:szCs w:val="20"/>
                <w:color w:val="auto"/>
              </w:rPr>
            </w:pPr>
            <w:r>
              <w:rPr>
                <w:rFonts w:ascii="Arial" w:cs="Arial" w:eastAsia="Arial" w:hAnsi="Arial"/>
                <w:sz w:val="18"/>
                <w:szCs w:val="18"/>
                <w:color w:val="auto"/>
              </w:rPr>
              <w:t>(2,816,699)</w:t>
            </w:r>
          </w:p>
        </w:tc>
      </w:tr>
      <w:tr>
        <w:trPr>
          <w:trHeight w:val="21"/>
        </w:trPr>
        <w:tc>
          <w:tcPr>
            <w:tcW w:w="64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8797B7"/>
          </w:tcPr>
          <w:p>
            <w:pPr>
              <w:spacing w:after="0" w:line="20" w:lineRule="exact"/>
              <w:rPr>
                <w:sz w:val="1"/>
                <w:szCs w:val="1"/>
                <w:color w:val="auto"/>
              </w:rPr>
            </w:pPr>
          </w:p>
        </w:tc>
      </w:tr>
      <w:tr>
        <w:trPr>
          <w:trHeight w:val="249"/>
        </w:trPr>
        <w:tc>
          <w:tcPr>
            <w:tcW w:w="6440" w:type="dxa"/>
            <w:vAlign w:val="bottom"/>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154,544</w:t>
            </w: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14,655,408</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25x</w:t>
            </w:r>
          </w:p>
        </w:tc>
        <w:tc>
          <w:tcPr>
            <w:tcW w:w="1100" w:type="dxa"/>
            <w:vAlign w:val="bottom"/>
          </w:tcPr>
          <w:p>
            <w:pPr>
              <w:jc w:val="right"/>
              <w:spacing w:after="0"/>
              <w:rPr>
                <w:sz w:val="20"/>
                <w:szCs w:val="20"/>
                <w:color w:val="auto"/>
              </w:rPr>
            </w:pPr>
            <w:r>
              <w:rPr>
                <w:rFonts w:ascii="Arial" w:cs="Arial" w:eastAsia="Arial" w:hAnsi="Arial"/>
                <w:sz w:val="18"/>
                <w:szCs w:val="18"/>
                <w:color w:val="auto"/>
              </w:rPr>
              <w:t>(7,994,561)</w:t>
            </w:r>
          </w:p>
        </w:tc>
      </w:tr>
      <w:tr>
        <w:trPr>
          <w:trHeight w:val="35"/>
        </w:trPr>
        <w:tc>
          <w:tcPr>
            <w:tcW w:w="644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shd w:val="clear" w:color="auto" w:fill="355889"/>
          </w:tcPr>
          <w:p>
            <w:pPr>
              <w:spacing w:after="0"/>
              <w:rPr>
                <w:sz w:val="3"/>
                <w:szCs w:val="3"/>
                <w:color w:val="auto"/>
              </w:rPr>
            </w:pPr>
          </w:p>
        </w:tc>
      </w:tr>
    </w:tbl>
    <w:p>
      <w:pPr>
        <w:spacing w:after="0" w:line="107" w:lineRule="exact"/>
        <w:rPr>
          <w:sz w:val="20"/>
          <w:szCs w:val="20"/>
          <w:color w:val="auto"/>
        </w:rPr>
      </w:pPr>
    </w:p>
    <w:p>
      <w:pPr>
        <w:ind w:left="320" w:right="180" w:hanging="312"/>
        <w:spacing w:after="0" w:line="258" w:lineRule="auto"/>
        <w:tabs>
          <w:tab w:leader="none" w:pos="3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As of February 12, 2020. The “Value of Shares/Units” is based on a price of $94.83 per share/unit, which was the closing price on the NYSE of one share of our common stock as of such date.</w:t>
      </w:r>
    </w:p>
    <w:p>
      <w:pPr>
        <w:spacing w:after="0" w:line="43" w:lineRule="exact"/>
        <w:rPr>
          <w:rFonts w:ascii="Arial" w:cs="Arial" w:eastAsia="Arial" w:hAnsi="Arial"/>
          <w:sz w:val="13"/>
          <w:szCs w:val="13"/>
          <w:color w:val="auto"/>
        </w:rPr>
      </w:pPr>
    </w:p>
    <w:p>
      <w:pPr>
        <w:ind w:left="320" w:hanging="312"/>
        <w:spacing w:after="0"/>
        <w:tabs>
          <w:tab w:leader="none" w:pos="3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Based on a price of $43.10 per share/unit, which was the closing price on the NYSE of one share of our common stock on March 31, 2020.</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Perquisites and Other Personal Benefits</w:t>
      </w:r>
    </w:p>
    <w:p>
      <w:pPr>
        <w:spacing w:after="0" w:line="23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do not provide significant perquisites or personal benefits to our named executive officers, except that we provide leased automobiles for our Chief Executive Officer and President. Additionally, our Chief Executive Officer receives certain insurance benefits. The costs of these benefits constituted less than one percent of the applicable executive’s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Employment Agreements</w:t>
      </w:r>
    </w:p>
    <w:p>
      <w:pPr>
        <w:spacing w:after="0" w:line="2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 noted above, we have employment agreements with all of our named executive officers. All of the employment agreements with our named executive officers provide for, among other things, severance payments and benefits and acceleration of equity awards in connection with certain qualified terminations. In return, each of our named executive officers has agreed to non-compete, non-solicitation, non-interference and confidentiality provisions. For each of our executives, we believe that, because the severance level is negotiated up front, it makes it easier for us to terminate these executives without the need for protracted negotiations over severance. We also believe that providing pre-negotiated severance benefits for all of our executives in the event they are terminated without cause or terminate their employment for good reason following a change in control helps to further align the interests of our executives and our stockholders in the event of a potentially attractive proposed change in control transaction following which one or more of our executives may be expected to be terminated. See “—Executive Compensation Tables—Potential Payments Upon Termination or Change in Control” for a summary of the employment agreements with our named executive officers.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Clawback Policy</w:t>
      </w:r>
    </w:p>
    <w:p>
      <w:pPr>
        <w:spacing w:after="0" w:line="23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Board adopted a clawback policy under which any incentive payments made to a named executive officer on the basis of having met or exceeded performance targets during a period of fraudulent activity for which such executive is found personally responsible may be recouped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Anti-hedging Policy</w:t>
      </w:r>
    </w:p>
    <w:p>
      <w:pPr>
        <w:spacing w:after="0" w:line="23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Board has adopted a policy prohibiting all of our executive officers and directors from engaging in hedging transactions with respect to our securities. Pursuant to this policy, our executive officers and directors may not engage in hedging transactions with respect to our securities (including, without limitation, partnership interests in our operating partnership) through puts, calls, covered calls, synthetic purchases, collars, other derivative securities of the Company or otherwise at any time. Prior to the adoption of this policy, none of our executive officers or directors were engaging in any hedging transactions with respect to our securities, and this policy was adopted to formally reflect the practices that our executive officers and directors had already been observing. The Company does not have any practices or policies regarding the ability of any other employees to purchase financial instruments or otherwise engage in transactions that hedge or offset, or are designed to hedge or offset, any decrease in the market value of the Company’s equity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Other Matters</w:t>
      </w:r>
    </w:p>
    <w:p>
      <w:pPr>
        <w:spacing w:after="0" w:line="21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i w:val="1"/>
          <w:iCs w:val="1"/>
          <w:color w:val="355889"/>
        </w:rPr>
        <w:t xml:space="preserve">LTIP units and Class O LTIP units. </w:t>
      </w:r>
      <w:r>
        <w:rPr>
          <w:rFonts w:ascii="Arial" w:cs="Arial" w:eastAsia="Arial" w:hAnsi="Arial"/>
          <w:sz w:val="18"/>
          <w:szCs w:val="18"/>
          <w:color w:val="000000"/>
        </w:rPr>
        <w:t>We issued a separate class of units of limited partnership interest in our operating partnership, which we refer</w:t>
      </w:r>
      <w:r>
        <w:rPr>
          <w:rFonts w:ascii="Arial" w:cs="Arial" w:eastAsia="Arial" w:hAnsi="Arial"/>
          <w:sz w:val="18"/>
          <w:szCs w:val="18"/>
          <w:i w:val="1"/>
          <w:iCs w:val="1"/>
          <w:color w:val="355889"/>
        </w:rPr>
        <w:t xml:space="preserve"> </w:t>
      </w:r>
      <w:r>
        <w:rPr>
          <w:rFonts w:ascii="Arial" w:cs="Arial" w:eastAsia="Arial" w:hAnsi="Arial"/>
          <w:sz w:val="18"/>
          <w:szCs w:val="18"/>
          <w:color w:val="000000"/>
        </w:rPr>
        <w:t>to as LTIP units, for the equity bonuses that we granted to our named executive officers for 2019 and as equity awards granted in connection with new or extended employment agreements or the provisions of such agreements. LTIP units are similar to common units in our operating partnership, which generally are economically equivalent to shares of our common stock, except that the LTIP units are structured as “profits interests” for U.S. federal income tax purposes under current federal income tax law.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If the value of the assets of our operating partnership increases sufficiently, the LTIP units can achieve full parity with common units in our operating partnership. If such parity is achieved, LTIP units may be converted, subject to the satisfaction of applicable vesting conditions, on a one-for-one basis into common units, which in turn are redeemable by the holder for cash or, at our election, on a one-for-one basis into shares of our common stock. LTIP units are not entitled to distributions prior to being</w:t>
      </w:r>
    </w:p>
    <w:p>
      <w:pPr>
        <w:spacing w:after="0" w:line="213" w:lineRule="exact"/>
        <w:rPr>
          <w:sz w:val="20"/>
          <w:szCs w:val="20"/>
          <w:color w:val="auto"/>
        </w:rPr>
      </w:pPr>
    </w:p>
    <w:p>
      <w:pPr>
        <w:ind w:left="300" w:hanging="292"/>
        <w:spacing w:after="0"/>
        <w:tabs>
          <w:tab w:leader="none" w:pos="300" w:val="left"/>
        </w:tabs>
        <w:numPr>
          <w:ilvl w:val="0"/>
          <w:numId w:val="87"/>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780"/>
        <w:spacing w:after="0"/>
        <w:rPr>
          <w:sz w:val="20"/>
          <w:szCs w:val="20"/>
          <w:color w:val="auto"/>
        </w:rPr>
      </w:pPr>
      <w:r>
        <w:rPr>
          <w:rFonts w:ascii="Arial" w:cs="Arial" w:eastAsia="Arial" w:hAnsi="Arial"/>
          <w:sz w:val="16"/>
          <w:szCs w:val="16"/>
          <w:u w:val="single" w:color="auto"/>
          <w:color w:val="355889"/>
        </w:rPr>
        <w:t>EXECUTIVE COMPENSATION</w:t>
      </w:r>
    </w:p>
    <w:p>
      <w:pPr>
        <w:spacing w:after="0" w:line="235"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earned based on achievement against the performance-based hurdles contained in these plans. Once earned, these LTIP units, whether vested or unvested, entitle the holder to receive distributions per unit from our operating partnership that are equivalent to the dividends paid per share on our common stock.</w:t>
      </w:r>
    </w:p>
    <w:p>
      <w:pPr>
        <w:spacing w:after="0" w:line="20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addition to the LTIP units described above that we issued in lieu of shares of restricted stock, we also have issued another class of units of limited partnership interest in our operating partnership that are intended to be similar to stock options from an economic perspective, which we refer to as Class O LTIP units. Class O LTIP units are also intended to qualify as “profits interests” for U.S. federal income tax purposes. During 2019, we did not grant any Class O LTIP units.</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Like stock options, Class O LTIP units operate in a manner that generally permits holders to realize the benefit of any increase in the per share value of our common stock above the value at the time the Class O LTIP units are granted. At the time of the grant of Class O LTIP units, the operating partnership establishes a conversion threshold, the vesting terms and the mandatory conversion date, if any, for the Class O LTIP units. The conversion threshold corresponds to the exercise price of a stock option while the mandatory conversion date corresponds to the expiration date of a stock option. Similar to the exercise price for stock options, the conversion threshold will equal the per unit value of the common units of our operating partnership on the grant date. Class O LTIP units will receive 10% distributions relating to periods between grant and vesting upon vesting, and will receive 10% distributions from vesting to their conversion as opposed to holders of non-qualified stock options who will not receive any distributions relating to periods between grant and exercise.</w:t>
      </w:r>
    </w:p>
    <w:p>
      <w:pPr>
        <w:spacing w:after="0" w:line="208"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Once Class O LTIP units have vested, they may be converted into common units of our operating partnership by the holder at any time prior to their mandatory conversion date in a manner that is similar to a net exercise of stock options. Upon exercise of this conversion right, the Class O LTIP units will convert into a number of common units of the operating partnership that have an aggregate value equal to the aggregate spread of the Class O LTIP units that are converted. The “spread” for each Class O LTIP unit will equal the excess, if any, of the value of our operating partnership’s assets per common unit on the conversion date above the per unit value at the time the Class O LTIP unit was granted (i.e., the conversion threshold). Any Class O LTIP units that have not been voluntarily converted prior to the mandatory conversion date established at the time the Class O LTIP units were granted will automatically convert into common units on such mandatory conversion date, or be forfeited if the value of our operating partnership’s assets per common unit is less than the conversion threshold for the Class O LTIP units.</w:t>
      </w:r>
    </w:p>
    <w:p>
      <w:pPr>
        <w:spacing w:after="0" w:line="186"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LTIP units and Class O LTIP units are intended to offer executives substantially the same long-term incentive as shares of restricted stock and stock options, respectively, with more favorable U.S. federal income tax treatment available for “profits interests” under current federal income tax law. More specifically, one key disadvantage of restricted stock is that executives are generally taxed on the full market value of a grant at the time of vesting, even if they choose to hold the stock. Similarly, holders of non-qualified stock options are taxed upon exercise. Conversely, under current federal income tax law, an executive would generally not be subject to tax at the time of issuance or vesting of an LTIP unit or Class O LTIP unit or conversion into common units but only when he or she chooses to liquidate the common units into which his or her LTIP units or Class O LTIP units convert. Therefore, an executive who wishes to hold his or her equity awards for the long term can generally do so in a more tax-efficient manner with LTIP units or Class O LTIP units. In light of the increased tax efficiency, we have chosen to use LTIP units and Class O LTIP units for grants to our executives. We believe that the use of LTIP units and Class O LTIP units has (i) enhanced our equity-based compensation package overall, (ii) advanced the goal of promoting long-term equity ownership by executives, (iii) not adversely impacted dilution as compared to restricted stock, and (iv) further aligned the interests of our executives with the interests of our stockholders.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EXECUTIVE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Summary Compensation Table</w:t>
      </w:r>
    </w:p>
    <w:p>
      <w:pPr>
        <w:spacing w:after="0" w:line="23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following table sets forth information regarding the compensation paid to the individuals who served as our Chief Executive Officer and Chief Financial Officer during our 2019 fiscal year and two of our most highly compensated executive officers, other than our Chief Executive Officer and Chief Financial Officer, whose total compensation exceeded $100,000 during the fiscal year ended December 31, 2019, or collectively, the “named executive officers.”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355889"/>
              </w:rPr>
              <w:t>Option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55889"/>
              </w:rPr>
              <w:t>Non-Equity</w:t>
            </w:r>
          </w:p>
        </w:tc>
        <w:tc>
          <w:tcPr>
            <w:tcW w:w="260" w:type="dxa"/>
            <w:vAlign w:val="bottom"/>
          </w:tcPr>
          <w:p>
            <w:pPr>
              <w:spacing w:after="0"/>
              <w:rPr>
                <w:sz w:val="14"/>
                <w:szCs w:val="14"/>
                <w:color w:val="auto"/>
              </w:rPr>
            </w:pPr>
          </w:p>
        </w:tc>
        <w:tc>
          <w:tcPr>
            <w:tcW w:w="14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355889"/>
              </w:rPr>
              <w:t>All Other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355889"/>
              </w:rPr>
              <w:t>Stock Awards</w:t>
            </w:r>
            <w:r>
              <w:rPr>
                <w:rFonts w:ascii="Arial" w:cs="Arial" w:eastAsia="Arial" w:hAnsi="Arial"/>
                <w:sz w:val="23"/>
                <w:szCs w:val="23"/>
                <w:b w:val="1"/>
                <w:bCs w:val="1"/>
                <w:color w:val="355889"/>
                <w:vertAlign w:val="superscript"/>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20"/>
              <w:spacing w:after="0" w:line="148" w:lineRule="exact"/>
              <w:rPr>
                <w:sz w:val="20"/>
                <w:szCs w:val="20"/>
                <w:color w:val="auto"/>
              </w:rPr>
            </w:pPr>
            <w:r>
              <w:rPr>
                <w:rFonts w:ascii="Arial" w:cs="Arial" w:eastAsia="Arial" w:hAnsi="Arial"/>
                <w:sz w:val="14"/>
                <w:szCs w:val="14"/>
                <w:b w:val="1"/>
                <w:bCs w:val="1"/>
                <w:color w:val="355889"/>
                <w:w w:val="99"/>
              </w:rPr>
              <w:t>Incentive Plan</w:t>
            </w:r>
          </w:p>
        </w:tc>
        <w:tc>
          <w:tcPr>
            <w:tcW w:w="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20"/>
                <w:szCs w:val="20"/>
                <w:color w:val="auto"/>
              </w:rPr>
            </w:pPr>
            <w:r>
              <w:rPr>
                <w:rFonts w:ascii="Arial" w:cs="Arial" w:eastAsia="Arial" w:hAnsi="Arial"/>
                <w:sz w:val="14"/>
                <w:szCs w:val="14"/>
                <w:b w:val="1"/>
                <w:bCs w:val="1"/>
                <w:color w:val="355889"/>
              </w:rPr>
              <w:t>Name and Principal</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340"/>
              <w:spacing w:after="0"/>
              <w:rPr>
                <w:sz w:val="20"/>
                <w:szCs w:val="20"/>
                <w:color w:val="auto"/>
              </w:rPr>
            </w:pPr>
            <w:r>
              <w:rPr>
                <w:rFonts w:ascii="Arial" w:cs="Arial" w:eastAsia="Arial" w:hAnsi="Arial"/>
                <w:sz w:val="14"/>
                <w:szCs w:val="14"/>
                <w:b w:val="1"/>
                <w:bCs w:val="1"/>
                <w:color w:val="355889"/>
              </w:rPr>
              <w:t>Salary</w:t>
            </w:r>
          </w:p>
        </w:tc>
        <w:tc>
          <w:tcPr>
            <w:tcW w:w="1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55889"/>
              </w:rPr>
              <w:t>Bonus</w:t>
            </w:r>
          </w:p>
        </w:tc>
        <w:tc>
          <w:tcPr>
            <w:tcW w:w="11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40"/>
              <w:spacing w:after="0" w:line="176" w:lineRule="exact"/>
              <w:rPr>
                <w:sz w:val="20"/>
                <w:szCs w:val="20"/>
                <w:color w:val="auto"/>
              </w:rPr>
            </w:pPr>
            <w:r>
              <w:rPr>
                <w:rFonts w:ascii="Arial" w:cs="Arial" w:eastAsia="Arial" w:hAnsi="Arial"/>
                <w:sz w:val="13"/>
                <w:szCs w:val="13"/>
                <w:b w:val="1"/>
                <w:bCs w:val="1"/>
                <w:color w:val="355889"/>
              </w:rPr>
              <w:t>Awards</w:t>
            </w:r>
            <w:r>
              <w:rPr>
                <w:rFonts w:ascii="Arial" w:cs="Arial" w:eastAsia="Arial" w:hAnsi="Arial"/>
                <w:sz w:val="20"/>
                <w:szCs w:val="20"/>
                <w:b w:val="1"/>
                <w:bCs w:val="1"/>
                <w:color w:val="355889"/>
                <w:vertAlign w:val="superscript"/>
              </w:rPr>
              <w:t>(1)</w:t>
            </w:r>
          </w:p>
        </w:tc>
        <w:tc>
          <w:tcPr>
            <w:tcW w:w="60" w:type="dxa"/>
            <w:vAlign w:val="bottom"/>
          </w:tcPr>
          <w:p>
            <w:pPr>
              <w:spacing w:after="0"/>
              <w:rPr>
                <w:sz w:val="15"/>
                <w:szCs w:val="15"/>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355889"/>
              </w:rPr>
              <w:t>Compensation</w:t>
            </w:r>
          </w:p>
        </w:tc>
        <w:tc>
          <w:tcPr>
            <w:tcW w:w="260" w:type="dxa"/>
            <w:vAlign w:val="bottom"/>
          </w:tcPr>
          <w:p>
            <w:pPr>
              <w:spacing w:after="0"/>
              <w:rPr>
                <w:sz w:val="15"/>
                <w:szCs w:val="15"/>
                <w:color w:val="auto"/>
              </w:rPr>
            </w:pPr>
          </w:p>
        </w:tc>
        <w:tc>
          <w:tcPr>
            <w:tcW w:w="1400" w:type="dxa"/>
            <w:vAlign w:val="bottom"/>
            <w:gridSpan w:val="2"/>
          </w:tcPr>
          <w:p>
            <w:pPr>
              <w:jc w:val="right"/>
              <w:ind w:right="60"/>
              <w:spacing w:after="0" w:line="176" w:lineRule="exact"/>
              <w:rPr>
                <w:sz w:val="20"/>
                <w:szCs w:val="20"/>
                <w:color w:val="auto"/>
              </w:rPr>
            </w:pPr>
            <w:r>
              <w:rPr>
                <w:rFonts w:ascii="Arial" w:cs="Arial" w:eastAsia="Arial" w:hAnsi="Arial"/>
                <w:sz w:val="13"/>
                <w:szCs w:val="13"/>
                <w:b w:val="1"/>
                <w:bCs w:val="1"/>
                <w:color w:val="355889"/>
              </w:rPr>
              <w:t>Compensation</w:t>
            </w:r>
            <w:r>
              <w:rPr>
                <w:rFonts w:ascii="Arial" w:cs="Arial" w:eastAsia="Arial" w:hAnsi="Arial"/>
                <w:sz w:val="20"/>
                <w:szCs w:val="20"/>
                <w:b w:val="1"/>
                <w:bCs w:val="1"/>
                <w:color w:val="355889"/>
                <w:vertAlign w:val="superscript"/>
              </w:rPr>
              <w:t>(3)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355889"/>
              </w:rPr>
              <w:t>Total</w:t>
            </w:r>
          </w:p>
        </w:tc>
        <w:tc>
          <w:tcPr>
            <w:tcW w:w="0" w:type="dxa"/>
            <w:vAlign w:val="bottom"/>
          </w:tcPr>
          <w:p>
            <w:pPr>
              <w:spacing w:after="0"/>
              <w:rPr>
                <w:sz w:val="1"/>
                <w:szCs w:val="1"/>
                <w:color w:val="auto"/>
              </w:rPr>
            </w:pPr>
          </w:p>
        </w:tc>
      </w:tr>
      <w:tr>
        <w:trPr>
          <w:trHeight w:val="182"/>
        </w:trPr>
        <w:tc>
          <w:tcPr>
            <w:tcW w:w="2320" w:type="dxa"/>
            <w:vAlign w:val="bottom"/>
          </w:tcPr>
          <w:p>
            <w:pPr>
              <w:spacing w:after="0"/>
              <w:rPr>
                <w:sz w:val="20"/>
                <w:szCs w:val="20"/>
                <w:color w:val="auto"/>
              </w:rPr>
            </w:pPr>
            <w:r>
              <w:rPr>
                <w:rFonts w:ascii="Arial" w:cs="Arial" w:eastAsia="Arial" w:hAnsi="Arial"/>
                <w:sz w:val="14"/>
                <w:szCs w:val="14"/>
                <w:b w:val="1"/>
                <w:bCs w:val="1"/>
                <w:color w:val="355889"/>
              </w:rPr>
              <w:t>Position</w:t>
            </w:r>
          </w:p>
        </w:tc>
        <w:tc>
          <w:tcPr>
            <w:tcW w:w="100" w:type="dxa"/>
            <w:vAlign w:val="bottom"/>
          </w:tcPr>
          <w:p>
            <w:pPr>
              <w:spacing w:after="0"/>
              <w:rPr>
                <w:sz w:val="15"/>
                <w:szCs w:val="15"/>
                <w:color w:val="auto"/>
              </w:rPr>
            </w:pPr>
          </w:p>
        </w:tc>
        <w:tc>
          <w:tcPr>
            <w:tcW w:w="480" w:type="dxa"/>
            <w:vAlign w:val="bottom"/>
            <w:gridSpan w:val="2"/>
          </w:tcPr>
          <w:p>
            <w:pPr>
              <w:ind w:left="60"/>
              <w:spacing w:after="0"/>
              <w:rPr>
                <w:sz w:val="20"/>
                <w:szCs w:val="20"/>
                <w:color w:val="auto"/>
              </w:rPr>
            </w:pPr>
            <w:r>
              <w:rPr>
                <w:rFonts w:ascii="Arial" w:cs="Arial" w:eastAsia="Arial" w:hAnsi="Arial"/>
                <w:sz w:val="14"/>
                <w:szCs w:val="14"/>
                <w:b w:val="1"/>
                <w:bCs w:val="1"/>
                <w:color w:val="355889"/>
              </w:rPr>
              <w:t>Year</w:t>
            </w:r>
          </w:p>
        </w:tc>
        <w:tc>
          <w:tcPr>
            <w:tcW w:w="1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55889"/>
              </w:rPr>
              <w:t>($)</w:t>
            </w:r>
          </w:p>
        </w:tc>
        <w:tc>
          <w:tcPr>
            <w:tcW w:w="1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55889"/>
              </w:rPr>
              <w:t>($)</w:t>
            </w:r>
          </w:p>
        </w:tc>
        <w:tc>
          <w:tcPr>
            <w:tcW w:w="18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355889"/>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355889"/>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355889"/>
              </w:rPr>
              <w:t>($)</w:t>
            </w:r>
          </w:p>
        </w:tc>
        <w:tc>
          <w:tcPr>
            <w:tcW w:w="260" w:type="dxa"/>
            <w:vAlign w:val="bottom"/>
          </w:tcPr>
          <w:p>
            <w:pPr>
              <w:spacing w:after="0"/>
              <w:rPr>
                <w:sz w:val="15"/>
                <w:szCs w:val="15"/>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355889"/>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355889"/>
              </w:rPr>
              <w:t>($)</w:t>
            </w:r>
          </w:p>
        </w:tc>
        <w:tc>
          <w:tcPr>
            <w:tcW w:w="0" w:type="dxa"/>
            <w:vAlign w:val="bottom"/>
          </w:tcPr>
          <w:p>
            <w:pPr>
              <w:spacing w:after="0"/>
              <w:rPr>
                <w:sz w:val="1"/>
                <w:szCs w:val="1"/>
                <w:color w:val="auto"/>
              </w:rPr>
            </w:pPr>
          </w:p>
        </w:tc>
      </w:tr>
      <w:tr>
        <w:trPr>
          <w:trHeight w:val="218"/>
        </w:trPr>
        <w:tc>
          <w:tcPr>
            <w:tcW w:w="2320" w:type="dxa"/>
            <w:vAlign w:val="bottom"/>
            <w:tcBorders>
              <w:top w:val="single" w:sz="8" w:color="355889"/>
            </w:tcBorders>
          </w:tcPr>
          <w:p>
            <w:pPr>
              <w:spacing w:after="0"/>
              <w:rPr>
                <w:sz w:val="20"/>
                <w:szCs w:val="20"/>
                <w:color w:val="auto"/>
              </w:rPr>
            </w:pPr>
            <w:r>
              <w:rPr>
                <w:rFonts w:ascii="Arial" w:cs="Arial" w:eastAsia="Arial" w:hAnsi="Arial"/>
                <w:sz w:val="16"/>
                <w:szCs w:val="16"/>
                <w:color w:val="auto"/>
              </w:rPr>
              <w:t>Marc Holliday</w:t>
            </w:r>
          </w:p>
        </w:tc>
        <w:tc>
          <w:tcPr>
            <w:tcW w:w="100" w:type="dxa"/>
            <w:vAlign w:val="bottom"/>
          </w:tcPr>
          <w:p>
            <w:pPr>
              <w:spacing w:after="0"/>
              <w:rPr>
                <w:sz w:val="18"/>
                <w:szCs w:val="18"/>
                <w:color w:val="auto"/>
              </w:rPr>
            </w:pPr>
          </w:p>
        </w:tc>
        <w:tc>
          <w:tcPr>
            <w:tcW w:w="360" w:type="dxa"/>
            <w:vAlign w:val="bottom"/>
            <w:tcBorders>
              <w:top w:val="single" w:sz="8" w:color="355889"/>
            </w:tcBorders>
            <w:shd w:val="clear" w:color="auto" w:fill="CCD3E1"/>
          </w:tcPr>
          <w:p>
            <w:pPr>
              <w:jc w:val="right"/>
              <w:spacing w:after="0"/>
              <w:rPr>
                <w:sz w:val="20"/>
                <w:szCs w:val="20"/>
                <w:color w:val="auto"/>
              </w:rPr>
            </w:pPr>
            <w:r>
              <w:rPr>
                <w:rFonts w:ascii="Arial" w:cs="Arial" w:eastAsia="Arial" w:hAnsi="Arial"/>
                <w:sz w:val="16"/>
                <w:szCs w:val="16"/>
                <w:color w:val="auto"/>
                <w:w w:val="95"/>
              </w:rPr>
              <w:t>2019</w:t>
            </w:r>
          </w:p>
        </w:tc>
        <w:tc>
          <w:tcPr>
            <w:tcW w:w="120" w:type="dxa"/>
            <w:vAlign w:val="bottom"/>
          </w:tcPr>
          <w:p>
            <w:pPr>
              <w:spacing w:after="0"/>
              <w:rPr>
                <w:sz w:val="18"/>
                <w:szCs w:val="18"/>
                <w:color w:val="auto"/>
              </w:rPr>
            </w:pPr>
          </w:p>
        </w:tc>
        <w:tc>
          <w:tcPr>
            <w:tcW w:w="140" w:type="dxa"/>
            <w:vAlign w:val="bottom"/>
            <w:tcBorders>
              <w:top w:val="single" w:sz="8" w:color="355889"/>
            </w:tcBorders>
            <w:shd w:val="clear" w:color="auto" w:fill="CCD3E1"/>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355889"/>
            </w:tcBorders>
            <w:shd w:val="clear" w:color="auto" w:fill="CCD3E1"/>
          </w:tcPr>
          <w:p>
            <w:pPr>
              <w:jc w:val="right"/>
              <w:spacing w:after="0"/>
              <w:rPr>
                <w:sz w:val="20"/>
                <w:szCs w:val="20"/>
                <w:color w:val="auto"/>
              </w:rPr>
            </w:pPr>
            <w:r>
              <w:rPr>
                <w:rFonts w:ascii="Arial" w:cs="Arial" w:eastAsia="Arial" w:hAnsi="Arial"/>
                <w:sz w:val="16"/>
                <w:szCs w:val="16"/>
                <w:color w:val="auto"/>
              </w:rPr>
              <w:t>1,250,000</w:t>
            </w:r>
          </w:p>
        </w:tc>
        <w:tc>
          <w:tcPr>
            <w:tcW w:w="100" w:type="dxa"/>
            <w:vAlign w:val="bottom"/>
          </w:tcPr>
          <w:p>
            <w:pPr>
              <w:spacing w:after="0"/>
              <w:rPr>
                <w:sz w:val="18"/>
                <w:szCs w:val="18"/>
                <w:color w:val="auto"/>
              </w:rPr>
            </w:pPr>
          </w:p>
        </w:tc>
        <w:tc>
          <w:tcPr>
            <w:tcW w:w="140" w:type="dxa"/>
            <w:vAlign w:val="bottom"/>
            <w:tcBorders>
              <w:top w:val="single" w:sz="8" w:color="355889"/>
            </w:tcBorders>
            <w:shd w:val="clear" w:color="auto" w:fill="CCD3E1"/>
          </w:tcPr>
          <w:p>
            <w:pPr>
              <w:spacing w:after="0"/>
              <w:rPr>
                <w:sz w:val="18"/>
                <w:szCs w:val="18"/>
                <w:color w:val="auto"/>
              </w:rPr>
            </w:pPr>
          </w:p>
        </w:tc>
        <w:tc>
          <w:tcPr>
            <w:tcW w:w="940" w:type="dxa"/>
            <w:vAlign w:val="bottom"/>
            <w:tcBorders>
              <w:top w:val="single" w:sz="8" w:color="355889"/>
            </w:tcBorders>
            <w:shd w:val="clear" w:color="auto" w:fill="CCD3E1"/>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355889"/>
            </w:tcBorders>
            <w:shd w:val="clear" w:color="auto" w:fill="CCD3E1"/>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355889"/>
            </w:tcBorders>
            <w:shd w:val="clear" w:color="auto" w:fill="CCD3E1"/>
          </w:tcPr>
          <w:p>
            <w:pPr>
              <w:jc w:val="right"/>
              <w:spacing w:after="0"/>
              <w:rPr>
                <w:sz w:val="20"/>
                <w:szCs w:val="20"/>
                <w:color w:val="auto"/>
              </w:rPr>
            </w:pPr>
            <w:r>
              <w:rPr>
                <w:rFonts w:ascii="Arial" w:cs="Arial" w:eastAsia="Arial" w:hAnsi="Arial"/>
                <w:sz w:val="16"/>
                <w:szCs w:val="16"/>
                <w:color w:val="auto"/>
              </w:rPr>
              <w:t>16,397,131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355889"/>
            </w:tcBorders>
            <w:shd w:val="clear" w:color="auto" w:fill="CCD3E1"/>
          </w:tcPr>
          <w:p>
            <w:pPr>
              <w:spacing w:after="0"/>
              <w:rPr>
                <w:sz w:val="18"/>
                <w:szCs w:val="18"/>
                <w:color w:val="auto"/>
              </w:rPr>
            </w:pPr>
          </w:p>
        </w:tc>
        <w:tc>
          <w:tcPr>
            <w:tcW w:w="780" w:type="dxa"/>
            <w:vAlign w:val="bottom"/>
            <w:tcBorders>
              <w:top w:val="single" w:sz="8" w:color="355889"/>
            </w:tcBorders>
            <w:shd w:val="clear" w:color="auto" w:fill="CCD3E1"/>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Borders>
              <w:top w:val="single" w:sz="8" w:color="355889"/>
            </w:tcBorders>
            <w:gridSpan w:val="2"/>
            <w:shd w:val="clear" w:color="auto" w:fill="CCD3E1"/>
          </w:tcPr>
          <w:p>
            <w:pPr>
              <w:jc w:val="right"/>
              <w:spacing w:after="0" w:line="217"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3,293,070</w:t>
            </w:r>
            <w:r>
              <w:rPr>
                <w:rFonts w:ascii="Arial" w:cs="Arial" w:eastAsia="Arial" w:hAnsi="Arial"/>
                <w:sz w:val="21"/>
                <w:szCs w:val="21"/>
                <w:color w:val="auto"/>
                <w:vertAlign w:val="superscript"/>
              </w:rPr>
              <w:t>(2)</w:t>
            </w:r>
          </w:p>
        </w:tc>
        <w:tc>
          <w:tcPr>
            <w:tcW w:w="120" w:type="dxa"/>
            <w:vAlign w:val="bottom"/>
          </w:tcPr>
          <w:p>
            <w:pPr>
              <w:spacing w:after="0"/>
              <w:rPr>
                <w:sz w:val="18"/>
                <w:szCs w:val="18"/>
                <w:color w:val="auto"/>
              </w:rPr>
            </w:pPr>
          </w:p>
        </w:tc>
        <w:tc>
          <w:tcPr>
            <w:tcW w:w="260" w:type="dxa"/>
            <w:vAlign w:val="bottom"/>
            <w:tcBorders>
              <w:top w:val="single" w:sz="8" w:color="355889"/>
            </w:tcBorders>
            <w:shd w:val="clear" w:color="auto" w:fill="CCD3E1"/>
          </w:tcPr>
          <w:p>
            <w:pPr>
              <w:jc w:val="right"/>
              <w:ind w:right="10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355889"/>
            </w:tcBorders>
            <w:shd w:val="clear" w:color="auto" w:fill="CCD3E1"/>
          </w:tcPr>
          <w:p>
            <w:pPr>
              <w:jc w:val="right"/>
              <w:spacing w:after="0"/>
              <w:rPr>
                <w:sz w:val="20"/>
                <w:szCs w:val="20"/>
                <w:color w:val="auto"/>
              </w:rPr>
            </w:pPr>
            <w:r>
              <w:rPr>
                <w:rFonts w:ascii="Arial" w:cs="Arial" w:eastAsia="Arial" w:hAnsi="Arial"/>
                <w:sz w:val="16"/>
                <w:szCs w:val="16"/>
                <w:color w:val="auto"/>
              </w:rPr>
              <w:t>49,815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355889"/>
            </w:tcBorders>
            <w:shd w:val="clear" w:color="auto" w:fill="CCD3E1"/>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355889"/>
            </w:tcBorders>
            <w:shd w:val="clear" w:color="auto" w:fill="CCD3E1"/>
          </w:tcPr>
          <w:p>
            <w:pPr>
              <w:jc w:val="right"/>
              <w:spacing w:after="0"/>
              <w:rPr>
                <w:sz w:val="20"/>
                <w:szCs w:val="20"/>
                <w:color w:val="auto"/>
              </w:rPr>
            </w:pPr>
            <w:r>
              <w:rPr>
                <w:rFonts w:ascii="Arial" w:cs="Arial" w:eastAsia="Arial" w:hAnsi="Arial"/>
                <w:sz w:val="16"/>
                <w:szCs w:val="16"/>
                <w:color w:val="auto"/>
              </w:rPr>
              <w:t>20,990,016</w:t>
            </w:r>
          </w:p>
        </w:tc>
        <w:tc>
          <w:tcPr>
            <w:tcW w:w="0" w:type="dxa"/>
            <w:vAlign w:val="bottom"/>
          </w:tcPr>
          <w:p>
            <w:pPr>
              <w:spacing w:after="0"/>
              <w:rPr>
                <w:sz w:val="1"/>
                <w:szCs w:val="1"/>
                <w:color w:val="auto"/>
              </w:rPr>
            </w:pPr>
          </w:p>
        </w:tc>
      </w:tr>
      <w:tr>
        <w:trPr>
          <w:trHeight w:val="66"/>
        </w:trPr>
        <w:tc>
          <w:tcPr>
            <w:tcW w:w="2320" w:type="dxa"/>
            <w:vAlign w:val="bottom"/>
            <w:vMerge w:val="restart"/>
          </w:tcPr>
          <w:p>
            <w:pPr>
              <w:spacing w:after="0"/>
              <w:rPr>
                <w:sz w:val="20"/>
                <w:szCs w:val="20"/>
                <w:color w:val="auto"/>
              </w:rPr>
            </w:pPr>
            <w:r>
              <w:rPr>
                <w:rFonts w:ascii="Arial" w:cs="Arial" w:eastAsia="Arial" w:hAnsi="Arial"/>
                <w:sz w:val="16"/>
                <w:szCs w:val="16"/>
                <w:color w:val="auto"/>
              </w:rPr>
              <w:t>Chief Executive Officer and</w:t>
            </w:r>
          </w:p>
        </w:tc>
        <w:tc>
          <w:tcPr>
            <w:tcW w:w="100" w:type="dxa"/>
            <w:vAlign w:val="bottom"/>
          </w:tcPr>
          <w:p>
            <w:pPr>
              <w:spacing w:after="0"/>
              <w:rPr>
                <w:sz w:val="5"/>
                <w:szCs w:val="5"/>
                <w:color w:val="auto"/>
              </w:rPr>
            </w:pPr>
          </w:p>
        </w:tc>
        <w:tc>
          <w:tcPr>
            <w:tcW w:w="360" w:type="dxa"/>
            <w:vAlign w:val="bottom"/>
            <w:tcBorders>
              <w:bottom w:val="single" w:sz="8" w:color="8797B7"/>
            </w:tcBorders>
            <w:shd w:val="clear" w:color="auto" w:fill="CCD3E1"/>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8797B7"/>
            </w:tcBorders>
            <w:shd w:val="clear" w:color="auto" w:fill="CCD3E1"/>
          </w:tcPr>
          <w:p>
            <w:pPr>
              <w:spacing w:after="0"/>
              <w:rPr>
                <w:sz w:val="5"/>
                <w:szCs w:val="5"/>
                <w:color w:val="auto"/>
              </w:rPr>
            </w:pPr>
          </w:p>
        </w:tc>
        <w:tc>
          <w:tcPr>
            <w:tcW w:w="780" w:type="dxa"/>
            <w:vAlign w:val="bottom"/>
            <w:tcBorders>
              <w:bottom w:val="single" w:sz="8" w:color="8797B7"/>
            </w:tcBorders>
            <w:shd w:val="clear" w:color="auto" w:fill="CCD3E1"/>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8797B7"/>
            </w:tcBorders>
            <w:shd w:val="clear" w:color="auto" w:fill="CCD3E1"/>
          </w:tcPr>
          <w:p>
            <w:pPr>
              <w:spacing w:after="0"/>
              <w:rPr>
                <w:sz w:val="5"/>
                <w:szCs w:val="5"/>
                <w:color w:val="auto"/>
              </w:rPr>
            </w:pPr>
          </w:p>
        </w:tc>
        <w:tc>
          <w:tcPr>
            <w:tcW w:w="940" w:type="dxa"/>
            <w:vAlign w:val="bottom"/>
            <w:tcBorders>
              <w:bottom w:val="single" w:sz="8" w:color="8797B7"/>
            </w:tcBorders>
            <w:shd w:val="clear" w:color="auto" w:fill="CCD3E1"/>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8797B7"/>
            </w:tcBorders>
            <w:shd w:val="clear" w:color="auto" w:fill="CCD3E1"/>
          </w:tcPr>
          <w:p>
            <w:pPr>
              <w:spacing w:after="0"/>
              <w:rPr>
                <w:sz w:val="5"/>
                <w:szCs w:val="5"/>
                <w:color w:val="auto"/>
              </w:rPr>
            </w:pPr>
          </w:p>
        </w:tc>
        <w:tc>
          <w:tcPr>
            <w:tcW w:w="900" w:type="dxa"/>
            <w:vAlign w:val="bottom"/>
            <w:tcBorders>
              <w:bottom w:val="single" w:sz="8" w:color="8797B7"/>
            </w:tcBorders>
            <w:shd w:val="clear" w:color="auto" w:fill="CCD3E1"/>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8797B7"/>
            </w:tcBorders>
            <w:shd w:val="clear" w:color="auto" w:fill="CCD3E1"/>
          </w:tcPr>
          <w:p>
            <w:pPr>
              <w:spacing w:after="0"/>
              <w:rPr>
                <w:sz w:val="5"/>
                <w:szCs w:val="5"/>
                <w:color w:val="auto"/>
              </w:rPr>
            </w:pPr>
          </w:p>
        </w:tc>
        <w:tc>
          <w:tcPr>
            <w:tcW w:w="780" w:type="dxa"/>
            <w:vAlign w:val="bottom"/>
            <w:tcBorders>
              <w:bottom w:val="single" w:sz="8" w:color="8797B7"/>
            </w:tcBorders>
            <w:shd w:val="clear" w:color="auto" w:fill="CCD3E1"/>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Borders>
              <w:bottom w:val="single" w:sz="8" w:color="8797B7"/>
            </w:tcBorders>
            <w:shd w:val="clear" w:color="auto" w:fill="CCD3E1"/>
          </w:tcPr>
          <w:p>
            <w:pPr>
              <w:spacing w:after="0"/>
              <w:rPr>
                <w:sz w:val="5"/>
                <w:szCs w:val="5"/>
                <w:color w:val="auto"/>
              </w:rPr>
            </w:pPr>
          </w:p>
        </w:tc>
        <w:tc>
          <w:tcPr>
            <w:tcW w:w="960" w:type="dxa"/>
            <w:vAlign w:val="bottom"/>
            <w:tcBorders>
              <w:bottom w:val="single" w:sz="8" w:color="8797B7"/>
            </w:tcBorders>
            <w:shd w:val="clear" w:color="auto" w:fill="CCD3E1"/>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8797B7"/>
            </w:tcBorders>
            <w:shd w:val="clear" w:color="auto" w:fill="CCD3E1"/>
          </w:tcPr>
          <w:p>
            <w:pPr>
              <w:spacing w:after="0"/>
              <w:rPr>
                <w:sz w:val="5"/>
                <w:szCs w:val="5"/>
                <w:color w:val="auto"/>
              </w:rPr>
            </w:pPr>
          </w:p>
        </w:tc>
        <w:tc>
          <w:tcPr>
            <w:tcW w:w="1340" w:type="dxa"/>
            <w:vAlign w:val="bottom"/>
            <w:tcBorders>
              <w:bottom w:val="single" w:sz="8" w:color="8797B7"/>
            </w:tcBorders>
            <w:shd w:val="clear" w:color="auto" w:fill="CCD3E1"/>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Borders>
              <w:bottom w:val="single" w:sz="8" w:color="8797B7"/>
            </w:tcBorders>
            <w:shd w:val="clear" w:color="auto" w:fill="CCD3E1"/>
          </w:tcPr>
          <w:p>
            <w:pPr>
              <w:spacing w:after="0"/>
              <w:rPr>
                <w:sz w:val="5"/>
                <w:szCs w:val="5"/>
                <w:color w:val="auto"/>
              </w:rPr>
            </w:pPr>
          </w:p>
        </w:tc>
        <w:tc>
          <w:tcPr>
            <w:tcW w:w="860" w:type="dxa"/>
            <w:vAlign w:val="bottom"/>
            <w:tcBorders>
              <w:bottom w:val="single" w:sz="8" w:color="8797B7"/>
            </w:tcBorders>
            <w:shd w:val="clear" w:color="auto" w:fill="CCD3E1"/>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320" w:type="dxa"/>
            <w:vAlign w:val="bottom"/>
            <w:vMerge w:val="continue"/>
          </w:tcPr>
          <w:p>
            <w:pPr>
              <w:spacing w:after="0"/>
              <w:rPr>
                <w:sz w:val="8"/>
                <w:szCs w:val="8"/>
                <w:color w:val="auto"/>
              </w:rPr>
            </w:pPr>
          </w:p>
        </w:tc>
        <w:tc>
          <w:tcPr>
            <w:tcW w:w="100" w:type="dxa"/>
            <w:vAlign w:val="bottom"/>
            <w:vMerge w:val="restart"/>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w w:val="95"/>
              </w:rPr>
              <w:t>2018</w:t>
            </w:r>
          </w:p>
        </w:tc>
        <w:tc>
          <w:tcPr>
            <w:tcW w:w="12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1,250,000</w:t>
            </w:r>
          </w:p>
        </w:tc>
        <w:tc>
          <w:tcPr>
            <w:tcW w:w="10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9,297,455</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2,746,491</w:t>
            </w:r>
          </w:p>
        </w:tc>
        <w:tc>
          <w:tcPr>
            <w:tcW w:w="260" w:type="dxa"/>
            <w:vAlign w:val="bottom"/>
            <w:vMerge w:val="restart"/>
          </w:tcPr>
          <w:p>
            <w:pPr>
              <w:jc w:val="right"/>
              <w:ind w:right="104"/>
              <w:spacing w:after="0"/>
              <w:rPr>
                <w:sz w:val="20"/>
                <w:szCs w:val="20"/>
                <w:color w:val="auto"/>
              </w:rPr>
            </w:pPr>
            <w:r>
              <w:rPr>
                <w:rFonts w:ascii="Arial" w:cs="Arial" w:eastAsia="Arial" w:hAnsi="Arial"/>
                <w:sz w:val="15"/>
                <w:szCs w:val="15"/>
                <w:color w:val="auto"/>
                <w:w w:val="71"/>
              </w:rPr>
              <w:t>$</w:t>
            </w:r>
          </w:p>
        </w:tc>
        <w:tc>
          <w:tcPr>
            <w:tcW w:w="14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61,832</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13,355,778</w:t>
            </w:r>
          </w:p>
        </w:tc>
        <w:tc>
          <w:tcPr>
            <w:tcW w:w="0" w:type="dxa"/>
            <w:vAlign w:val="bottom"/>
          </w:tcPr>
          <w:p>
            <w:pPr>
              <w:spacing w:after="0"/>
              <w:rPr>
                <w:sz w:val="1"/>
                <w:szCs w:val="1"/>
                <w:color w:val="auto"/>
              </w:rPr>
            </w:pPr>
          </w:p>
        </w:tc>
      </w:tr>
      <w:tr>
        <w:trPr>
          <w:trHeight w:val="123"/>
        </w:trPr>
        <w:tc>
          <w:tcPr>
            <w:tcW w:w="2320" w:type="dxa"/>
            <w:vAlign w:val="bottom"/>
            <w:vMerge w:val="restart"/>
          </w:tcPr>
          <w:p>
            <w:pPr>
              <w:spacing w:after="0" w:line="127" w:lineRule="exact"/>
              <w:rPr>
                <w:sz w:val="20"/>
                <w:szCs w:val="20"/>
                <w:color w:val="auto"/>
              </w:rPr>
            </w:pPr>
            <w:r>
              <w:rPr>
                <w:rFonts w:ascii="Arial" w:cs="Arial" w:eastAsia="Arial" w:hAnsi="Arial"/>
                <w:sz w:val="14"/>
                <w:szCs w:val="14"/>
                <w:color w:val="auto"/>
              </w:rPr>
              <w:t>Chairman of the Board</w:t>
            </w:r>
          </w:p>
        </w:tc>
        <w:tc>
          <w:tcPr>
            <w:tcW w:w="10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3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8797B7"/>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8797B7"/>
          </w:tcPr>
          <w:p>
            <w:pPr>
              <w:spacing w:after="0"/>
              <w:rPr>
                <w:sz w:val="2"/>
                <w:szCs w:val="2"/>
                <w:color w:val="auto"/>
              </w:rPr>
            </w:pPr>
          </w:p>
        </w:tc>
        <w:tc>
          <w:tcPr>
            <w:tcW w:w="780" w:type="dxa"/>
            <w:vAlign w:val="bottom"/>
            <w:shd w:val="clear" w:color="auto" w:fill="8797B7"/>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8797B7"/>
          </w:tcPr>
          <w:p>
            <w:pPr>
              <w:spacing w:after="0"/>
              <w:rPr>
                <w:sz w:val="2"/>
                <w:szCs w:val="2"/>
                <w:color w:val="auto"/>
              </w:rPr>
            </w:pPr>
          </w:p>
        </w:tc>
        <w:tc>
          <w:tcPr>
            <w:tcW w:w="940" w:type="dxa"/>
            <w:vAlign w:val="bottom"/>
            <w:shd w:val="clear" w:color="auto" w:fill="8797B7"/>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8797B7"/>
          </w:tcPr>
          <w:p>
            <w:pPr>
              <w:spacing w:after="0"/>
              <w:rPr>
                <w:sz w:val="2"/>
                <w:szCs w:val="2"/>
                <w:color w:val="auto"/>
              </w:rPr>
            </w:pPr>
          </w:p>
        </w:tc>
        <w:tc>
          <w:tcPr>
            <w:tcW w:w="900" w:type="dxa"/>
            <w:vAlign w:val="bottom"/>
            <w:shd w:val="clear" w:color="auto" w:fill="8797B7"/>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8797B7"/>
          </w:tcPr>
          <w:p>
            <w:pPr>
              <w:spacing w:after="0"/>
              <w:rPr>
                <w:sz w:val="2"/>
                <w:szCs w:val="2"/>
                <w:color w:val="auto"/>
              </w:rPr>
            </w:pPr>
          </w:p>
        </w:tc>
        <w:tc>
          <w:tcPr>
            <w:tcW w:w="780" w:type="dxa"/>
            <w:vAlign w:val="bottom"/>
            <w:shd w:val="clear" w:color="auto" w:fill="8797B7"/>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8797B7"/>
          </w:tcPr>
          <w:p>
            <w:pPr>
              <w:spacing w:after="0"/>
              <w:rPr>
                <w:sz w:val="2"/>
                <w:szCs w:val="2"/>
                <w:color w:val="auto"/>
              </w:rPr>
            </w:pPr>
          </w:p>
        </w:tc>
        <w:tc>
          <w:tcPr>
            <w:tcW w:w="960" w:type="dxa"/>
            <w:vAlign w:val="bottom"/>
            <w:shd w:val="clear" w:color="auto" w:fill="8797B7"/>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8797B7"/>
          </w:tcPr>
          <w:p>
            <w:pPr>
              <w:spacing w:after="0"/>
              <w:rPr>
                <w:sz w:val="2"/>
                <w:szCs w:val="2"/>
                <w:color w:val="auto"/>
              </w:rPr>
            </w:pPr>
          </w:p>
        </w:tc>
        <w:tc>
          <w:tcPr>
            <w:tcW w:w="1340" w:type="dxa"/>
            <w:vAlign w:val="bottom"/>
            <w:shd w:val="clear" w:color="auto" w:fill="8797B7"/>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8797B7"/>
          </w:tcPr>
          <w:p>
            <w:pPr>
              <w:spacing w:after="0"/>
              <w:rPr>
                <w:sz w:val="2"/>
                <w:szCs w:val="2"/>
                <w:color w:val="auto"/>
              </w:rPr>
            </w:pPr>
          </w:p>
        </w:tc>
        <w:tc>
          <w:tcPr>
            <w:tcW w:w="860" w:type="dxa"/>
            <w:vAlign w:val="bottom"/>
            <w:shd w:val="clear" w:color="auto" w:fill="8797B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5"/>
              </w:rPr>
              <w:t>2017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1,350,000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11,878,395</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2,196,857</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1,937,250</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45,319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17,407,821</w:t>
            </w:r>
          </w:p>
        </w:tc>
        <w:tc>
          <w:tcPr>
            <w:tcW w:w="0" w:type="dxa"/>
            <w:vAlign w:val="bottom"/>
          </w:tcPr>
          <w:p>
            <w:pPr>
              <w:spacing w:after="0"/>
              <w:rPr>
                <w:sz w:val="1"/>
                <w:szCs w:val="1"/>
                <w:color w:val="auto"/>
              </w:rPr>
            </w:pPr>
          </w:p>
        </w:tc>
      </w:tr>
      <w:tr>
        <w:trPr>
          <w:trHeight w:val="223"/>
        </w:trPr>
        <w:tc>
          <w:tcPr>
            <w:tcW w:w="2320" w:type="dxa"/>
            <w:vAlign w:val="bottom"/>
            <w:tcBorders>
              <w:top w:val="single" w:sz="8" w:color="8797B7"/>
            </w:tcBorders>
          </w:tcPr>
          <w:p>
            <w:pPr>
              <w:spacing w:after="0"/>
              <w:rPr>
                <w:sz w:val="20"/>
                <w:szCs w:val="20"/>
                <w:color w:val="auto"/>
              </w:rPr>
            </w:pPr>
            <w:r>
              <w:rPr>
                <w:rFonts w:ascii="Arial" w:cs="Arial" w:eastAsia="Arial" w:hAnsi="Arial"/>
                <w:sz w:val="16"/>
                <w:szCs w:val="16"/>
                <w:color w:val="auto"/>
              </w:rPr>
              <w:t>Andrew Mathias</w:t>
            </w:r>
          </w:p>
        </w:tc>
        <w:tc>
          <w:tcPr>
            <w:tcW w:w="100" w:type="dxa"/>
            <w:vAlign w:val="bottom"/>
          </w:tcPr>
          <w:p>
            <w:pPr>
              <w:spacing w:after="0"/>
              <w:rPr>
                <w:sz w:val="19"/>
                <w:szCs w:val="19"/>
                <w:color w:val="auto"/>
              </w:rPr>
            </w:pPr>
          </w:p>
        </w:tc>
        <w:tc>
          <w:tcPr>
            <w:tcW w:w="360" w:type="dxa"/>
            <w:vAlign w:val="bottom"/>
            <w:tcBorders>
              <w:top w:val="single" w:sz="8" w:color="8797B7"/>
              <w:bottom w:val="single" w:sz="8" w:color="CCD3E1"/>
            </w:tcBorders>
            <w:shd w:val="clear" w:color="auto" w:fill="CCD3E1"/>
          </w:tcPr>
          <w:p>
            <w:pPr>
              <w:jc w:val="right"/>
              <w:spacing w:after="0"/>
              <w:rPr>
                <w:sz w:val="20"/>
                <w:szCs w:val="20"/>
                <w:color w:val="auto"/>
              </w:rPr>
            </w:pPr>
            <w:r>
              <w:rPr>
                <w:rFonts w:ascii="Arial" w:cs="Arial" w:eastAsia="Arial" w:hAnsi="Arial"/>
                <w:sz w:val="16"/>
                <w:szCs w:val="16"/>
                <w:color w:val="auto"/>
                <w:highlight w:val="lightGray"/>
                <w:w w:val="95"/>
              </w:rPr>
              <w:t>2019</w:t>
            </w:r>
          </w:p>
        </w:tc>
        <w:tc>
          <w:tcPr>
            <w:tcW w:w="120" w:type="dxa"/>
            <w:vAlign w:val="bottom"/>
          </w:tcPr>
          <w:p>
            <w:pPr>
              <w:spacing w:after="0"/>
              <w:rPr>
                <w:sz w:val="19"/>
                <w:szCs w:val="19"/>
                <w:color w:val="auto"/>
              </w:rPr>
            </w:pPr>
          </w:p>
        </w:tc>
        <w:tc>
          <w:tcPr>
            <w:tcW w:w="140" w:type="dxa"/>
            <w:vAlign w:val="bottom"/>
            <w:tcBorders>
              <w:top w:val="single" w:sz="8" w:color="8797B7"/>
              <w:bottom w:val="single" w:sz="8" w:color="CCD3E1"/>
            </w:tcBorders>
            <w:shd w:val="clear" w:color="auto" w:fill="CCD3E1"/>
          </w:tcPr>
          <w:p>
            <w:pPr>
              <w:jc w:val="right"/>
              <w:spacing w:after="0"/>
              <w:rPr>
                <w:sz w:val="20"/>
                <w:szCs w:val="20"/>
                <w:color w:val="auto"/>
              </w:rPr>
            </w:pPr>
            <w:r>
              <w:rPr>
                <w:rFonts w:ascii="Arial" w:cs="Arial" w:eastAsia="Arial" w:hAnsi="Arial"/>
                <w:sz w:val="15"/>
                <w:szCs w:val="15"/>
                <w:color w:val="auto"/>
                <w:highlight w:val="lightGray"/>
                <w:w w:val="71"/>
              </w:rPr>
              <w:t>$</w:t>
            </w:r>
          </w:p>
        </w:tc>
        <w:tc>
          <w:tcPr>
            <w:tcW w:w="780" w:type="dxa"/>
            <w:vAlign w:val="bottom"/>
            <w:tcBorders>
              <w:top w:val="single" w:sz="8" w:color="8797B7"/>
              <w:bottom w:val="single" w:sz="8" w:color="CCD3E1"/>
            </w:tcBorders>
            <w:shd w:val="clear" w:color="auto" w:fill="CCD3E1"/>
          </w:tcPr>
          <w:p>
            <w:pPr>
              <w:jc w:val="right"/>
              <w:spacing w:after="0"/>
              <w:rPr>
                <w:sz w:val="20"/>
                <w:szCs w:val="20"/>
                <w:color w:val="auto"/>
              </w:rPr>
            </w:pPr>
            <w:r>
              <w:rPr>
                <w:rFonts w:ascii="Arial" w:cs="Arial" w:eastAsia="Arial" w:hAnsi="Arial"/>
                <w:sz w:val="16"/>
                <w:szCs w:val="16"/>
                <w:color w:val="auto"/>
                <w:highlight w:val="lightGray"/>
              </w:rPr>
              <w:t>950,000</w:t>
            </w:r>
          </w:p>
        </w:tc>
        <w:tc>
          <w:tcPr>
            <w:tcW w:w="100" w:type="dxa"/>
            <w:vAlign w:val="bottom"/>
          </w:tcPr>
          <w:p>
            <w:pPr>
              <w:spacing w:after="0"/>
              <w:rPr>
                <w:sz w:val="19"/>
                <w:szCs w:val="19"/>
                <w:color w:val="auto"/>
              </w:rPr>
            </w:pPr>
          </w:p>
        </w:tc>
        <w:tc>
          <w:tcPr>
            <w:tcW w:w="140" w:type="dxa"/>
            <w:vAlign w:val="bottom"/>
            <w:tcBorders>
              <w:top w:val="single" w:sz="8" w:color="8797B7"/>
              <w:bottom w:val="single" w:sz="8" w:color="CCD3E1"/>
            </w:tcBorders>
            <w:shd w:val="clear" w:color="auto" w:fill="CCD3E1"/>
          </w:tcPr>
          <w:p>
            <w:pPr>
              <w:spacing w:after="0"/>
              <w:rPr>
                <w:sz w:val="19"/>
                <w:szCs w:val="19"/>
                <w:color w:val="auto"/>
              </w:rPr>
            </w:pPr>
          </w:p>
        </w:tc>
        <w:tc>
          <w:tcPr>
            <w:tcW w:w="940" w:type="dxa"/>
            <w:vAlign w:val="bottom"/>
            <w:tcBorders>
              <w:top w:val="single" w:sz="8" w:color="8797B7"/>
              <w:bottom w:val="single" w:sz="8" w:color="CCD3E1"/>
            </w:tcBorders>
            <w:shd w:val="clear" w:color="auto" w:fill="CCD3E1"/>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Borders>
              <w:top w:val="single" w:sz="8" w:color="8797B7"/>
              <w:bottom w:val="single" w:sz="8" w:color="CCD3E1"/>
            </w:tcBorders>
            <w:shd w:val="clear" w:color="auto" w:fill="CCD3E1"/>
          </w:tcPr>
          <w:p>
            <w:pPr>
              <w:spacing w:after="0"/>
              <w:rPr>
                <w:sz w:val="20"/>
                <w:szCs w:val="20"/>
                <w:color w:val="auto"/>
              </w:rPr>
            </w:pPr>
            <w:r>
              <w:rPr>
                <w:rFonts w:ascii="Arial" w:cs="Arial" w:eastAsia="Arial" w:hAnsi="Arial"/>
                <w:sz w:val="16"/>
                <w:szCs w:val="16"/>
                <w:color w:val="auto"/>
                <w:highlight w:val="lightGray"/>
              </w:rPr>
              <w:t>$</w:t>
            </w:r>
          </w:p>
        </w:tc>
        <w:tc>
          <w:tcPr>
            <w:tcW w:w="900" w:type="dxa"/>
            <w:vAlign w:val="bottom"/>
            <w:tcBorders>
              <w:top w:val="single" w:sz="8" w:color="8797B7"/>
              <w:bottom w:val="single" w:sz="8" w:color="CCD3E1"/>
            </w:tcBorders>
            <w:shd w:val="clear" w:color="auto" w:fill="CCD3E1"/>
          </w:tcPr>
          <w:p>
            <w:pPr>
              <w:jc w:val="right"/>
              <w:spacing w:after="0"/>
              <w:rPr>
                <w:sz w:val="20"/>
                <w:szCs w:val="20"/>
                <w:color w:val="auto"/>
              </w:rPr>
            </w:pPr>
            <w:r>
              <w:rPr>
                <w:rFonts w:ascii="Arial" w:cs="Arial" w:eastAsia="Arial" w:hAnsi="Arial"/>
                <w:sz w:val="16"/>
                <w:szCs w:val="16"/>
                <w:color w:val="auto"/>
                <w:highlight w:val="lightGray"/>
              </w:rPr>
              <w:t>11,191,600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8797B7"/>
              <w:bottom w:val="single" w:sz="8" w:color="CCD3E1"/>
            </w:tcBorders>
            <w:shd w:val="clear" w:color="auto" w:fill="CCD3E1"/>
          </w:tcPr>
          <w:p>
            <w:pPr>
              <w:spacing w:after="0"/>
              <w:rPr>
                <w:sz w:val="19"/>
                <w:szCs w:val="19"/>
                <w:color w:val="auto"/>
              </w:rPr>
            </w:pPr>
          </w:p>
        </w:tc>
        <w:tc>
          <w:tcPr>
            <w:tcW w:w="780" w:type="dxa"/>
            <w:vAlign w:val="bottom"/>
            <w:tcBorders>
              <w:top w:val="single" w:sz="8" w:color="8797B7"/>
              <w:bottom w:val="single" w:sz="8" w:color="CCD3E1"/>
            </w:tcBorders>
            <w:shd w:val="clear" w:color="auto" w:fill="CCD3E1"/>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8797B7"/>
              <w:bottom w:val="single" w:sz="8" w:color="CCD3E1"/>
            </w:tcBorders>
            <w:shd w:val="clear" w:color="auto" w:fill="CCD3E1"/>
          </w:tcPr>
          <w:p>
            <w:pPr>
              <w:spacing w:after="0"/>
              <w:rPr>
                <w:sz w:val="19"/>
                <w:szCs w:val="19"/>
                <w:color w:val="auto"/>
              </w:rPr>
            </w:pPr>
          </w:p>
        </w:tc>
        <w:tc>
          <w:tcPr>
            <w:tcW w:w="960" w:type="dxa"/>
            <w:vAlign w:val="bottom"/>
            <w:tcBorders>
              <w:top w:val="single" w:sz="8" w:color="8797B7"/>
              <w:bottom w:val="single" w:sz="8" w:color="CCD3E1"/>
            </w:tcBorders>
            <w:shd w:val="clear" w:color="auto" w:fill="CCD3E1"/>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60" w:type="dxa"/>
            <w:vAlign w:val="bottom"/>
            <w:tcBorders>
              <w:top w:val="single" w:sz="8" w:color="8797B7"/>
              <w:bottom w:val="single" w:sz="8" w:color="CCD3E1"/>
            </w:tcBorders>
            <w:shd w:val="clear" w:color="auto" w:fill="CCD3E1"/>
          </w:tcPr>
          <w:p>
            <w:pPr>
              <w:jc w:val="right"/>
              <w:ind w:right="10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8797B7"/>
              <w:bottom w:val="single" w:sz="8" w:color="CCD3E1"/>
            </w:tcBorders>
            <w:shd w:val="clear" w:color="auto" w:fill="CCD3E1"/>
          </w:tcPr>
          <w:p>
            <w:pPr>
              <w:jc w:val="right"/>
              <w:spacing w:after="0"/>
              <w:rPr>
                <w:sz w:val="20"/>
                <w:szCs w:val="20"/>
                <w:color w:val="auto"/>
              </w:rPr>
            </w:pPr>
            <w:r>
              <w:rPr>
                <w:rFonts w:ascii="Arial" w:cs="Arial" w:eastAsia="Arial" w:hAnsi="Arial"/>
                <w:sz w:val="16"/>
                <w:szCs w:val="16"/>
                <w:color w:val="auto"/>
              </w:rPr>
              <w:t>42,088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8797B7"/>
              <w:bottom w:val="single" w:sz="8" w:color="CCD3E1"/>
            </w:tcBorders>
            <w:shd w:val="clear" w:color="auto" w:fill="CCD3E1"/>
          </w:tcPr>
          <w:p>
            <w:pPr>
              <w:jc w:val="right"/>
              <w:spacing w:after="0"/>
              <w:rPr>
                <w:sz w:val="20"/>
                <w:szCs w:val="20"/>
                <w:color w:val="auto"/>
              </w:rPr>
            </w:pPr>
            <w:r>
              <w:rPr>
                <w:rFonts w:ascii="Arial" w:cs="Arial" w:eastAsia="Arial" w:hAnsi="Arial"/>
                <w:sz w:val="16"/>
                <w:szCs w:val="16"/>
                <w:color w:val="auto"/>
                <w:highlight w:val="lightGray"/>
                <w:w w:val="89"/>
              </w:rPr>
              <w:t>$</w:t>
            </w:r>
          </w:p>
        </w:tc>
        <w:tc>
          <w:tcPr>
            <w:tcW w:w="860" w:type="dxa"/>
            <w:vAlign w:val="bottom"/>
            <w:tcBorders>
              <w:top w:val="single" w:sz="8" w:color="8797B7"/>
              <w:bottom w:val="single" w:sz="8" w:color="CCD3E1"/>
            </w:tcBorders>
            <w:shd w:val="clear" w:color="auto" w:fill="CCD3E1"/>
          </w:tcPr>
          <w:p>
            <w:pPr>
              <w:jc w:val="right"/>
              <w:spacing w:after="0"/>
              <w:rPr>
                <w:sz w:val="20"/>
                <w:szCs w:val="20"/>
                <w:color w:val="auto"/>
              </w:rPr>
            </w:pPr>
            <w:r>
              <w:rPr>
                <w:rFonts w:ascii="Arial" w:cs="Arial" w:eastAsia="Arial" w:hAnsi="Arial"/>
                <w:sz w:val="16"/>
                <w:szCs w:val="16"/>
                <w:color w:val="auto"/>
                <w:highlight w:val="lightGray"/>
              </w:rPr>
              <w:t>12,183,688</w:t>
            </w:r>
          </w:p>
        </w:tc>
        <w:tc>
          <w:tcPr>
            <w:tcW w:w="0" w:type="dxa"/>
            <w:vAlign w:val="bottom"/>
          </w:tcPr>
          <w:p>
            <w:pPr>
              <w:spacing w:after="0"/>
              <w:rPr>
                <w:sz w:val="1"/>
                <w:szCs w:val="1"/>
                <w:color w:val="auto"/>
              </w:rPr>
            </w:pPr>
          </w:p>
        </w:tc>
      </w:tr>
      <w:tr>
        <w:trPr>
          <w:trHeight w:val="20"/>
        </w:trPr>
        <w:tc>
          <w:tcPr>
            <w:tcW w:w="2320" w:type="dxa"/>
            <w:vAlign w:val="bottom"/>
            <w:vMerge w:val="restart"/>
          </w:tcPr>
          <w:p>
            <w:pPr>
              <w:spacing w:after="0" w:line="170" w:lineRule="exact"/>
              <w:rPr>
                <w:sz w:val="20"/>
                <w:szCs w:val="20"/>
                <w:color w:val="auto"/>
              </w:rPr>
            </w:pPr>
            <w:r>
              <w:rPr>
                <w:rFonts w:ascii="Arial" w:cs="Arial" w:eastAsia="Arial" w:hAnsi="Arial"/>
                <w:sz w:val="16"/>
                <w:szCs w:val="16"/>
                <w:color w:val="auto"/>
              </w:rPr>
              <w:t>President</w:t>
            </w:r>
          </w:p>
        </w:tc>
        <w:tc>
          <w:tcPr>
            <w:tcW w:w="100" w:type="dxa"/>
            <w:vAlign w:val="bottom"/>
          </w:tcPr>
          <w:p>
            <w:pPr>
              <w:spacing w:after="0" w:line="20" w:lineRule="exact"/>
              <w:rPr>
                <w:sz w:val="1"/>
                <w:szCs w:val="1"/>
                <w:color w:val="auto"/>
              </w:rPr>
            </w:pPr>
          </w:p>
        </w:tc>
        <w:tc>
          <w:tcPr>
            <w:tcW w:w="360" w:type="dxa"/>
            <w:vAlign w:val="bottom"/>
            <w:shd w:val="clear" w:color="auto" w:fill="8797B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8797B7"/>
          </w:tcPr>
          <w:p>
            <w:pPr>
              <w:spacing w:after="0" w:line="20" w:lineRule="exact"/>
              <w:rPr>
                <w:sz w:val="1"/>
                <w:szCs w:val="1"/>
                <w:color w:val="auto"/>
              </w:rPr>
            </w:pPr>
          </w:p>
        </w:tc>
        <w:tc>
          <w:tcPr>
            <w:tcW w:w="780" w:type="dxa"/>
            <w:vAlign w:val="bottom"/>
            <w:shd w:val="clear" w:color="auto" w:fill="8797B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8797B7"/>
          </w:tcPr>
          <w:p>
            <w:pPr>
              <w:spacing w:after="0" w:line="20" w:lineRule="exact"/>
              <w:rPr>
                <w:sz w:val="1"/>
                <w:szCs w:val="1"/>
                <w:color w:val="auto"/>
              </w:rPr>
            </w:pPr>
          </w:p>
        </w:tc>
        <w:tc>
          <w:tcPr>
            <w:tcW w:w="940" w:type="dxa"/>
            <w:vAlign w:val="bottom"/>
            <w:shd w:val="clear" w:color="auto" w:fill="8797B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8797B7"/>
          </w:tcPr>
          <w:p>
            <w:pPr>
              <w:spacing w:after="0" w:line="20" w:lineRule="exact"/>
              <w:rPr>
                <w:sz w:val="1"/>
                <w:szCs w:val="1"/>
                <w:color w:val="auto"/>
              </w:rPr>
            </w:pPr>
          </w:p>
        </w:tc>
        <w:tc>
          <w:tcPr>
            <w:tcW w:w="900" w:type="dxa"/>
            <w:vAlign w:val="bottom"/>
            <w:shd w:val="clear" w:color="auto" w:fill="8797B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8797B7"/>
          </w:tcPr>
          <w:p>
            <w:pPr>
              <w:spacing w:after="0" w:line="20" w:lineRule="exact"/>
              <w:rPr>
                <w:sz w:val="1"/>
                <w:szCs w:val="1"/>
                <w:color w:val="auto"/>
              </w:rPr>
            </w:pPr>
          </w:p>
        </w:tc>
        <w:tc>
          <w:tcPr>
            <w:tcW w:w="780" w:type="dxa"/>
            <w:vAlign w:val="bottom"/>
            <w:shd w:val="clear" w:color="auto" w:fill="8797B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8797B7"/>
          </w:tcPr>
          <w:p>
            <w:pPr>
              <w:spacing w:after="0" w:line="20" w:lineRule="exact"/>
              <w:rPr>
                <w:sz w:val="1"/>
                <w:szCs w:val="1"/>
                <w:color w:val="auto"/>
              </w:rPr>
            </w:pPr>
          </w:p>
        </w:tc>
        <w:tc>
          <w:tcPr>
            <w:tcW w:w="960" w:type="dxa"/>
            <w:vAlign w:val="bottom"/>
            <w:shd w:val="clear" w:color="auto" w:fill="8797B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8797B7"/>
          </w:tcPr>
          <w:p>
            <w:pPr>
              <w:spacing w:after="0" w:line="20" w:lineRule="exact"/>
              <w:rPr>
                <w:sz w:val="1"/>
                <w:szCs w:val="1"/>
                <w:color w:val="auto"/>
              </w:rPr>
            </w:pPr>
          </w:p>
        </w:tc>
        <w:tc>
          <w:tcPr>
            <w:tcW w:w="1340" w:type="dxa"/>
            <w:vAlign w:val="bottom"/>
            <w:shd w:val="clear" w:color="auto" w:fill="8797B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8797B7"/>
          </w:tcPr>
          <w:p>
            <w:pPr>
              <w:spacing w:after="0" w:line="20" w:lineRule="exact"/>
              <w:rPr>
                <w:sz w:val="1"/>
                <w:szCs w:val="1"/>
                <w:color w:val="auto"/>
              </w:rPr>
            </w:pPr>
          </w:p>
        </w:tc>
        <w:tc>
          <w:tcPr>
            <w:tcW w:w="860" w:type="dxa"/>
            <w:vAlign w:val="bottom"/>
            <w:shd w:val="clear" w:color="auto" w:fill="8797B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320" w:type="dxa"/>
            <w:vAlign w:val="bottom"/>
            <w:vMerge w:val="continue"/>
          </w:tcPr>
          <w:p>
            <w:pPr>
              <w:spacing w:after="0"/>
              <w:rPr>
                <w:sz w:val="13"/>
                <w:szCs w:val="13"/>
                <w:color w:val="auto"/>
              </w:rPr>
            </w:pPr>
          </w:p>
        </w:tc>
        <w:tc>
          <w:tcPr>
            <w:tcW w:w="100" w:type="dxa"/>
            <w:vAlign w:val="bottom"/>
            <w:vMerge w:val="restart"/>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w w:val="95"/>
              </w:rPr>
              <w:t>2018</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900,000</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9,471,414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jc w:val="right"/>
              <w:ind w:right="104"/>
              <w:spacing w:after="0"/>
              <w:rPr>
                <w:sz w:val="20"/>
                <w:szCs w:val="20"/>
                <w:color w:val="auto"/>
              </w:rPr>
            </w:pPr>
            <w:r>
              <w:rPr>
                <w:rFonts w:ascii="Arial" w:cs="Arial" w:eastAsia="Arial" w:hAnsi="Arial"/>
                <w:sz w:val="15"/>
                <w:szCs w:val="15"/>
                <w:color w:val="auto"/>
                <w:w w:val="71"/>
              </w:rPr>
              <w:t>$</w:t>
            </w:r>
          </w:p>
        </w:tc>
        <w:tc>
          <w:tcPr>
            <w:tcW w:w="14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42,923</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10,414,337</w:t>
            </w:r>
          </w:p>
        </w:tc>
        <w:tc>
          <w:tcPr>
            <w:tcW w:w="0" w:type="dxa"/>
            <w:vAlign w:val="bottom"/>
          </w:tcPr>
          <w:p>
            <w:pPr>
              <w:spacing w:after="0"/>
              <w:rPr>
                <w:sz w:val="1"/>
                <w:szCs w:val="1"/>
                <w:color w:val="auto"/>
              </w:rPr>
            </w:pPr>
          </w:p>
        </w:tc>
      </w:tr>
      <w:tr>
        <w:trPr>
          <w:trHeight w:val="77"/>
        </w:trPr>
        <w:tc>
          <w:tcPr>
            <w:tcW w:w="23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8797B7"/>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8797B7"/>
          </w:tcPr>
          <w:p>
            <w:pPr>
              <w:spacing w:after="0"/>
              <w:rPr>
                <w:sz w:val="2"/>
                <w:szCs w:val="2"/>
                <w:color w:val="auto"/>
              </w:rPr>
            </w:pPr>
          </w:p>
        </w:tc>
        <w:tc>
          <w:tcPr>
            <w:tcW w:w="780" w:type="dxa"/>
            <w:vAlign w:val="bottom"/>
            <w:shd w:val="clear" w:color="auto" w:fill="8797B7"/>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8797B7"/>
          </w:tcPr>
          <w:p>
            <w:pPr>
              <w:spacing w:after="0"/>
              <w:rPr>
                <w:sz w:val="2"/>
                <w:szCs w:val="2"/>
                <w:color w:val="auto"/>
              </w:rPr>
            </w:pPr>
          </w:p>
        </w:tc>
        <w:tc>
          <w:tcPr>
            <w:tcW w:w="940" w:type="dxa"/>
            <w:vAlign w:val="bottom"/>
            <w:shd w:val="clear" w:color="auto" w:fill="8797B7"/>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8797B7"/>
          </w:tcPr>
          <w:p>
            <w:pPr>
              <w:spacing w:after="0"/>
              <w:rPr>
                <w:sz w:val="2"/>
                <w:szCs w:val="2"/>
                <w:color w:val="auto"/>
              </w:rPr>
            </w:pPr>
          </w:p>
        </w:tc>
        <w:tc>
          <w:tcPr>
            <w:tcW w:w="900" w:type="dxa"/>
            <w:vAlign w:val="bottom"/>
            <w:shd w:val="clear" w:color="auto" w:fill="8797B7"/>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8797B7"/>
          </w:tcPr>
          <w:p>
            <w:pPr>
              <w:spacing w:after="0"/>
              <w:rPr>
                <w:sz w:val="2"/>
                <w:szCs w:val="2"/>
                <w:color w:val="auto"/>
              </w:rPr>
            </w:pPr>
          </w:p>
        </w:tc>
        <w:tc>
          <w:tcPr>
            <w:tcW w:w="780" w:type="dxa"/>
            <w:vAlign w:val="bottom"/>
            <w:shd w:val="clear" w:color="auto" w:fill="8797B7"/>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8797B7"/>
          </w:tcPr>
          <w:p>
            <w:pPr>
              <w:spacing w:after="0"/>
              <w:rPr>
                <w:sz w:val="2"/>
                <w:szCs w:val="2"/>
                <w:color w:val="auto"/>
              </w:rPr>
            </w:pPr>
          </w:p>
        </w:tc>
        <w:tc>
          <w:tcPr>
            <w:tcW w:w="960" w:type="dxa"/>
            <w:vAlign w:val="bottom"/>
            <w:shd w:val="clear" w:color="auto" w:fill="8797B7"/>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8797B7"/>
          </w:tcPr>
          <w:p>
            <w:pPr>
              <w:spacing w:after="0"/>
              <w:rPr>
                <w:sz w:val="2"/>
                <w:szCs w:val="2"/>
                <w:color w:val="auto"/>
              </w:rPr>
            </w:pPr>
          </w:p>
        </w:tc>
        <w:tc>
          <w:tcPr>
            <w:tcW w:w="1340" w:type="dxa"/>
            <w:vAlign w:val="bottom"/>
            <w:shd w:val="clear" w:color="auto" w:fill="8797B7"/>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8797B7"/>
          </w:tcPr>
          <w:p>
            <w:pPr>
              <w:spacing w:after="0"/>
              <w:rPr>
                <w:sz w:val="2"/>
                <w:szCs w:val="2"/>
                <w:color w:val="auto"/>
              </w:rPr>
            </w:pPr>
          </w:p>
        </w:tc>
        <w:tc>
          <w:tcPr>
            <w:tcW w:w="860" w:type="dxa"/>
            <w:vAlign w:val="bottom"/>
            <w:shd w:val="clear" w:color="auto" w:fill="8797B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5"/>
              </w:rPr>
              <w:t>2017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8,879,826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1,001,000</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43,993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10,724,819</w:t>
            </w:r>
          </w:p>
        </w:tc>
        <w:tc>
          <w:tcPr>
            <w:tcW w:w="0" w:type="dxa"/>
            <w:vAlign w:val="bottom"/>
          </w:tcPr>
          <w:p>
            <w:pPr>
              <w:spacing w:after="0"/>
              <w:rPr>
                <w:sz w:val="1"/>
                <w:szCs w:val="1"/>
                <w:color w:val="auto"/>
              </w:rPr>
            </w:pPr>
          </w:p>
        </w:tc>
      </w:tr>
      <w:tr>
        <w:trPr>
          <w:trHeight w:val="218"/>
        </w:trPr>
        <w:tc>
          <w:tcPr>
            <w:tcW w:w="2320" w:type="dxa"/>
            <w:vAlign w:val="bottom"/>
            <w:tcBorders>
              <w:top w:val="single" w:sz="8" w:color="8797B7"/>
            </w:tcBorders>
          </w:tcPr>
          <w:p>
            <w:pPr>
              <w:spacing w:after="0"/>
              <w:rPr>
                <w:sz w:val="20"/>
                <w:szCs w:val="20"/>
                <w:color w:val="auto"/>
              </w:rPr>
            </w:pPr>
            <w:r>
              <w:rPr>
                <w:rFonts w:ascii="Arial" w:cs="Arial" w:eastAsia="Arial" w:hAnsi="Arial"/>
                <w:sz w:val="16"/>
                <w:szCs w:val="16"/>
                <w:color w:val="auto"/>
              </w:rPr>
              <w:t>Matthew J. DiLiberto</w:t>
            </w:r>
          </w:p>
        </w:tc>
        <w:tc>
          <w:tcPr>
            <w:tcW w:w="100" w:type="dxa"/>
            <w:vAlign w:val="bottom"/>
          </w:tcPr>
          <w:p>
            <w:pPr>
              <w:spacing w:after="0"/>
              <w:rPr>
                <w:sz w:val="18"/>
                <w:szCs w:val="18"/>
                <w:color w:val="auto"/>
              </w:rPr>
            </w:pPr>
          </w:p>
        </w:tc>
        <w:tc>
          <w:tcPr>
            <w:tcW w:w="36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6"/>
                <w:szCs w:val="16"/>
                <w:color w:val="auto"/>
                <w:w w:val="95"/>
              </w:rPr>
              <w:t>2019</w:t>
            </w:r>
          </w:p>
        </w:tc>
        <w:tc>
          <w:tcPr>
            <w:tcW w:w="120" w:type="dxa"/>
            <w:vAlign w:val="bottom"/>
          </w:tcPr>
          <w:p>
            <w:pPr>
              <w:spacing w:after="0"/>
              <w:rPr>
                <w:sz w:val="18"/>
                <w:szCs w:val="18"/>
                <w:color w:val="auto"/>
              </w:rPr>
            </w:pPr>
          </w:p>
        </w:tc>
        <w:tc>
          <w:tcPr>
            <w:tcW w:w="14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18"/>
                <w:szCs w:val="18"/>
                <w:color w:val="auto"/>
              </w:rPr>
            </w:pPr>
          </w:p>
        </w:tc>
        <w:tc>
          <w:tcPr>
            <w:tcW w:w="14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8797B7"/>
            </w:tcBorders>
            <w:shd w:val="clear" w:color="auto" w:fill="CCD3E1"/>
          </w:tcPr>
          <w:p>
            <w:pPr>
              <w:jc w:val="right"/>
              <w:spacing w:after="0" w:line="217" w:lineRule="exact"/>
              <w:rPr>
                <w:sz w:val="20"/>
                <w:szCs w:val="20"/>
                <w:color w:val="auto"/>
              </w:rPr>
            </w:pPr>
            <w:r>
              <w:rPr>
                <w:rFonts w:ascii="Arial" w:cs="Arial" w:eastAsia="Arial" w:hAnsi="Arial"/>
                <w:sz w:val="16"/>
                <w:szCs w:val="16"/>
                <w:color w:val="auto"/>
              </w:rPr>
              <w:t>1,650,000</w:t>
            </w:r>
            <w:r>
              <w:rPr>
                <w:rFonts w:ascii="Arial" w:cs="Arial" w:eastAsia="Arial" w:hAnsi="Arial"/>
                <w:sz w:val="25"/>
                <w:szCs w:val="25"/>
                <w:color w:val="auto"/>
                <w:vertAlign w:val="superscript"/>
              </w:rPr>
              <w:t>(4)</w:t>
            </w:r>
          </w:p>
        </w:tc>
        <w:tc>
          <w:tcPr>
            <w:tcW w:w="120" w:type="dxa"/>
            <w:vAlign w:val="bottom"/>
          </w:tcPr>
          <w:p>
            <w:pPr>
              <w:spacing w:after="0"/>
              <w:rPr>
                <w:sz w:val="18"/>
                <w:szCs w:val="18"/>
                <w:color w:val="auto"/>
              </w:rPr>
            </w:pPr>
          </w:p>
        </w:tc>
        <w:tc>
          <w:tcPr>
            <w:tcW w:w="180" w:type="dxa"/>
            <w:vAlign w:val="bottom"/>
            <w:tcBorders>
              <w:top w:val="single" w:sz="8" w:color="8797B7"/>
            </w:tcBorders>
            <w:shd w:val="clear" w:color="auto" w:fill="CCD3E1"/>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6"/>
                <w:szCs w:val="16"/>
                <w:color w:val="auto"/>
              </w:rPr>
              <w:t>1,011,997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8797B7"/>
            </w:tcBorders>
            <w:shd w:val="clear" w:color="auto" w:fill="CCD3E1"/>
          </w:tcPr>
          <w:p>
            <w:pPr>
              <w:spacing w:after="0"/>
              <w:rPr>
                <w:sz w:val="18"/>
                <w:szCs w:val="18"/>
                <w:color w:val="auto"/>
              </w:rPr>
            </w:pPr>
          </w:p>
        </w:tc>
        <w:tc>
          <w:tcPr>
            <w:tcW w:w="78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8797B7"/>
            </w:tcBorders>
            <w:shd w:val="clear" w:color="auto" w:fill="CCD3E1"/>
          </w:tcPr>
          <w:p>
            <w:pPr>
              <w:spacing w:after="0"/>
              <w:rPr>
                <w:sz w:val="18"/>
                <w:szCs w:val="18"/>
                <w:color w:val="auto"/>
              </w:rPr>
            </w:pPr>
          </w:p>
        </w:tc>
        <w:tc>
          <w:tcPr>
            <w:tcW w:w="96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top w:val="single" w:sz="8" w:color="8797B7"/>
            </w:tcBorders>
            <w:shd w:val="clear" w:color="auto" w:fill="CCD3E1"/>
          </w:tcPr>
          <w:p>
            <w:pPr>
              <w:jc w:val="right"/>
              <w:ind w:right="10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6"/>
                <w:szCs w:val="16"/>
                <w:color w:val="auto"/>
              </w:rPr>
              <w:t>11,200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6"/>
                <w:szCs w:val="16"/>
                <w:color w:val="auto"/>
              </w:rPr>
              <w:t>3,223,197</w:t>
            </w:r>
          </w:p>
        </w:tc>
        <w:tc>
          <w:tcPr>
            <w:tcW w:w="0" w:type="dxa"/>
            <w:vAlign w:val="bottom"/>
          </w:tcPr>
          <w:p>
            <w:pPr>
              <w:spacing w:after="0"/>
              <w:rPr>
                <w:sz w:val="1"/>
                <w:szCs w:val="1"/>
                <w:color w:val="auto"/>
              </w:rPr>
            </w:pPr>
          </w:p>
        </w:tc>
      </w:tr>
      <w:tr>
        <w:trPr>
          <w:trHeight w:val="66"/>
        </w:trPr>
        <w:tc>
          <w:tcPr>
            <w:tcW w:w="2320" w:type="dxa"/>
            <w:vAlign w:val="bottom"/>
            <w:vMerge w:val="restart"/>
          </w:tcPr>
          <w:p>
            <w:pPr>
              <w:spacing w:after="0"/>
              <w:rPr>
                <w:sz w:val="20"/>
                <w:szCs w:val="20"/>
                <w:color w:val="auto"/>
              </w:rPr>
            </w:pPr>
            <w:r>
              <w:rPr>
                <w:rFonts w:ascii="Arial" w:cs="Arial" w:eastAsia="Arial" w:hAnsi="Arial"/>
                <w:sz w:val="16"/>
                <w:szCs w:val="16"/>
                <w:color w:val="auto"/>
              </w:rPr>
              <w:t>Chief Financial Officer</w:t>
            </w:r>
          </w:p>
        </w:tc>
        <w:tc>
          <w:tcPr>
            <w:tcW w:w="100" w:type="dxa"/>
            <w:vAlign w:val="bottom"/>
          </w:tcPr>
          <w:p>
            <w:pPr>
              <w:spacing w:after="0"/>
              <w:rPr>
                <w:sz w:val="5"/>
                <w:szCs w:val="5"/>
                <w:color w:val="auto"/>
              </w:rPr>
            </w:pPr>
          </w:p>
        </w:tc>
        <w:tc>
          <w:tcPr>
            <w:tcW w:w="360" w:type="dxa"/>
            <w:vAlign w:val="bottom"/>
            <w:tcBorders>
              <w:bottom w:val="single" w:sz="8" w:color="8797B7"/>
            </w:tcBorders>
            <w:shd w:val="clear" w:color="auto" w:fill="CCD3E1"/>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8797B7"/>
            </w:tcBorders>
            <w:shd w:val="clear" w:color="auto" w:fill="CCD3E1"/>
          </w:tcPr>
          <w:p>
            <w:pPr>
              <w:spacing w:after="0"/>
              <w:rPr>
                <w:sz w:val="5"/>
                <w:szCs w:val="5"/>
                <w:color w:val="auto"/>
              </w:rPr>
            </w:pPr>
          </w:p>
        </w:tc>
        <w:tc>
          <w:tcPr>
            <w:tcW w:w="780" w:type="dxa"/>
            <w:vAlign w:val="bottom"/>
            <w:tcBorders>
              <w:bottom w:val="single" w:sz="8" w:color="8797B7"/>
            </w:tcBorders>
            <w:shd w:val="clear" w:color="auto" w:fill="CCD3E1"/>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8797B7"/>
            </w:tcBorders>
            <w:shd w:val="clear" w:color="auto" w:fill="CCD3E1"/>
          </w:tcPr>
          <w:p>
            <w:pPr>
              <w:spacing w:after="0"/>
              <w:rPr>
                <w:sz w:val="5"/>
                <w:szCs w:val="5"/>
                <w:color w:val="auto"/>
              </w:rPr>
            </w:pPr>
          </w:p>
        </w:tc>
        <w:tc>
          <w:tcPr>
            <w:tcW w:w="940" w:type="dxa"/>
            <w:vAlign w:val="bottom"/>
            <w:tcBorders>
              <w:bottom w:val="single" w:sz="8" w:color="8797B7"/>
            </w:tcBorders>
            <w:shd w:val="clear" w:color="auto" w:fill="CCD3E1"/>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8797B7"/>
            </w:tcBorders>
            <w:shd w:val="clear" w:color="auto" w:fill="CCD3E1"/>
          </w:tcPr>
          <w:p>
            <w:pPr>
              <w:spacing w:after="0"/>
              <w:rPr>
                <w:sz w:val="5"/>
                <w:szCs w:val="5"/>
                <w:color w:val="auto"/>
              </w:rPr>
            </w:pPr>
          </w:p>
        </w:tc>
        <w:tc>
          <w:tcPr>
            <w:tcW w:w="900" w:type="dxa"/>
            <w:vAlign w:val="bottom"/>
            <w:tcBorders>
              <w:bottom w:val="single" w:sz="8" w:color="8797B7"/>
            </w:tcBorders>
            <w:shd w:val="clear" w:color="auto" w:fill="CCD3E1"/>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8797B7"/>
            </w:tcBorders>
            <w:shd w:val="clear" w:color="auto" w:fill="CCD3E1"/>
          </w:tcPr>
          <w:p>
            <w:pPr>
              <w:spacing w:after="0"/>
              <w:rPr>
                <w:sz w:val="5"/>
                <w:szCs w:val="5"/>
                <w:color w:val="auto"/>
              </w:rPr>
            </w:pPr>
          </w:p>
        </w:tc>
        <w:tc>
          <w:tcPr>
            <w:tcW w:w="780" w:type="dxa"/>
            <w:vAlign w:val="bottom"/>
            <w:tcBorders>
              <w:bottom w:val="single" w:sz="8" w:color="8797B7"/>
            </w:tcBorders>
            <w:shd w:val="clear" w:color="auto" w:fill="CCD3E1"/>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Borders>
              <w:bottom w:val="single" w:sz="8" w:color="8797B7"/>
            </w:tcBorders>
            <w:shd w:val="clear" w:color="auto" w:fill="CCD3E1"/>
          </w:tcPr>
          <w:p>
            <w:pPr>
              <w:spacing w:after="0"/>
              <w:rPr>
                <w:sz w:val="5"/>
                <w:szCs w:val="5"/>
                <w:color w:val="auto"/>
              </w:rPr>
            </w:pPr>
          </w:p>
        </w:tc>
        <w:tc>
          <w:tcPr>
            <w:tcW w:w="960" w:type="dxa"/>
            <w:vAlign w:val="bottom"/>
            <w:tcBorders>
              <w:bottom w:val="single" w:sz="8" w:color="8797B7"/>
            </w:tcBorders>
            <w:shd w:val="clear" w:color="auto" w:fill="CCD3E1"/>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8797B7"/>
            </w:tcBorders>
            <w:shd w:val="clear" w:color="auto" w:fill="CCD3E1"/>
          </w:tcPr>
          <w:p>
            <w:pPr>
              <w:spacing w:after="0"/>
              <w:rPr>
                <w:sz w:val="5"/>
                <w:szCs w:val="5"/>
                <w:color w:val="auto"/>
              </w:rPr>
            </w:pPr>
          </w:p>
        </w:tc>
        <w:tc>
          <w:tcPr>
            <w:tcW w:w="1340" w:type="dxa"/>
            <w:vAlign w:val="bottom"/>
            <w:tcBorders>
              <w:bottom w:val="single" w:sz="8" w:color="8797B7"/>
            </w:tcBorders>
            <w:shd w:val="clear" w:color="auto" w:fill="CCD3E1"/>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Borders>
              <w:bottom w:val="single" w:sz="8" w:color="8797B7"/>
            </w:tcBorders>
            <w:shd w:val="clear" w:color="auto" w:fill="CCD3E1"/>
          </w:tcPr>
          <w:p>
            <w:pPr>
              <w:spacing w:after="0"/>
              <w:rPr>
                <w:sz w:val="5"/>
                <w:szCs w:val="5"/>
                <w:color w:val="auto"/>
              </w:rPr>
            </w:pPr>
          </w:p>
        </w:tc>
        <w:tc>
          <w:tcPr>
            <w:tcW w:w="860" w:type="dxa"/>
            <w:vAlign w:val="bottom"/>
            <w:tcBorders>
              <w:bottom w:val="single" w:sz="8" w:color="8797B7"/>
            </w:tcBorders>
            <w:shd w:val="clear" w:color="auto" w:fill="CCD3E1"/>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320" w:type="dxa"/>
            <w:vAlign w:val="bottom"/>
            <w:vMerge w:val="continue"/>
          </w:tcPr>
          <w:p>
            <w:pPr>
              <w:spacing w:after="0"/>
              <w:rPr>
                <w:sz w:val="9"/>
                <w:szCs w:val="9"/>
                <w:color w:val="auto"/>
              </w:rPr>
            </w:pPr>
          </w:p>
        </w:tc>
        <w:tc>
          <w:tcPr>
            <w:tcW w:w="100" w:type="dxa"/>
            <w:vAlign w:val="bottom"/>
            <w:vMerge w:val="restart"/>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w w:val="95"/>
              </w:rPr>
              <w:t>2018</w:t>
            </w:r>
          </w:p>
        </w:tc>
        <w:tc>
          <w:tcPr>
            <w:tcW w:w="12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vMerge w:val="restart"/>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1,600,000</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3,079,244</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jc w:val="right"/>
              <w:ind w:right="104"/>
              <w:spacing w:after="0"/>
              <w:rPr>
                <w:sz w:val="20"/>
                <w:szCs w:val="20"/>
                <w:color w:val="auto"/>
              </w:rPr>
            </w:pPr>
            <w:r>
              <w:rPr>
                <w:rFonts w:ascii="Arial" w:cs="Arial" w:eastAsia="Arial" w:hAnsi="Arial"/>
                <w:sz w:val="15"/>
                <w:szCs w:val="15"/>
                <w:color w:val="auto"/>
                <w:w w:val="71"/>
              </w:rPr>
              <w:t>$</w:t>
            </w:r>
          </w:p>
        </w:tc>
        <w:tc>
          <w:tcPr>
            <w:tcW w:w="14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11,000</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5,240,244</w:t>
            </w:r>
          </w:p>
        </w:tc>
        <w:tc>
          <w:tcPr>
            <w:tcW w:w="0" w:type="dxa"/>
            <w:vAlign w:val="bottom"/>
          </w:tcPr>
          <w:p>
            <w:pPr>
              <w:spacing w:after="0"/>
              <w:rPr>
                <w:sz w:val="1"/>
                <w:szCs w:val="1"/>
                <w:color w:val="auto"/>
              </w:rPr>
            </w:pPr>
          </w:p>
        </w:tc>
      </w:tr>
      <w:tr>
        <w:trPr>
          <w:trHeight w:val="118"/>
        </w:trPr>
        <w:tc>
          <w:tcPr>
            <w:tcW w:w="232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8797B7"/>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8797B7"/>
          </w:tcPr>
          <w:p>
            <w:pPr>
              <w:spacing w:after="0"/>
              <w:rPr>
                <w:sz w:val="2"/>
                <w:szCs w:val="2"/>
                <w:color w:val="auto"/>
              </w:rPr>
            </w:pPr>
          </w:p>
        </w:tc>
        <w:tc>
          <w:tcPr>
            <w:tcW w:w="780" w:type="dxa"/>
            <w:vAlign w:val="bottom"/>
            <w:shd w:val="clear" w:color="auto" w:fill="8797B7"/>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8797B7"/>
          </w:tcPr>
          <w:p>
            <w:pPr>
              <w:spacing w:after="0"/>
              <w:rPr>
                <w:sz w:val="2"/>
                <w:szCs w:val="2"/>
                <w:color w:val="auto"/>
              </w:rPr>
            </w:pPr>
          </w:p>
        </w:tc>
        <w:tc>
          <w:tcPr>
            <w:tcW w:w="940" w:type="dxa"/>
            <w:vAlign w:val="bottom"/>
            <w:shd w:val="clear" w:color="auto" w:fill="8797B7"/>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8797B7"/>
          </w:tcPr>
          <w:p>
            <w:pPr>
              <w:spacing w:after="0"/>
              <w:rPr>
                <w:sz w:val="2"/>
                <w:szCs w:val="2"/>
                <w:color w:val="auto"/>
              </w:rPr>
            </w:pPr>
          </w:p>
        </w:tc>
        <w:tc>
          <w:tcPr>
            <w:tcW w:w="900" w:type="dxa"/>
            <w:vAlign w:val="bottom"/>
            <w:shd w:val="clear" w:color="auto" w:fill="8797B7"/>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8797B7"/>
          </w:tcPr>
          <w:p>
            <w:pPr>
              <w:spacing w:after="0"/>
              <w:rPr>
                <w:sz w:val="2"/>
                <w:szCs w:val="2"/>
                <w:color w:val="auto"/>
              </w:rPr>
            </w:pPr>
          </w:p>
        </w:tc>
        <w:tc>
          <w:tcPr>
            <w:tcW w:w="780" w:type="dxa"/>
            <w:vAlign w:val="bottom"/>
            <w:shd w:val="clear" w:color="auto" w:fill="8797B7"/>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8797B7"/>
          </w:tcPr>
          <w:p>
            <w:pPr>
              <w:spacing w:after="0"/>
              <w:rPr>
                <w:sz w:val="2"/>
                <w:szCs w:val="2"/>
                <w:color w:val="auto"/>
              </w:rPr>
            </w:pPr>
          </w:p>
        </w:tc>
        <w:tc>
          <w:tcPr>
            <w:tcW w:w="960" w:type="dxa"/>
            <w:vAlign w:val="bottom"/>
            <w:shd w:val="clear" w:color="auto" w:fill="8797B7"/>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8797B7"/>
          </w:tcPr>
          <w:p>
            <w:pPr>
              <w:spacing w:after="0"/>
              <w:rPr>
                <w:sz w:val="2"/>
                <w:szCs w:val="2"/>
                <w:color w:val="auto"/>
              </w:rPr>
            </w:pPr>
          </w:p>
        </w:tc>
        <w:tc>
          <w:tcPr>
            <w:tcW w:w="1340" w:type="dxa"/>
            <w:vAlign w:val="bottom"/>
            <w:shd w:val="clear" w:color="auto" w:fill="8797B7"/>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8797B7"/>
          </w:tcPr>
          <w:p>
            <w:pPr>
              <w:spacing w:after="0"/>
              <w:rPr>
                <w:sz w:val="2"/>
                <w:szCs w:val="2"/>
                <w:color w:val="auto"/>
              </w:rPr>
            </w:pPr>
          </w:p>
        </w:tc>
        <w:tc>
          <w:tcPr>
            <w:tcW w:w="860" w:type="dxa"/>
            <w:vAlign w:val="bottom"/>
            <w:shd w:val="clear" w:color="auto" w:fill="8797B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5"/>
              </w:rPr>
              <w:t>2017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1,600,000</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255,013</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748,419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8,100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3,111,532</w:t>
            </w:r>
          </w:p>
        </w:tc>
        <w:tc>
          <w:tcPr>
            <w:tcW w:w="0" w:type="dxa"/>
            <w:vAlign w:val="bottom"/>
          </w:tcPr>
          <w:p>
            <w:pPr>
              <w:spacing w:after="0"/>
              <w:rPr>
                <w:sz w:val="1"/>
                <w:szCs w:val="1"/>
                <w:color w:val="auto"/>
              </w:rPr>
            </w:pPr>
          </w:p>
        </w:tc>
      </w:tr>
      <w:tr>
        <w:trPr>
          <w:trHeight w:val="218"/>
        </w:trPr>
        <w:tc>
          <w:tcPr>
            <w:tcW w:w="2320" w:type="dxa"/>
            <w:vAlign w:val="bottom"/>
            <w:tcBorders>
              <w:top w:val="single" w:sz="8" w:color="8797B7"/>
            </w:tcBorders>
          </w:tcPr>
          <w:p>
            <w:pPr>
              <w:spacing w:after="0"/>
              <w:rPr>
                <w:sz w:val="20"/>
                <w:szCs w:val="20"/>
                <w:color w:val="auto"/>
              </w:rPr>
            </w:pPr>
            <w:r>
              <w:rPr>
                <w:rFonts w:ascii="Arial" w:cs="Arial" w:eastAsia="Arial" w:hAnsi="Arial"/>
                <w:sz w:val="16"/>
                <w:szCs w:val="16"/>
                <w:color w:val="auto"/>
              </w:rPr>
              <w:t>Andrew S. Levine</w:t>
            </w:r>
          </w:p>
        </w:tc>
        <w:tc>
          <w:tcPr>
            <w:tcW w:w="100" w:type="dxa"/>
            <w:vAlign w:val="bottom"/>
          </w:tcPr>
          <w:p>
            <w:pPr>
              <w:spacing w:after="0"/>
              <w:rPr>
                <w:sz w:val="18"/>
                <w:szCs w:val="18"/>
                <w:color w:val="auto"/>
              </w:rPr>
            </w:pPr>
          </w:p>
        </w:tc>
        <w:tc>
          <w:tcPr>
            <w:tcW w:w="36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6"/>
                <w:szCs w:val="16"/>
                <w:color w:val="auto"/>
                <w:w w:val="95"/>
              </w:rPr>
              <w:t>2019</w:t>
            </w:r>
          </w:p>
        </w:tc>
        <w:tc>
          <w:tcPr>
            <w:tcW w:w="120" w:type="dxa"/>
            <w:vAlign w:val="bottom"/>
          </w:tcPr>
          <w:p>
            <w:pPr>
              <w:spacing w:after="0"/>
              <w:rPr>
                <w:sz w:val="18"/>
                <w:szCs w:val="18"/>
                <w:color w:val="auto"/>
              </w:rPr>
            </w:pPr>
          </w:p>
        </w:tc>
        <w:tc>
          <w:tcPr>
            <w:tcW w:w="14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6"/>
                <w:szCs w:val="16"/>
                <w:color w:val="auto"/>
              </w:rPr>
              <w:t>580,000</w:t>
            </w:r>
          </w:p>
        </w:tc>
        <w:tc>
          <w:tcPr>
            <w:tcW w:w="100" w:type="dxa"/>
            <w:vAlign w:val="bottom"/>
          </w:tcPr>
          <w:p>
            <w:pPr>
              <w:spacing w:after="0"/>
              <w:rPr>
                <w:sz w:val="18"/>
                <w:szCs w:val="18"/>
                <w:color w:val="auto"/>
              </w:rPr>
            </w:pPr>
          </w:p>
        </w:tc>
        <w:tc>
          <w:tcPr>
            <w:tcW w:w="14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8797B7"/>
            </w:tcBorders>
            <w:shd w:val="clear" w:color="auto" w:fill="CCD3E1"/>
          </w:tcPr>
          <w:p>
            <w:pPr>
              <w:jc w:val="right"/>
              <w:spacing w:after="0" w:line="217" w:lineRule="exact"/>
              <w:rPr>
                <w:sz w:val="20"/>
                <w:szCs w:val="20"/>
                <w:color w:val="auto"/>
              </w:rPr>
            </w:pPr>
            <w:r>
              <w:rPr>
                <w:rFonts w:ascii="Arial" w:cs="Arial" w:eastAsia="Arial" w:hAnsi="Arial"/>
                <w:sz w:val="16"/>
                <w:szCs w:val="16"/>
                <w:color w:val="auto"/>
              </w:rPr>
              <w:t>1,000,000</w:t>
            </w:r>
            <w:r>
              <w:rPr>
                <w:rFonts w:ascii="Arial" w:cs="Arial" w:eastAsia="Arial" w:hAnsi="Arial"/>
                <w:sz w:val="25"/>
                <w:szCs w:val="25"/>
                <w:color w:val="auto"/>
                <w:vertAlign w:val="superscript"/>
              </w:rPr>
              <w:t>(4)</w:t>
            </w:r>
          </w:p>
        </w:tc>
        <w:tc>
          <w:tcPr>
            <w:tcW w:w="120" w:type="dxa"/>
            <w:vAlign w:val="bottom"/>
          </w:tcPr>
          <w:p>
            <w:pPr>
              <w:spacing w:after="0"/>
              <w:rPr>
                <w:sz w:val="18"/>
                <w:szCs w:val="18"/>
                <w:color w:val="auto"/>
              </w:rPr>
            </w:pPr>
          </w:p>
        </w:tc>
        <w:tc>
          <w:tcPr>
            <w:tcW w:w="180" w:type="dxa"/>
            <w:vAlign w:val="bottom"/>
            <w:tcBorders>
              <w:top w:val="single" w:sz="8" w:color="8797B7"/>
            </w:tcBorders>
            <w:shd w:val="clear" w:color="auto" w:fill="CCD3E1"/>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6"/>
                <w:szCs w:val="16"/>
                <w:color w:val="auto"/>
              </w:rPr>
              <w:t>3,104,650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8797B7"/>
            </w:tcBorders>
            <w:shd w:val="clear" w:color="auto" w:fill="CCD3E1"/>
          </w:tcPr>
          <w:p>
            <w:pPr>
              <w:spacing w:after="0"/>
              <w:rPr>
                <w:sz w:val="18"/>
                <w:szCs w:val="18"/>
                <w:color w:val="auto"/>
              </w:rPr>
            </w:pPr>
          </w:p>
        </w:tc>
        <w:tc>
          <w:tcPr>
            <w:tcW w:w="78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8797B7"/>
            </w:tcBorders>
            <w:shd w:val="clear" w:color="auto" w:fill="CCD3E1"/>
          </w:tcPr>
          <w:p>
            <w:pPr>
              <w:spacing w:after="0"/>
              <w:rPr>
                <w:sz w:val="18"/>
                <w:szCs w:val="18"/>
                <w:color w:val="auto"/>
              </w:rPr>
            </w:pPr>
          </w:p>
        </w:tc>
        <w:tc>
          <w:tcPr>
            <w:tcW w:w="96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top w:val="single" w:sz="8" w:color="8797B7"/>
            </w:tcBorders>
            <w:shd w:val="clear" w:color="auto" w:fill="CCD3E1"/>
          </w:tcPr>
          <w:p>
            <w:pPr>
              <w:jc w:val="right"/>
              <w:ind w:right="10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6"/>
                <w:szCs w:val="16"/>
                <w:color w:val="auto"/>
              </w:rPr>
              <w:t>11,200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8797B7"/>
            </w:tcBorders>
            <w:shd w:val="clear" w:color="auto" w:fill="CCD3E1"/>
          </w:tcPr>
          <w:p>
            <w:pPr>
              <w:jc w:val="right"/>
              <w:spacing w:after="0"/>
              <w:rPr>
                <w:sz w:val="20"/>
                <w:szCs w:val="20"/>
                <w:color w:val="auto"/>
              </w:rPr>
            </w:pPr>
            <w:r>
              <w:rPr>
                <w:rFonts w:ascii="Arial" w:cs="Arial" w:eastAsia="Arial" w:hAnsi="Arial"/>
                <w:sz w:val="16"/>
                <w:szCs w:val="16"/>
                <w:color w:val="auto"/>
              </w:rPr>
              <w:t>4,695,850</w:t>
            </w:r>
          </w:p>
        </w:tc>
        <w:tc>
          <w:tcPr>
            <w:tcW w:w="0" w:type="dxa"/>
            <w:vAlign w:val="bottom"/>
          </w:tcPr>
          <w:p>
            <w:pPr>
              <w:spacing w:after="0"/>
              <w:rPr>
                <w:sz w:val="1"/>
                <w:szCs w:val="1"/>
                <w:color w:val="auto"/>
              </w:rPr>
            </w:pPr>
          </w:p>
        </w:tc>
      </w:tr>
      <w:tr>
        <w:trPr>
          <w:trHeight w:val="66"/>
        </w:trPr>
        <w:tc>
          <w:tcPr>
            <w:tcW w:w="2320" w:type="dxa"/>
            <w:vAlign w:val="bottom"/>
            <w:vMerge w:val="restart"/>
          </w:tcPr>
          <w:p>
            <w:pPr>
              <w:spacing w:after="0"/>
              <w:rPr>
                <w:sz w:val="20"/>
                <w:szCs w:val="20"/>
                <w:color w:val="auto"/>
              </w:rPr>
            </w:pPr>
            <w:r>
              <w:rPr>
                <w:rFonts w:ascii="Arial" w:cs="Arial" w:eastAsia="Arial" w:hAnsi="Arial"/>
                <w:sz w:val="16"/>
                <w:szCs w:val="16"/>
                <w:color w:val="auto"/>
              </w:rPr>
              <w:t>General Counsel</w:t>
            </w:r>
          </w:p>
        </w:tc>
        <w:tc>
          <w:tcPr>
            <w:tcW w:w="100" w:type="dxa"/>
            <w:vAlign w:val="bottom"/>
          </w:tcPr>
          <w:p>
            <w:pPr>
              <w:spacing w:after="0"/>
              <w:rPr>
                <w:sz w:val="5"/>
                <w:szCs w:val="5"/>
                <w:color w:val="auto"/>
              </w:rPr>
            </w:pPr>
          </w:p>
        </w:tc>
        <w:tc>
          <w:tcPr>
            <w:tcW w:w="360" w:type="dxa"/>
            <w:vAlign w:val="bottom"/>
            <w:tcBorders>
              <w:bottom w:val="single" w:sz="8" w:color="8797B7"/>
            </w:tcBorders>
            <w:shd w:val="clear" w:color="auto" w:fill="CCD3E1"/>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8797B7"/>
            </w:tcBorders>
            <w:shd w:val="clear" w:color="auto" w:fill="CCD3E1"/>
          </w:tcPr>
          <w:p>
            <w:pPr>
              <w:spacing w:after="0"/>
              <w:rPr>
                <w:sz w:val="5"/>
                <w:szCs w:val="5"/>
                <w:color w:val="auto"/>
              </w:rPr>
            </w:pPr>
          </w:p>
        </w:tc>
        <w:tc>
          <w:tcPr>
            <w:tcW w:w="780" w:type="dxa"/>
            <w:vAlign w:val="bottom"/>
            <w:tcBorders>
              <w:bottom w:val="single" w:sz="8" w:color="8797B7"/>
            </w:tcBorders>
            <w:shd w:val="clear" w:color="auto" w:fill="CCD3E1"/>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8797B7"/>
            </w:tcBorders>
            <w:shd w:val="clear" w:color="auto" w:fill="CCD3E1"/>
          </w:tcPr>
          <w:p>
            <w:pPr>
              <w:spacing w:after="0"/>
              <w:rPr>
                <w:sz w:val="5"/>
                <w:szCs w:val="5"/>
                <w:color w:val="auto"/>
              </w:rPr>
            </w:pPr>
          </w:p>
        </w:tc>
        <w:tc>
          <w:tcPr>
            <w:tcW w:w="940" w:type="dxa"/>
            <w:vAlign w:val="bottom"/>
            <w:tcBorders>
              <w:bottom w:val="single" w:sz="8" w:color="8797B7"/>
            </w:tcBorders>
            <w:shd w:val="clear" w:color="auto" w:fill="CCD3E1"/>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8797B7"/>
            </w:tcBorders>
            <w:shd w:val="clear" w:color="auto" w:fill="CCD3E1"/>
          </w:tcPr>
          <w:p>
            <w:pPr>
              <w:spacing w:after="0"/>
              <w:rPr>
                <w:sz w:val="5"/>
                <w:szCs w:val="5"/>
                <w:color w:val="auto"/>
              </w:rPr>
            </w:pPr>
          </w:p>
        </w:tc>
        <w:tc>
          <w:tcPr>
            <w:tcW w:w="900" w:type="dxa"/>
            <w:vAlign w:val="bottom"/>
            <w:tcBorders>
              <w:bottom w:val="single" w:sz="8" w:color="8797B7"/>
            </w:tcBorders>
            <w:shd w:val="clear" w:color="auto" w:fill="CCD3E1"/>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8797B7"/>
            </w:tcBorders>
            <w:shd w:val="clear" w:color="auto" w:fill="CCD3E1"/>
          </w:tcPr>
          <w:p>
            <w:pPr>
              <w:spacing w:after="0"/>
              <w:rPr>
                <w:sz w:val="5"/>
                <w:szCs w:val="5"/>
                <w:color w:val="auto"/>
              </w:rPr>
            </w:pPr>
          </w:p>
        </w:tc>
        <w:tc>
          <w:tcPr>
            <w:tcW w:w="780" w:type="dxa"/>
            <w:vAlign w:val="bottom"/>
            <w:tcBorders>
              <w:bottom w:val="single" w:sz="8" w:color="8797B7"/>
            </w:tcBorders>
            <w:shd w:val="clear" w:color="auto" w:fill="CCD3E1"/>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Borders>
              <w:bottom w:val="single" w:sz="8" w:color="8797B7"/>
            </w:tcBorders>
            <w:shd w:val="clear" w:color="auto" w:fill="CCD3E1"/>
          </w:tcPr>
          <w:p>
            <w:pPr>
              <w:spacing w:after="0"/>
              <w:rPr>
                <w:sz w:val="5"/>
                <w:szCs w:val="5"/>
                <w:color w:val="auto"/>
              </w:rPr>
            </w:pPr>
          </w:p>
        </w:tc>
        <w:tc>
          <w:tcPr>
            <w:tcW w:w="960" w:type="dxa"/>
            <w:vAlign w:val="bottom"/>
            <w:tcBorders>
              <w:bottom w:val="single" w:sz="8" w:color="8797B7"/>
            </w:tcBorders>
            <w:shd w:val="clear" w:color="auto" w:fill="CCD3E1"/>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8797B7"/>
            </w:tcBorders>
            <w:shd w:val="clear" w:color="auto" w:fill="CCD3E1"/>
          </w:tcPr>
          <w:p>
            <w:pPr>
              <w:spacing w:after="0"/>
              <w:rPr>
                <w:sz w:val="5"/>
                <w:szCs w:val="5"/>
                <w:color w:val="auto"/>
              </w:rPr>
            </w:pPr>
          </w:p>
        </w:tc>
        <w:tc>
          <w:tcPr>
            <w:tcW w:w="1340" w:type="dxa"/>
            <w:vAlign w:val="bottom"/>
            <w:tcBorders>
              <w:bottom w:val="single" w:sz="8" w:color="8797B7"/>
            </w:tcBorders>
            <w:shd w:val="clear" w:color="auto" w:fill="CCD3E1"/>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Borders>
              <w:bottom w:val="single" w:sz="8" w:color="8797B7"/>
            </w:tcBorders>
            <w:shd w:val="clear" w:color="auto" w:fill="CCD3E1"/>
          </w:tcPr>
          <w:p>
            <w:pPr>
              <w:spacing w:after="0"/>
              <w:rPr>
                <w:sz w:val="5"/>
                <w:szCs w:val="5"/>
                <w:color w:val="auto"/>
              </w:rPr>
            </w:pPr>
          </w:p>
        </w:tc>
        <w:tc>
          <w:tcPr>
            <w:tcW w:w="860" w:type="dxa"/>
            <w:vAlign w:val="bottom"/>
            <w:tcBorders>
              <w:bottom w:val="single" w:sz="8" w:color="8797B7"/>
            </w:tcBorders>
            <w:shd w:val="clear" w:color="auto" w:fill="CCD3E1"/>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320" w:type="dxa"/>
            <w:vAlign w:val="bottom"/>
            <w:vMerge w:val="continue"/>
          </w:tcPr>
          <w:p>
            <w:pPr>
              <w:spacing w:after="0"/>
              <w:rPr>
                <w:sz w:val="9"/>
                <w:szCs w:val="9"/>
                <w:color w:val="auto"/>
              </w:rPr>
            </w:pPr>
          </w:p>
        </w:tc>
        <w:tc>
          <w:tcPr>
            <w:tcW w:w="100" w:type="dxa"/>
            <w:vAlign w:val="bottom"/>
            <w:vMerge w:val="restart"/>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w w:val="95"/>
              </w:rPr>
              <w:t>2018</w:t>
            </w:r>
          </w:p>
        </w:tc>
        <w:tc>
          <w:tcPr>
            <w:tcW w:w="12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1,051,877</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jc w:val="right"/>
              <w:ind w:right="104"/>
              <w:spacing w:after="0"/>
              <w:rPr>
                <w:sz w:val="20"/>
                <w:szCs w:val="20"/>
                <w:color w:val="auto"/>
              </w:rPr>
            </w:pPr>
            <w:r>
              <w:rPr>
                <w:rFonts w:ascii="Arial" w:cs="Arial" w:eastAsia="Arial" w:hAnsi="Arial"/>
                <w:sz w:val="15"/>
                <w:szCs w:val="15"/>
                <w:color w:val="auto"/>
                <w:w w:val="71"/>
              </w:rPr>
              <w:t>$</w:t>
            </w:r>
          </w:p>
        </w:tc>
        <w:tc>
          <w:tcPr>
            <w:tcW w:w="14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11,000</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1,612,877</w:t>
            </w:r>
          </w:p>
        </w:tc>
        <w:tc>
          <w:tcPr>
            <w:tcW w:w="0" w:type="dxa"/>
            <w:vAlign w:val="bottom"/>
          </w:tcPr>
          <w:p>
            <w:pPr>
              <w:spacing w:after="0"/>
              <w:rPr>
                <w:sz w:val="1"/>
                <w:szCs w:val="1"/>
                <w:color w:val="auto"/>
              </w:rPr>
            </w:pPr>
          </w:p>
        </w:tc>
      </w:tr>
      <w:tr>
        <w:trPr>
          <w:trHeight w:val="118"/>
        </w:trPr>
        <w:tc>
          <w:tcPr>
            <w:tcW w:w="232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8797B7"/>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8797B7"/>
          </w:tcPr>
          <w:p>
            <w:pPr>
              <w:spacing w:after="0"/>
              <w:rPr>
                <w:sz w:val="2"/>
                <w:szCs w:val="2"/>
                <w:color w:val="auto"/>
              </w:rPr>
            </w:pPr>
          </w:p>
        </w:tc>
        <w:tc>
          <w:tcPr>
            <w:tcW w:w="780" w:type="dxa"/>
            <w:vAlign w:val="bottom"/>
            <w:shd w:val="clear" w:color="auto" w:fill="8797B7"/>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8797B7"/>
          </w:tcPr>
          <w:p>
            <w:pPr>
              <w:spacing w:after="0"/>
              <w:rPr>
                <w:sz w:val="2"/>
                <w:szCs w:val="2"/>
                <w:color w:val="auto"/>
              </w:rPr>
            </w:pPr>
          </w:p>
        </w:tc>
        <w:tc>
          <w:tcPr>
            <w:tcW w:w="940" w:type="dxa"/>
            <w:vAlign w:val="bottom"/>
            <w:shd w:val="clear" w:color="auto" w:fill="8797B7"/>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8797B7"/>
          </w:tcPr>
          <w:p>
            <w:pPr>
              <w:spacing w:after="0"/>
              <w:rPr>
                <w:sz w:val="2"/>
                <w:szCs w:val="2"/>
                <w:color w:val="auto"/>
              </w:rPr>
            </w:pPr>
          </w:p>
        </w:tc>
        <w:tc>
          <w:tcPr>
            <w:tcW w:w="900" w:type="dxa"/>
            <w:vAlign w:val="bottom"/>
            <w:shd w:val="clear" w:color="auto" w:fill="8797B7"/>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8797B7"/>
          </w:tcPr>
          <w:p>
            <w:pPr>
              <w:spacing w:after="0"/>
              <w:rPr>
                <w:sz w:val="2"/>
                <w:szCs w:val="2"/>
                <w:color w:val="auto"/>
              </w:rPr>
            </w:pPr>
          </w:p>
        </w:tc>
        <w:tc>
          <w:tcPr>
            <w:tcW w:w="780" w:type="dxa"/>
            <w:vAlign w:val="bottom"/>
            <w:shd w:val="clear" w:color="auto" w:fill="8797B7"/>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8797B7"/>
          </w:tcPr>
          <w:p>
            <w:pPr>
              <w:spacing w:after="0"/>
              <w:rPr>
                <w:sz w:val="2"/>
                <w:szCs w:val="2"/>
                <w:color w:val="auto"/>
              </w:rPr>
            </w:pPr>
          </w:p>
        </w:tc>
        <w:tc>
          <w:tcPr>
            <w:tcW w:w="960" w:type="dxa"/>
            <w:vAlign w:val="bottom"/>
            <w:shd w:val="clear" w:color="auto" w:fill="8797B7"/>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8797B7"/>
          </w:tcPr>
          <w:p>
            <w:pPr>
              <w:spacing w:after="0"/>
              <w:rPr>
                <w:sz w:val="2"/>
                <w:szCs w:val="2"/>
                <w:color w:val="auto"/>
              </w:rPr>
            </w:pPr>
          </w:p>
        </w:tc>
        <w:tc>
          <w:tcPr>
            <w:tcW w:w="1340" w:type="dxa"/>
            <w:vAlign w:val="bottom"/>
            <w:shd w:val="clear" w:color="auto" w:fill="8797B7"/>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8797B7"/>
          </w:tcPr>
          <w:p>
            <w:pPr>
              <w:spacing w:after="0"/>
              <w:rPr>
                <w:sz w:val="2"/>
                <w:szCs w:val="2"/>
                <w:color w:val="auto"/>
              </w:rPr>
            </w:pPr>
          </w:p>
        </w:tc>
        <w:tc>
          <w:tcPr>
            <w:tcW w:w="860" w:type="dxa"/>
            <w:vAlign w:val="bottom"/>
            <w:shd w:val="clear" w:color="auto" w:fill="8797B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5"/>
              </w:rPr>
              <w:t>2017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1,256,930</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748,419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8,100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2,563,449</w:t>
            </w:r>
          </w:p>
        </w:tc>
        <w:tc>
          <w:tcPr>
            <w:tcW w:w="0" w:type="dxa"/>
            <w:vAlign w:val="bottom"/>
          </w:tcPr>
          <w:p>
            <w:pPr>
              <w:spacing w:after="0"/>
              <w:rPr>
                <w:sz w:val="1"/>
                <w:szCs w:val="1"/>
                <w:color w:val="auto"/>
              </w:rPr>
            </w:pPr>
          </w:p>
        </w:tc>
      </w:tr>
      <w:tr>
        <w:trPr>
          <w:trHeight w:val="37"/>
        </w:trPr>
        <w:tc>
          <w:tcPr>
            <w:tcW w:w="2320" w:type="dxa"/>
            <w:vAlign w:val="bottom"/>
            <w:shd w:val="clear" w:color="auto" w:fill="355889"/>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shd w:val="clear" w:color="auto" w:fill="355889"/>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shd w:val="clear" w:color="auto" w:fill="355889"/>
          </w:tcPr>
          <w:p>
            <w:pPr>
              <w:spacing w:after="0"/>
              <w:rPr>
                <w:sz w:val="3"/>
                <w:szCs w:val="3"/>
                <w:color w:val="auto"/>
              </w:rPr>
            </w:pPr>
          </w:p>
        </w:tc>
        <w:tc>
          <w:tcPr>
            <w:tcW w:w="780" w:type="dxa"/>
            <w:vAlign w:val="bottom"/>
            <w:shd w:val="clear" w:color="auto" w:fill="355889"/>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355889"/>
          </w:tcPr>
          <w:p>
            <w:pPr>
              <w:spacing w:after="0"/>
              <w:rPr>
                <w:sz w:val="3"/>
                <w:szCs w:val="3"/>
                <w:color w:val="auto"/>
              </w:rPr>
            </w:pPr>
          </w:p>
        </w:tc>
        <w:tc>
          <w:tcPr>
            <w:tcW w:w="940" w:type="dxa"/>
            <w:vAlign w:val="bottom"/>
            <w:shd w:val="clear" w:color="auto" w:fill="355889"/>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shd w:val="clear" w:color="auto" w:fill="355889"/>
          </w:tcPr>
          <w:p>
            <w:pPr>
              <w:spacing w:after="0"/>
              <w:rPr>
                <w:sz w:val="3"/>
                <w:szCs w:val="3"/>
                <w:color w:val="auto"/>
              </w:rPr>
            </w:pPr>
          </w:p>
        </w:tc>
        <w:tc>
          <w:tcPr>
            <w:tcW w:w="900" w:type="dxa"/>
            <w:vAlign w:val="bottom"/>
            <w:shd w:val="clear" w:color="auto" w:fill="355889"/>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shd w:val="clear" w:color="auto" w:fill="355889"/>
          </w:tcPr>
          <w:p>
            <w:pPr>
              <w:spacing w:after="0"/>
              <w:rPr>
                <w:sz w:val="3"/>
                <w:szCs w:val="3"/>
                <w:color w:val="auto"/>
              </w:rPr>
            </w:pPr>
          </w:p>
        </w:tc>
        <w:tc>
          <w:tcPr>
            <w:tcW w:w="780" w:type="dxa"/>
            <w:vAlign w:val="bottom"/>
            <w:shd w:val="clear" w:color="auto" w:fill="355889"/>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shd w:val="clear" w:color="auto" w:fill="355889"/>
          </w:tcPr>
          <w:p>
            <w:pPr>
              <w:spacing w:after="0"/>
              <w:rPr>
                <w:sz w:val="3"/>
                <w:szCs w:val="3"/>
                <w:color w:val="auto"/>
              </w:rPr>
            </w:pPr>
          </w:p>
        </w:tc>
        <w:tc>
          <w:tcPr>
            <w:tcW w:w="960" w:type="dxa"/>
            <w:vAlign w:val="bottom"/>
            <w:shd w:val="clear" w:color="auto" w:fill="355889"/>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shd w:val="clear" w:color="auto" w:fill="355889"/>
          </w:tcPr>
          <w:p>
            <w:pPr>
              <w:spacing w:after="0"/>
              <w:rPr>
                <w:sz w:val="3"/>
                <w:szCs w:val="3"/>
                <w:color w:val="auto"/>
              </w:rPr>
            </w:pPr>
          </w:p>
        </w:tc>
        <w:tc>
          <w:tcPr>
            <w:tcW w:w="1340" w:type="dxa"/>
            <w:vAlign w:val="bottom"/>
            <w:shd w:val="clear" w:color="auto" w:fill="355889"/>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shd w:val="clear" w:color="auto" w:fill="355889"/>
          </w:tcPr>
          <w:p>
            <w:pPr>
              <w:spacing w:after="0"/>
              <w:rPr>
                <w:sz w:val="3"/>
                <w:szCs w:val="3"/>
                <w:color w:val="auto"/>
              </w:rPr>
            </w:pPr>
          </w:p>
        </w:tc>
        <w:tc>
          <w:tcPr>
            <w:tcW w:w="860" w:type="dxa"/>
            <w:vAlign w:val="bottom"/>
            <w:shd w:val="clear" w:color="auto" w:fill="355889"/>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20" w:right="60" w:hanging="312"/>
        <w:spacing w:after="0" w:line="242" w:lineRule="auto"/>
        <w:tabs>
          <w:tab w:leader="none" w:pos="3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Amounts shown do not reflect compensation actually received by the named executive officer. Instead, the amounts shown are the full grant date fair value of stock awards and option awards issued to the executives in 2019, 2018 and 2017, respectively. In accordance with SEC disclosure requirements, the amounts for 2019 include the full grant date fair value of our 2019 annual performance-based equity awards, which were as follows: Mr. Holliday—$8,410,933; Mr. Mathias—$6,728,739; Mr. DiLiberto—$658,637; and Mr. Levine—$658,637, respectively. The grant date fair value of such awards is computed in accordance with ASC 718, “Compensation-Stock Compensation,” or “ASC 718,” by the use of Monte Carlo simulation models that consider the probable outcomes of the market-based performance conditions governing such awards. The Monte Carlo simulation model for the awards granted during 2019 used an assumed stock price volatility level of 23% on our common stock and a risk-free interest rate of 2.37%.</w:t>
      </w:r>
    </w:p>
    <w:p>
      <w:pPr>
        <w:spacing w:after="0" w:line="202" w:lineRule="exact"/>
        <w:rPr>
          <w:rFonts w:ascii="Arial" w:cs="Arial" w:eastAsia="Arial" w:hAnsi="Arial"/>
          <w:sz w:val="13"/>
          <w:szCs w:val="13"/>
          <w:color w:val="auto"/>
        </w:rPr>
      </w:pPr>
    </w:p>
    <w:p>
      <w:pPr>
        <w:ind w:left="320" w:right="180"/>
        <w:spacing w:after="0" w:line="243" w:lineRule="auto"/>
        <w:rPr>
          <w:rFonts w:ascii="Arial" w:cs="Arial" w:eastAsia="Arial" w:hAnsi="Arial"/>
          <w:sz w:val="13"/>
          <w:szCs w:val="13"/>
          <w:color w:val="auto"/>
        </w:rPr>
      </w:pPr>
      <w:r>
        <w:rPr>
          <w:rFonts w:ascii="Arial" w:cs="Arial" w:eastAsia="Arial" w:hAnsi="Arial"/>
          <w:sz w:val="13"/>
          <w:szCs w:val="13"/>
          <w:color w:val="auto"/>
        </w:rPr>
        <w:t>The actual value of awards with respect to our 2019 annual performance-based equity awards is contingent upon the attainment of operational performance metrics over a one-year measurement period that ended December 31, 2019, subject to modification based on our absolute stockholder return over a three-year measurement period that will end on December 31, 2021, and a relative stockholder return metric over a three-year measurement period that will end on December 31, 2021. Assuming that maximum performance is achieved under our 2019 annual performance-based equity awards, the value at the grant date of the awards would each have been as follows: Mr. Holliday—$17,628,320; Mr. Mathias—$14,102,520; Mr. DiLiberto—$1,305,770; and Mr. Levine—$1,305,770, respectively.</w:t>
      </w:r>
    </w:p>
    <w:p>
      <w:pPr>
        <w:spacing w:after="0" w:line="53" w:lineRule="exact"/>
        <w:rPr>
          <w:rFonts w:ascii="Arial" w:cs="Arial" w:eastAsia="Arial" w:hAnsi="Arial"/>
          <w:sz w:val="13"/>
          <w:szCs w:val="13"/>
          <w:color w:val="auto"/>
        </w:rPr>
      </w:pPr>
    </w:p>
    <w:p>
      <w:pPr>
        <w:ind w:left="320" w:right="620" w:hanging="312"/>
        <w:spacing w:after="0" w:line="258" w:lineRule="auto"/>
        <w:tabs>
          <w:tab w:leader="none" w:pos="3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Includes $78,070 as an adjustment to the 2019 annual cash bonus amount in respect of the Company’s 2018 performance upon the determination by the Committee that the Company’s actual 2018 performance exceeded the Company’s estimated 2018 performance used to initially determine 2018 annual cash bonus amounts.</w:t>
      </w:r>
    </w:p>
    <w:p>
      <w:pPr>
        <w:spacing w:after="0" w:line="43" w:lineRule="exact"/>
        <w:rPr>
          <w:rFonts w:ascii="Arial" w:cs="Arial" w:eastAsia="Arial" w:hAnsi="Arial"/>
          <w:sz w:val="13"/>
          <w:szCs w:val="13"/>
          <w:color w:val="auto"/>
        </w:rPr>
      </w:pPr>
    </w:p>
    <w:p>
      <w:pPr>
        <w:ind w:left="320" w:hanging="312"/>
        <w:spacing w:after="0"/>
        <w:tabs>
          <w:tab w:leader="none" w:pos="3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table and footnotes below show the components of this column for 2019, which include certain perquisites such as Company 401(k) matching contributions.</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9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355889"/>
              </w:rPr>
              <w:t>All Other</w:t>
            </w:r>
          </w:p>
        </w:tc>
      </w:tr>
      <w:tr>
        <w:trPr>
          <w:trHeight w:val="172"/>
        </w:trPr>
        <w:tc>
          <w:tcPr>
            <w:tcW w:w="9580" w:type="dxa"/>
            <w:vAlign w:val="bottom"/>
            <w:tcBorders>
              <w:bottom w:val="single" w:sz="8" w:color="355889"/>
            </w:tcBorders>
          </w:tcPr>
          <w:p>
            <w:pPr>
              <w:spacing w:after="0"/>
              <w:rPr>
                <w:sz w:val="20"/>
                <w:szCs w:val="20"/>
                <w:color w:val="auto"/>
              </w:rPr>
            </w:pPr>
            <w:r>
              <w:rPr>
                <w:rFonts w:ascii="Arial" w:cs="Arial" w:eastAsia="Arial" w:hAnsi="Arial"/>
                <w:sz w:val="13"/>
                <w:szCs w:val="13"/>
                <w:b w:val="1"/>
                <w:bCs w:val="1"/>
                <w:color w:val="355889"/>
              </w:rPr>
              <w:t>Name</w:t>
            </w:r>
          </w:p>
        </w:tc>
        <w:tc>
          <w:tcPr>
            <w:tcW w:w="180" w:type="dxa"/>
            <w:vAlign w:val="bottom"/>
          </w:tcPr>
          <w:p>
            <w:pPr>
              <w:spacing w:after="0"/>
              <w:rPr>
                <w:sz w:val="14"/>
                <w:szCs w:val="14"/>
                <w:color w:val="auto"/>
              </w:rPr>
            </w:pPr>
          </w:p>
        </w:tc>
        <w:tc>
          <w:tcPr>
            <w:tcW w:w="1180" w:type="dxa"/>
            <w:vAlign w:val="bottom"/>
            <w:tcBorders>
              <w:bottom w:val="single" w:sz="8" w:color="355889"/>
            </w:tcBorders>
            <w:gridSpan w:val="2"/>
          </w:tcPr>
          <w:p>
            <w:pPr>
              <w:jc w:val="right"/>
              <w:spacing w:after="0"/>
              <w:rPr>
                <w:sz w:val="20"/>
                <w:szCs w:val="20"/>
                <w:color w:val="auto"/>
              </w:rPr>
            </w:pPr>
            <w:r>
              <w:rPr>
                <w:rFonts w:ascii="Arial" w:cs="Arial" w:eastAsia="Arial" w:hAnsi="Arial"/>
                <w:sz w:val="13"/>
                <w:szCs w:val="13"/>
                <w:b w:val="1"/>
                <w:bCs w:val="1"/>
                <w:color w:val="355889"/>
              </w:rPr>
              <w:t xml:space="preserve">Compensation </w:t>
            </w:r>
            <w:r>
              <w:rPr>
                <w:rFonts w:ascii="Arial" w:cs="Arial" w:eastAsia="Arial" w:hAnsi="Arial"/>
                <w:sz w:val="13"/>
                <w:szCs w:val="13"/>
                <w:b w:val="1"/>
                <w:bCs w:val="1"/>
                <w:u w:val="single" w:color="auto"/>
                <w:color w:val="355889"/>
              </w:rPr>
              <w:t>($</w:t>
            </w:r>
            <w:r>
              <w:rPr>
                <w:rFonts w:ascii="Arial" w:cs="Arial" w:eastAsia="Arial" w:hAnsi="Arial"/>
                <w:sz w:val="13"/>
                <w:szCs w:val="13"/>
                <w:b w:val="1"/>
                <w:bCs w:val="1"/>
                <w:color w:val="355889"/>
              </w:rPr>
              <w:t>)</w:t>
            </w:r>
          </w:p>
        </w:tc>
      </w:tr>
      <w:tr>
        <w:trPr>
          <w:trHeight w:val="297"/>
        </w:trPr>
        <w:tc>
          <w:tcPr>
            <w:tcW w:w="958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Marc Holliday</w:t>
            </w:r>
          </w:p>
        </w:tc>
        <w:tc>
          <w:tcPr>
            <w:tcW w:w="180" w:type="dxa"/>
            <w:vAlign w:val="bottom"/>
          </w:tcPr>
          <w:p>
            <w:pPr>
              <w:spacing w:after="0"/>
              <w:rPr>
                <w:sz w:val="24"/>
                <w:szCs w:val="24"/>
                <w:color w:val="auto"/>
              </w:rPr>
            </w:pPr>
          </w:p>
        </w:tc>
        <w:tc>
          <w:tcPr>
            <w:tcW w:w="280" w:type="dxa"/>
            <w:vAlign w:val="bottom"/>
            <w:tcBorders>
              <w:bottom w:val="single" w:sz="8" w:color="8797B7"/>
            </w:tcBorders>
          </w:tcPr>
          <w:p>
            <w:pPr>
              <w:jc w:val="right"/>
              <w:ind w:right="9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8797B7"/>
            </w:tcBorders>
          </w:tcPr>
          <w:p>
            <w:pPr>
              <w:jc w:val="right"/>
              <w:spacing w:after="0" w:line="296" w:lineRule="exact"/>
              <w:rPr>
                <w:sz w:val="20"/>
                <w:szCs w:val="20"/>
                <w:color w:val="auto"/>
              </w:rPr>
            </w:pPr>
            <w:r>
              <w:rPr>
                <w:rFonts w:ascii="Arial" w:cs="Arial" w:eastAsia="Arial" w:hAnsi="Arial"/>
                <w:sz w:val="18"/>
                <w:szCs w:val="18"/>
                <w:color w:val="auto"/>
              </w:rPr>
              <w:t>49,815</w:t>
            </w:r>
            <w:r>
              <w:rPr>
                <w:rFonts w:ascii="Arial" w:cs="Arial" w:eastAsia="Arial" w:hAnsi="Arial"/>
                <w:sz w:val="29"/>
                <w:szCs w:val="29"/>
                <w:color w:val="auto"/>
                <w:vertAlign w:val="superscript"/>
              </w:rPr>
              <w:t>(a)</w:t>
            </w:r>
          </w:p>
        </w:tc>
      </w:tr>
      <w:tr>
        <w:trPr>
          <w:trHeight w:val="290"/>
        </w:trPr>
        <w:tc>
          <w:tcPr>
            <w:tcW w:w="958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Andrew Mathias</w:t>
            </w:r>
          </w:p>
        </w:tc>
        <w:tc>
          <w:tcPr>
            <w:tcW w:w="180" w:type="dxa"/>
            <w:vAlign w:val="bottom"/>
          </w:tcPr>
          <w:p>
            <w:pPr>
              <w:spacing w:after="0"/>
              <w:rPr>
                <w:sz w:val="24"/>
                <w:szCs w:val="24"/>
                <w:color w:val="auto"/>
              </w:rPr>
            </w:pPr>
          </w:p>
        </w:tc>
        <w:tc>
          <w:tcPr>
            <w:tcW w:w="280" w:type="dxa"/>
            <w:vAlign w:val="bottom"/>
            <w:tcBorders>
              <w:bottom w:val="single" w:sz="8" w:color="8797B7"/>
            </w:tcBorders>
          </w:tcPr>
          <w:p>
            <w:pPr>
              <w:jc w:val="right"/>
              <w:ind w:right="9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8797B7"/>
            </w:tcBorders>
          </w:tcPr>
          <w:p>
            <w:pPr>
              <w:jc w:val="right"/>
              <w:spacing w:after="0" w:line="291" w:lineRule="exact"/>
              <w:rPr>
                <w:sz w:val="20"/>
                <w:szCs w:val="20"/>
                <w:color w:val="auto"/>
              </w:rPr>
            </w:pPr>
            <w:r>
              <w:rPr>
                <w:rFonts w:ascii="Arial" w:cs="Arial" w:eastAsia="Arial" w:hAnsi="Arial"/>
                <w:sz w:val="18"/>
                <w:szCs w:val="18"/>
                <w:color w:val="auto"/>
              </w:rPr>
              <w:t>42,088</w:t>
            </w:r>
            <w:r>
              <w:rPr>
                <w:rFonts w:ascii="Arial" w:cs="Arial" w:eastAsia="Arial" w:hAnsi="Arial"/>
                <w:sz w:val="29"/>
                <w:szCs w:val="29"/>
                <w:color w:val="auto"/>
                <w:vertAlign w:val="superscript"/>
              </w:rPr>
              <w:t>(b)</w:t>
            </w:r>
          </w:p>
        </w:tc>
      </w:tr>
      <w:tr>
        <w:trPr>
          <w:trHeight w:val="290"/>
        </w:trPr>
        <w:tc>
          <w:tcPr>
            <w:tcW w:w="958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Matthew J. DiLiberto</w:t>
            </w:r>
          </w:p>
        </w:tc>
        <w:tc>
          <w:tcPr>
            <w:tcW w:w="180" w:type="dxa"/>
            <w:vAlign w:val="bottom"/>
          </w:tcPr>
          <w:p>
            <w:pPr>
              <w:spacing w:after="0"/>
              <w:rPr>
                <w:sz w:val="24"/>
                <w:szCs w:val="24"/>
                <w:color w:val="auto"/>
              </w:rPr>
            </w:pPr>
          </w:p>
        </w:tc>
        <w:tc>
          <w:tcPr>
            <w:tcW w:w="280" w:type="dxa"/>
            <w:vAlign w:val="bottom"/>
            <w:tcBorders>
              <w:bottom w:val="single" w:sz="8" w:color="8797B7"/>
            </w:tcBorders>
          </w:tcPr>
          <w:p>
            <w:pPr>
              <w:jc w:val="right"/>
              <w:ind w:right="9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8797B7"/>
            </w:tcBorders>
          </w:tcPr>
          <w:p>
            <w:pPr>
              <w:jc w:val="right"/>
              <w:spacing w:after="0" w:line="291" w:lineRule="exact"/>
              <w:rPr>
                <w:sz w:val="20"/>
                <w:szCs w:val="20"/>
                <w:color w:val="auto"/>
              </w:rPr>
            </w:pPr>
            <w:r>
              <w:rPr>
                <w:rFonts w:ascii="Arial" w:cs="Arial" w:eastAsia="Arial" w:hAnsi="Arial"/>
                <w:sz w:val="18"/>
                <w:szCs w:val="18"/>
                <w:color w:val="auto"/>
              </w:rPr>
              <w:t>11,200</w:t>
            </w:r>
            <w:r>
              <w:rPr>
                <w:rFonts w:ascii="Arial" w:cs="Arial" w:eastAsia="Arial" w:hAnsi="Arial"/>
                <w:sz w:val="29"/>
                <w:szCs w:val="29"/>
                <w:color w:val="auto"/>
                <w:vertAlign w:val="superscript"/>
              </w:rPr>
              <w:t>(c)</w:t>
            </w:r>
          </w:p>
        </w:tc>
      </w:tr>
      <w:tr>
        <w:trPr>
          <w:trHeight w:val="298"/>
        </w:trPr>
        <w:tc>
          <w:tcPr>
            <w:tcW w:w="9580" w:type="dxa"/>
            <w:vAlign w:val="bottom"/>
            <w:tcBorders>
              <w:bottom w:val="single" w:sz="8" w:color="355889"/>
            </w:tcBorders>
          </w:tcPr>
          <w:p>
            <w:pPr>
              <w:spacing w:after="0"/>
              <w:rPr>
                <w:sz w:val="20"/>
                <w:szCs w:val="20"/>
                <w:color w:val="auto"/>
              </w:rPr>
            </w:pPr>
            <w:r>
              <w:rPr>
                <w:rFonts w:ascii="Arial" w:cs="Arial" w:eastAsia="Arial" w:hAnsi="Arial"/>
                <w:sz w:val="18"/>
                <w:szCs w:val="18"/>
                <w:color w:val="auto"/>
              </w:rPr>
              <w:t>Andrew S. Levine</w:t>
            </w:r>
          </w:p>
        </w:tc>
        <w:tc>
          <w:tcPr>
            <w:tcW w:w="180" w:type="dxa"/>
            <w:vAlign w:val="bottom"/>
          </w:tcPr>
          <w:p>
            <w:pPr>
              <w:spacing w:after="0"/>
              <w:rPr>
                <w:sz w:val="24"/>
                <w:szCs w:val="24"/>
                <w:color w:val="auto"/>
              </w:rPr>
            </w:pPr>
          </w:p>
        </w:tc>
        <w:tc>
          <w:tcPr>
            <w:tcW w:w="280" w:type="dxa"/>
            <w:vAlign w:val="bottom"/>
            <w:tcBorders>
              <w:bottom w:val="single" w:sz="8" w:color="355889"/>
            </w:tcBorders>
          </w:tcPr>
          <w:p>
            <w:pPr>
              <w:jc w:val="right"/>
              <w:ind w:right="9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355889"/>
            </w:tcBorders>
          </w:tcPr>
          <w:p>
            <w:pPr>
              <w:jc w:val="right"/>
              <w:spacing w:after="0" w:line="291" w:lineRule="exact"/>
              <w:rPr>
                <w:sz w:val="20"/>
                <w:szCs w:val="20"/>
                <w:color w:val="auto"/>
              </w:rPr>
            </w:pPr>
            <w:r>
              <w:rPr>
                <w:rFonts w:ascii="Arial" w:cs="Arial" w:eastAsia="Arial" w:hAnsi="Arial"/>
                <w:sz w:val="18"/>
                <w:szCs w:val="18"/>
                <w:color w:val="auto"/>
              </w:rPr>
              <w:t>11,200</w:t>
            </w:r>
            <w:r>
              <w:rPr>
                <w:rFonts w:ascii="Arial" w:cs="Arial" w:eastAsia="Arial" w:hAnsi="Arial"/>
                <w:sz w:val="29"/>
                <w:szCs w:val="29"/>
                <w:color w:val="auto"/>
                <w:vertAlign w:val="superscript"/>
              </w:rPr>
              <w:t>(c)</w:t>
            </w:r>
          </w:p>
        </w:tc>
      </w:tr>
    </w:tbl>
    <w:p>
      <w:pPr>
        <w:spacing w:after="0" w:line="107" w:lineRule="exact"/>
        <w:rPr>
          <w:sz w:val="20"/>
          <w:szCs w:val="20"/>
          <w:color w:val="auto"/>
        </w:rPr>
      </w:pPr>
    </w:p>
    <w:p>
      <w:pPr>
        <w:ind w:left="600" w:right="220" w:hanging="304"/>
        <w:spacing w:after="0" w:line="248" w:lineRule="auto"/>
        <w:tabs>
          <w:tab w:leader="none" w:pos="600" w:val="left"/>
        </w:tabs>
        <w:numPr>
          <w:ilvl w:val="1"/>
          <w:numId w:val="89"/>
        </w:numPr>
        <w:rPr>
          <w:rFonts w:ascii="Arial" w:cs="Arial" w:eastAsia="Arial" w:hAnsi="Arial"/>
          <w:sz w:val="13"/>
          <w:szCs w:val="13"/>
          <w:color w:val="auto"/>
        </w:rPr>
      </w:pPr>
      <w:r>
        <w:rPr>
          <w:rFonts w:ascii="Arial" w:cs="Arial" w:eastAsia="Arial" w:hAnsi="Arial"/>
          <w:sz w:val="13"/>
          <w:szCs w:val="13"/>
          <w:color w:val="auto"/>
        </w:rPr>
        <w:t>Represents (i) the Company’s matching contributions with respect to amounts earned by the named executive officer under our 401(k) plan ($11,200), (ii) leased car payments ($22,798) and (iii) life insurance premiums ($15,817). The Company’s 401(k) matching contributions are credited in the year subsequent to which employees make their contributions.</w:t>
      </w:r>
    </w:p>
    <w:p>
      <w:pPr>
        <w:spacing w:after="0" w:line="49" w:lineRule="exact"/>
        <w:rPr>
          <w:rFonts w:ascii="Arial" w:cs="Arial" w:eastAsia="Arial" w:hAnsi="Arial"/>
          <w:sz w:val="13"/>
          <w:szCs w:val="13"/>
          <w:color w:val="auto"/>
        </w:rPr>
      </w:pPr>
    </w:p>
    <w:p>
      <w:pPr>
        <w:ind w:left="600" w:right="340" w:hanging="304"/>
        <w:spacing w:after="0" w:line="258" w:lineRule="auto"/>
        <w:tabs>
          <w:tab w:leader="none" w:pos="600" w:val="left"/>
        </w:tabs>
        <w:numPr>
          <w:ilvl w:val="1"/>
          <w:numId w:val="89"/>
        </w:numPr>
        <w:rPr>
          <w:rFonts w:ascii="Arial" w:cs="Arial" w:eastAsia="Arial" w:hAnsi="Arial"/>
          <w:sz w:val="13"/>
          <w:szCs w:val="13"/>
          <w:color w:val="auto"/>
        </w:rPr>
      </w:pPr>
      <w:r>
        <w:rPr>
          <w:rFonts w:ascii="Arial" w:cs="Arial" w:eastAsia="Arial" w:hAnsi="Arial"/>
          <w:sz w:val="13"/>
          <w:szCs w:val="13"/>
          <w:color w:val="auto"/>
        </w:rPr>
        <w:t>Represents the Company’s matching contributions with respect to amounts earned by the named executive officer under our 401(k) plan ($11,200) and leased car payments ($30,888). The Company’s 401(k) matching contributions are credited in the year subsequent to which employees make their contributions.</w:t>
      </w:r>
    </w:p>
    <w:p>
      <w:pPr>
        <w:spacing w:after="0" w:line="43" w:lineRule="exact"/>
        <w:rPr>
          <w:rFonts w:ascii="Arial" w:cs="Arial" w:eastAsia="Arial" w:hAnsi="Arial"/>
          <w:sz w:val="13"/>
          <w:szCs w:val="13"/>
          <w:color w:val="auto"/>
        </w:rPr>
      </w:pPr>
    </w:p>
    <w:p>
      <w:pPr>
        <w:ind w:left="600" w:right="460" w:hanging="304"/>
        <w:spacing w:after="0" w:line="258" w:lineRule="auto"/>
        <w:tabs>
          <w:tab w:leader="none" w:pos="600" w:val="left"/>
        </w:tabs>
        <w:numPr>
          <w:ilvl w:val="1"/>
          <w:numId w:val="89"/>
        </w:numPr>
        <w:rPr>
          <w:rFonts w:ascii="Arial" w:cs="Arial" w:eastAsia="Arial" w:hAnsi="Arial"/>
          <w:sz w:val="13"/>
          <w:szCs w:val="13"/>
          <w:color w:val="auto"/>
        </w:rPr>
      </w:pPr>
      <w:r>
        <w:rPr>
          <w:rFonts w:ascii="Arial" w:cs="Arial" w:eastAsia="Arial" w:hAnsi="Arial"/>
          <w:sz w:val="13"/>
          <w:szCs w:val="13"/>
          <w:color w:val="auto"/>
        </w:rPr>
        <w:t>Represents the Company’s matching contributions with respect to amounts earned by the named executive officer under our 401(k) plan ($11,200). The Company’s 401(k) matching contributions are credited in the year subsequent to which employees make their contributions.</w:t>
      </w:r>
    </w:p>
    <w:p>
      <w:pPr>
        <w:spacing w:after="0" w:line="83" w:lineRule="exact"/>
        <w:rPr>
          <w:rFonts w:ascii="Arial" w:cs="Arial" w:eastAsia="Arial" w:hAnsi="Arial"/>
          <w:sz w:val="13"/>
          <w:szCs w:val="13"/>
          <w:color w:val="auto"/>
        </w:rPr>
      </w:pPr>
    </w:p>
    <w:p>
      <w:pPr>
        <w:ind w:left="320" w:hanging="312"/>
        <w:spacing w:after="0"/>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Includes time-based cash awards granted in 2017 that vested on December 31, 2019.</w:t>
      </w:r>
    </w:p>
    <w:p>
      <w:pPr>
        <w:spacing w:after="0" w:line="219" w:lineRule="exact"/>
        <w:rPr>
          <w:sz w:val="20"/>
          <w:szCs w:val="20"/>
          <w:color w:val="auto"/>
        </w:rPr>
      </w:pPr>
    </w:p>
    <w:p>
      <w:pPr>
        <w:ind w:left="300" w:hanging="292"/>
        <w:spacing w:after="0"/>
        <w:tabs>
          <w:tab w:leader="none" w:pos="300" w:val="left"/>
        </w:tabs>
        <w:numPr>
          <w:ilvl w:val="0"/>
          <w:numId w:val="91"/>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780"/>
        <w:spacing w:after="0"/>
        <w:rPr>
          <w:sz w:val="20"/>
          <w:szCs w:val="20"/>
          <w:color w:val="auto"/>
        </w:rPr>
      </w:pPr>
      <w:r>
        <w:rPr>
          <w:rFonts w:ascii="Arial" w:cs="Arial" w:eastAsia="Arial" w:hAnsi="Arial"/>
          <w:sz w:val="16"/>
          <w:szCs w:val="16"/>
          <w:u w:val="single" w:color="auto"/>
          <w:color w:val="355889"/>
        </w:rPr>
        <w:t>EXECUTIVE COMPENSATION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2019 Grants of Plan-Based Awards</w:t>
      </w:r>
    </w:p>
    <w:p>
      <w:pPr>
        <w:spacing w:after="0" w:line="233"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following table sets forth certain information with respect to each grant of an award made to a named executive officer in the fiscal year ended December 31,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355889"/>
              </w:rPr>
              <w:t>All Other</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355889"/>
              </w:rPr>
              <w:t>Stock</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355889"/>
              </w:rPr>
              <w:t>Grant</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355889"/>
              </w:rPr>
              <w:t>Awards:</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355889"/>
              </w:rPr>
              <w:t>Date Fair</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40" w:type="dxa"/>
            <w:vAlign w:val="bottom"/>
            <w:gridSpan w:val="9"/>
            <w:vMerge w:val="restart"/>
          </w:tcPr>
          <w:p>
            <w:pPr>
              <w:jc w:val="right"/>
              <w:ind w:right="240"/>
              <w:spacing w:after="0"/>
              <w:rPr>
                <w:sz w:val="20"/>
                <w:szCs w:val="20"/>
                <w:color w:val="auto"/>
              </w:rPr>
            </w:pPr>
            <w:r>
              <w:rPr>
                <w:rFonts w:ascii="Arial" w:cs="Arial" w:eastAsia="Arial" w:hAnsi="Arial"/>
                <w:sz w:val="13"/>
                <w:szCs w:val="13"/>
                <w:b w:val="1"/>
                <w:bCs w:val="1"/>
                <w:color w:val="355889"/>
                <w:w w:val="96"/>
              </w:rPr>
              <w:t>Estimated Possible Payouts Under Non-Equity</w:t>
            </w:r>
          </w:p>
        </w:tc>
        <w:tc>
          <w:tcPr>
            <w:tcW w:w="2240" w:type="dxa"/>
            <w:vAlign w:val="bottom"/>
            <w:gridSpan w:val="6"/>
            <w:vMerge w:val="restart"/>
          </w:tcPr>
          <w:p>
            <w:pPr>
              <w:ind w:left="60"/>
              <w:spacing w:after="0"/>
              <w:rPr>
                <w:sz w:val="20"/>
                <w:szCs w:val="20"/>
                <w:color w:val="auto"/>
              </w:rPr>
            </w:pPr>
            <w:r>
              <w:rPr>
                <w:rFonts w:ascii="Arial" w:cs="Arial" w:eastAsia="Arial" w:hAnsi="Arial"/>
                <w:sz w:val="13"/>
                <w:szCs w:val="13"/>
                <w:b w:val="1"/>
                <w:bCs w:val="1"/>
                <w:color w:val="355889"/>
              </w:rPr>
              <w:t>Estimated Future Payouts Under</w:t>
            </w: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355889"/>
              </w:rPr>
              <w:t>Number</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355889"/>
              </w:rPr>
              <w:t>Value of</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40" w:type="dxa"/>
            <w:vAlign w:val="bottom"/>
            <w:gridSpan w:val="9"/>
            <w:vMerge w:val="continue"/>
          </w:tcPr>
          <w:p>
            <w:pPr>
              <w:spacing w:after="0"/>
              <w:rPr>
                <w:sz w:val="5"/>
                <w:szCs w:val="5"/>
                <w:color w:val="auto"/>
              </w:rPr>
            </w:pPr>
          </w:p>
        </w:tc>
        <w:tc>
          <w:tcPr>
            <w:tcW w:w="2240" w:type="dxa"/>
            <w:vAlign w:val="bottom"/>
            <w:gridSpan w:val="6"/>
            <w:vMerge w:val="continue"/>
          </w:tcPr>
          <w:p>
            <w:pPr>
              <w:spacing w:after="0"/>
              <w:rPr>
                <w:sz w:val="5"/>
                <w:szCs w:val="5"/>
                <w:color w:val="auto"/>
              </w:rPr>
            </w:pPr>
          </w:p>
        </w:tc>
        <w:tc>
          <w:tcPr>
            <w:tcW w:w="780" w:type="dxa"/>
            <w:vAlign w:val="bottom"/>
            <w:gridSpan w:val="2"/>
            <w:vMerge w:val="restart"/>
          </w:tcPr>
          <w:p>
            <w:pPr>
              <w:jc w:val="right"/>
              <w:ind w:right="200"/>
              <w:spacing w:after="0" w:line="135" w:lineRule="exact"/>
              <w:rPr>
                <w:sz w:val="20"/>
                <w:szCs w:val="20"/>
                <w:color w:val="auto"/>
              </w:rPr>
            </w:pPr>
            <w:r>
              <w:rPr>
                <w:rFonts w:ascii="Arial" w:cs="Arial" w:eastAsia="Arial" w:hAnsi="Arial"/>
                <w:sz w:val="13"/>
                <w:szCs w:val="13"/>
                <w:b w:val="1"/>
                <w:bCs w:val="1"/>
                <w:color w:val="355889"/>
                <w:w w:val="94"/>
              </w:rPr>
              <w:t>of Shares</w:t>
            </w:r>
          </w:p>
        </w:tc>
        <w:tc>
          <w:tcPr>
            <w:tcW w:w="80" w:type="dxa"/>
            <w:vAlign w:val="bottom"/>
          </w:tcPr>
          <w:p>
            <w:pPr>
              <w:spacing w:after="0"/>
              <w:rPr>
                <w:sz w:val="5"/>
                <w:szCs w:val="5"/>
                <w:color w:val="auto"/>
              </w:rPr>
            </w:pPr>
          </w:p>
        </w:tc>
        <w:tc>
          <w:tcPr>
            <w:tcW w:w="660" w:type="dxa"/>
            <w:vAlign w:val="bottom"/>
            <w:vMerge w:val="restart"/>
          </w:tcPr>
          <w:p>
            <w:pPr>
              <w:jc w:val="right"/>
              <w:spacing w:after="0" w:line="135" w:lineRule="exact"/>
              <w:rPr>
                <w:sz w:val="20"/>
                <w:szCs w:val="20"/>
                <w:color w:val="auto"/>
              </w:rPr>
            </w:pPr>
            <w:r>
              <w:rPr>
                <w:rFonts w:ascii="Arial" w:cs="Arial" w:eastAsia="Arial" w:hAnsi="Arial"/>
                <w:sz w:val="13"/>
                <w:szCs w:val="13"/>
                <w:b w:val="1"/>
                <w:bCs w:val="1"/>
                <w:color w:val="355889"/>
                <w:w w:val="96"/>
              </w:rPr>
              <w:t>Stock and</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gridSpan w:val="7"/>
            <w:vMerge w:val="restart"/>
          </w:tcPr>
          <w:p>
            <w:pPr>
              <w:jc w:val="right"/>
              <w:ind w:right="60"/>
              <w:spacing w:after="0"/>
              <w:rPr>
                <w:sz w:val="20"/>
                <w:szCs w:val="20"/>
                <w:color w:val="auto"/>
              </w:rPr>
            </w:pPr>
            <w:r>
              <w:rPr>
                <w:rFonts w:ascii="Arial" w:cs="Arial" w:eastAsia="Arial" w:hAnsi="Arial"/>
                <w:sz w:val="13"/>
                <w:szCs w:val="13"/>
                <w:b w:val="1"/>
                <w:bCs w:val="1"/>
                <w:color w:val="355889"/>
              </w:rPr>
              <w:t>Incentive Plan Awards</w:t>
            </w: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80" w:type="dxa"/>
            <w:vAlign w:val="bottom"/>
            <w:gridSpan w:val="5"/>
            <w:vMerge w:val="restart"/>
          </w:tcPr>
          <w:p>
            <w:pPr>
              <w:jc w:val="right"/>
              <w:ind w:right="97"/>
              <w:spacing w:after="0"/>
              <w:rPr>
                <w:sz w:val="20"/>
                <w:szCs w:val="20"/>
                <w:color w:val="auto"/>
              </w:rPr>
            </w:pPr>
            <w:r>
              <w:rPr>
                <w:rFonts w:ascii="Arial" w:cs="Arial" w:eastAsia="Arial" w:hAnsi="Arial"/>
                <w:sz w:val="13"/>
                <w:szCs w:val="13"/>
                <w:b w:val="1"/>
                <w:bCs w:val="1"/>
                <w:color w:val="355889"/>
              </w:rPr>
              <w:t>Equity Incentive Plan Awards</w:t>
            </w:r>
          </w:p>
        </w:tc>
        <w:tc>
          <w:tcPr>
            <w:tcW w:w="160" w:type="dxa"/>
            <w:vAlign w:val="bottom"/>
            <w:vMerge w:val="restart"/>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355889"/>
            </w:tcBorders>
          </w:tcPr>
          <w:p>
            <w:pPr>
              <w:spacing w:after="0"/>
              <w:rPr>
                <w:sz w:val="10"/>
                <w:szCs w:val="10"/>
                <w:color w:val="auto"/>
              </w:rPr>
            </w:pPr>
          </w:p>
        </w:tc>
        <w:tc>
          <w:tcPr>
            <w:tcW w:w="2140" w:type="dxa"/>
            <w:vAlign w:val="bottom"/>
            <w:tcBorders>
              <w:bottom w:val="single" w:sz="8" w:color="355889"/>
            </w:tcBorders>
            <w:gridSpan w:val="7"/>
            <w:vMerge w:val="continue"/>
          </w:tcPr>
          <w:p>
            <w:pPr>
              <w:spacing w:after="0"/>
              <w:rPr>
                <w:sz w:val="10"/>
                <w:szCs w:val="10"/>
                <w:color w:val="auto"/>
              </w:rPr>
            </w:pPr>
          </w:p>
        </w:tc>
        <w:tc>
          <w:tcPr>
            <w:tcW w:w="740" w:type="dxa"/>
            <w:vAlign w:val="bottom"/>
            <w:tcBorders>
              <w:bottom w:val="single" w:sz="8" w:color="355889"/>
            </w:tcBorders>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tcBorders>
              <w:bottom w:val="single" w:sz="8" w:color="355889"/>
            </w:tcBorders>
            <w:gridSpan w:val="5"/>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780" w:type="dxa"/>
            <w:vAlign w:val="bottom"/>
            <w:gridSpan w:val="2"/>
          </w:tcPr>
          <w:p>
            <w:pPr>
              <w:jc w:val="right"/>
              <w:ind w:right="200"/>
              <w:spacing w:after="0" w:line="115" w:lineRule="exact"/>
              <w:rPr>
                <w:sz w:val="20"/>
                <w:szCs w:val="20"/>
                <w:color w:val="auto"/>
              </w:rPr>
            </w:pPr>
            <w:r>
              <w:rPr>
                <w:rFonts w:ascii="Arial" w:cs="Arial" w:eastAsia="Arial" w:hAnsi="Arial"/>
                <w:sz w:val="13"/>
                <w:szCs w:val="13"/>
                <w:b w:val="1"/>
                <w:bCs w:val="1"/>
                <w:color w:val="355889"/>
              </w:rPr>
              <w:t>of Stock</w:t>
            </w:r>
          </w:p>
        </w:tc>
        <w:tc>
          <w:tcPr>
            <w:tcW w:w="8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3"/>
                <w:szCs w:val="13"/>
                <w:b w:val="1"/>
                <w:bCs w:val="1"/>
                <w:color w:val="355889"/>
              </w:rPr>
              <w:t>Option</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355889"/>
              </w:rPr>
              <w:t>Approval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355889"/>
              </w:rPr>
              <w:t>Threshold</w:t>
            </w:r>
          </w:p>
        </w:tc>
        <w:tc>
          <w:tcPr>
            <w:tcW w:w="14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355889"/>
              </w:rPr>
              <w:t>Target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355889"/>
              </w:rPr>
              <w:t>Maximum</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355889"/>
                <w:w w:val="95"/>
              </w:rPr>
              <w:t>Threshold</w:t>
            </w:r>
          </w:p>
        </w:tc>
        <w:tc>
          <w:tcPr>
            <w:tcW w:w="7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355889"/>
              </w:rPr>
              <w:t>Target</w:t>
            </w: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355889"/>
              </w:rPr>
              <w:t>Maximum</w:t>
            </w:r>
          </w:p>
        </w:tc>
        <w:tc>
          <w:tcPr>
            <w:tcW w:w="78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355889"/>
              </w:rPr>
              <w:t>or Units</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355889"/>
              </w:rPr>
              <w:t>Awards</w:t>
            </w:r>
          </w:p>
        </w:tc>
        <w:tc>
          <w:tcPr>
            <w:tcW w:w="0" w:type="dxa"/>
            <w:vAlign w:val="bottom"/>
          </w:tcPr>
          <w:p>
            <w:pPr>
              <w:spacing w:after="0"/>
              <w:rPr>
                <w:sz w:val="1"/>
                <w:szCs w:val="1"/>
                <w:color w:val="auto"/>
              </w:rPr>
            </w:pPr>
          </w:p>
        </w:tc>
      </w:tr>
      <w:tr>
        <w:trPr>
          <w:trHeight w:val="164"/>
        </w:trPr>
        <w:tc>
          <w:tcPr>
            <w:tcW w:w="2600" w:type="dxa"/>
            <w:vAlign w:val="bottom"/>
          </w:tcPr>
          <w:p>
            <w:pPr>
              <w:spacing w:after="0"/>
              <w:rPr>
                <w:sz w:val="20"/>
                <w:szCs w:val="20"/>
                <w:color w:val="auto"/>
              </w:rPr>
            </w:pPr>
            <w:r>
              <w:rPr>
                <w:rFonts w:ascii="Arial" w:cs="Arial" w:eastAsia="Arial" w:hAnsi="Arial"/>
                <w:sz w:val="13"/>
                <w:szCs w:val="13"/>
                <w:b w:val="1"/>
                <w:bCs w:val="1"/>
                <w:color w:val="355889"/>
              </w:rPr>
              <w:t>Name</w:t>
            </w: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w w:val="96"/>
              </w:rPr>
              <w:t>Grant Date</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889"/>
              </w:rPr>
              <w:t>Date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w:t>
            </w:r>
          </w:p>
        </w:tc>
        <w:tc>
          <w:tcPr>
            <w:tcW w:w="14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889"/>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355889"/>
              </w:rPr>
              <w:t>($)</w:t>
            </w:r>
          </w:p>
        </w:tc>
        <w:tc>
          <w:tcPr>
            <w:tcW w:w="0" w:type="dxa"/>
            <w:vAlign w:val="bottom"/>
          </w:tcPr>
          <w:p>
            <w:pPr>
              <w:spacing w:after="0"/>
              <w:rPr>
                <w:sz w:val="1"/>
                <w:szCs w:val="1"/>
                <w:color w:val="auto"/>
              </w:rPr>
            </w:pPr>
          </w:p>
        </w:tc>
      </w:tr>
      <w:tr>
        <w:trPr>
          <w:trHeight w:val="229"/>
        </w:trPr>
        <w:tc>
          <w:tcPr>
            <w:tcW w:w="2600" w:type="dxa"/>
            <w:vAlign w:val="bottom"/>
            <w:tcBorders>
              <w:top w:val="single" w:sz="8" w:color="355889"/>
            </w:tcBorders>
          </w:tcPr>
          <w:p>
            <w:pPr>
              <w:spacing w:after="0"/>
              <w:rPr>
                <w:sz w:val="20"/>
                <w:szCs w:val="20"/>
                <w:color w:val="auto"/>
              </w:rPr>
            </w:pPr>
            <w:r>
              <w:rPr>
                <w:rFonts w:ascii="Arial" w:cs="Arial" w:eastAsia="Arial" w:hAnsi="Arial"/>
                <w:sz w:val="13"/>
                <w:szCs w:val="13"/>
                <w:color w:val="auto"/>
              </w:rPr>
              <w:t>Marc Holliday</w:t>
            </w:r>
          </w:p>
        </w:tc>
        <w:tc>
          <w:tcPr>
            <w:tcW w:w="160" w:type="dxa"/>
            <w:vAlign w:val="bottom"/>
          </w:tcPr>
          <w:p>
            <w:pPr>
              <w:spacing w:after="0"/>
              <w:rPr>
                <w:sz w:val="19"/>
                <w:szCs w:val="19"/>
                <w:color w:val="auto"/>
              </w:rPr>
            </w:pPr>
          </w:p>
        </w:tc>
        <w:tc>
          <w:tcPr>
            <w:tcW w:w="640" w:type="dxa"/>
            <w:vAlign w:val="bottom"/>
            <w:tcBorders>
              <w:top w:val="single" w:sz="8" w:color="355889"/>
              <w:bottom w:val="single" w:sz="8" w:color="8797B7"/>
            </w:tcBorders>
            <w:shd w:val="clear" w:color="auto" w:fill="CCD3E1"/>
          </w:tcPr>
          <w:p>
            <w:pPr>
              <w:ind w:left="20"/>
              <w:spacing w:after="0"/>
              <w:rPr>
                <w:sz w:val="20"/>
                <w:szCs w:val="20"/>
                <w:color w:val="auto"/>
              </w:rPr>
            </w:pPr>
            <w:r>
              <w:rPr>
                <w:rFonts w:ascii="Arial" w:cs="Arial" w:eastAsia="Arial" w:hAnsi="Arial"/>
                <w:sz w:val="13"/>
                <w:szCs w:val="13"/>
                <w:color w:val="auto"/>
                <w:highlight w:val="lightGray"/>
                <w:w w:val="92"/>
              </w:rPr>
              <w:t>01/08/2019</w:t>
            </w:r>
          </w:p>
        </w:tc>
        <w:tc>
          <w:tcPr>
            <w:tcW w:w="180" w:type="dxa"/>
            <w:vAlign w:val="bottom"/>
          </w:tcPr>
          <w:p>
            <w:pPr>
              <w:spacing w:after="0"/>
              <w:rPr>
                <w:sz w:val="19"/>
                <w:szCs w:val="19"/>
                <w:color w:val="auto"/>
              </w:rPr>
            </w:pPr>
          </w:p>
        </w:tc>
        <w:tc>
          <w:tcPr>
            <w:tcW w:w="620" w:type="dxa"/>
            <w:vAlign w:val="bottom"/>
            <w:tcBorders>
              <w:top w:val="single" w:sz="8" w:color="355889"/>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highlight w:val="lightGray"/>
                <w:w w:val="92"/>
              </w:rPr>
              <w:t>01/08/2019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355889"/>
              <w:bottom w:val="single" w:sz="8" w:color="8797B7"/>
            </w:tcBorders>
            <w:shd w:val="clear" w:color="auto" w:fill="CCD3E1"/>
          </w:tcPr>
          <w:p>
            <w:pPr>
              <w:spacing w:after="0"/>
              <w:rPr>
                <w:sz w:val="19"/>
                <w:szCs w:val="19"/>
                <w:color w:val="auto"/>
              </w:rPr>
            </w:pPr>
          </w:p>
        </w:tc>
        <w:tc>
          <w:tcPr>
            <w:tcW w:w="800" w:type="dxa"/>
            <w:vAlign w:val="bottom"/>
            <w:tcBorders>
              <w:top w:val="single" w:sz="8" w:color="355889"/>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140" w:type="dxa"/>
            <w:vAlign w:val="bottom"/>
            <w:tcBorders>
              <w:top w:val="single" w:sz="8" w:color="355889"/>
              <w:bottom w:val="single" w:sz="8" w:color="8797B7"/>
            </w:tcBorders>
            <w:shd w:val="clear" w:color="auto" w:fill="CCD3E1"/>
          </w:tcPr>
          <w:p>
            <w:pPr>
              <w:spacing w:after="0"/>
              <w:rPr>
                <w:sz w:val="19"/>
                <w:szCs w:val="19"/>
                <w:color w:val="auto"/>
              </w:rPr>
            </w:pPr>
          </w:p>
        </w:tc>
        <w:tc>
          <w:tcPr>
            <w:tcW w:w="740" w:type="dxa"/>
            <w:vAlign w:val="bottom"/>
            <w:tcBorders>
              <w:top w:val="single" w:sz="8" w:color="355889"/>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355889"/>
              <w:bottom w:val="single" w:sz="8" w:color="8797B7"/>
            </w:tcBorders>
            <w:shd w:val="clear" w:color="auto" w:fill="CCD3E1"/>
          </w:tcPr>
          <w:p>
            <w:pPr>
              <w:spacing w:after="0"/>
              <w:rPr>
                <w:sz w:val="19"/>
                <w:szCs w:val="19"/>
                <w:color w:val="auto"/>
              </w:rPr>
            </w:pPr>
          </w:p>
        </w:tc>
        <w:tc>
          <w:tcPr>
            <w:tcW w:w="740" w:type="dxa"/>
            <w:vAlign w:val="bottom"/>
            <w:tcBorders>
              <w:top w:val="single" w:sz="8" w:color="355889"/>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620" w:type="dxa"/>
            <w:vAlign w:val="bottom"/>
            <w:tcBorders>
              <w:top w:val="single" w:sz="8" w:color="355889"/>
              <w:bottom w:val="single" w:sz="8" w:color="8797B7"/>
            </w:tcBorders>
            <w:shd w:val="clear" w:color="auto" w:fill="CCD3E1"/>
          </w:tcPr>
          <w:p>
            <w:pPr>
              <w:ind w:left="500"/>
              <w:spacing w:after="0"/>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9"/>
                <w:szCs w:val="19"/>
                <w:color w:val="auto"/>
              </w:rPr>
            </w:pPr>
          </w:p>
        </w:tc>
        <w:tc>
          <w:tcPr>
            <w:tcW w:w="540" w:type="dxa"/>
            <w:vAlign w:val="bottom"/>
            <w:tcBorders>
              <w:top w:val="single" w:sz="8" w:color="355889"/>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600" w:type="dxa"/>
            <w:vAlign w:val="bottom"/>
            <w:tcBorders>
              <w:top w:val="single" w:sz="8" w:color="355889"/>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620" w:type="dxa"/>
            <w:vAlign w:val="bottom"/>
            <w:tcBorders>
              <w:top w:val="single" w:sz="8" w:color="355889"/>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50,435</w:t>
            </w:r>
            <w:r>
              <w:rPr>
                <w:rFonts w:ascii="Arial" w:cs="Arial" w:eastAsia="Arial" w:hAnsi="Arial"/>
                <w:sz w:val="20"/>
                <w:szCs w:val="20"/>
                <w:color w:val="auto"/>
                <w:vertAlign w:val="superscript"/>
              </w:rPr>
              <w:t>(1)</w:t>
            </w:r>
          </w:p>
        </w:tc>
        <w:tc>
          <w:tcPr>
            <w:tcW w:w="160" w:type="dxa"/>
            <w:vAlign w:val="bottom"/>
          </w:tcPr>
          <w:p>
            <w:pPr>
              <w:spacing w:after="0"/>
              <w:rPr>
                <w:sz w:val="19"/>
                <w:szCs w:val="19"/>
                <w:color w:val="auto"/>
              </w:rPr>
            </w:pPr>
          </w:p>
        </w:tc>
        <w:tc>
          <w:tcPr>
            <w:tcW w:w="80" w:type="dxa"/>
            <w:vAlign w:val="bottom"/>
            <w:tcBorders>
              <w:top w:val="single" w:sz="8" w:color="355889"/>
              <w:bottom w:val="single" w:sz="8" w:color="8797B7"/>
            </w:tcBorders>
            <w:shd w:val="clear" w:color="auto" w:fill="CCD3E1"/>
          </w:tcPr>
          <w:p>
            <w:pPr>
              <w:jc w:val="right"/>
              <w:spacing w:after="0"/>
              <w:rPr>
                <w:sz w:val="20"/>
                <w:szCs w:val="20"/>
                <w:color w:val="auto"/>
              </w:rPr>
            </w:pPr>
            <w:r>
              <w:rPr>
                <w:rFonts w:ascii="Arial" w:cs="Arial" w:eastAsia="Arial" w:hAnsi="Arial"/>
                <w:sz w:val="10"/>
                <w:szCs w:val="10"/>
                <w:color w:val="auto"/>
                <w:highlight w:val="lightGray"/>
                <w:w w:val="71"/>
              </w:rPr>
              <w:t>$</w:t>
            </w:r>
          </w:p>
        </w:tc>
        <w:tc>
          <w:tcPr>
            <w:tcW w:w="660" w:type="dxa"/>
            <w:vAlign w:val="bottom"/>
            <w:tcBorders>
              <w:top w:val="single" w:sz="8" w:color="355889"/>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highlight w:val="lightGray"/>
              </w:rPr>
              <w:t>3,536,754</w:t>
            </w: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01/08/2019</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01/08/2019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rPr>
              <w:t>61,584</w:t>
            </w:r>
            <w:r>
              <w:rPr>
                <w:rFonts w:ascii="Arial" w:cs="Arial" w:eastAsia="Arial" w:hAnsi="Arial"/>
                <w:sz w:val="20"/>
                <w:szCs w:val="20"/>
                <w:color w:val="auto"/>
                <w:vertAlign w:val="superscript"/>
              </w:rPr>
              <w:t>(2)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4,449,444</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8797B7"/>
          </w:tcPr>
          <w:p>
            <w:pPr>
              <w:spacing w:after="0" w:line="20" w:lineRule="exact"/>
              <w:rPr>
                <w:sz w:val="1"/>
                <w:szCs w:val="1"/>
                <w:color w:val="auto"/>
              </w:rPr>
            </w:pPr>
          </w:p>
        </w:tc>
        <w:tc>
          <w:tcPr>
            <w:tcW w:w="8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797B7"/>
          </w:tcPr>
          <w:p>
            <w:pPr>
              <w:spacing w:after="0" w:line="20" w:lineRule="exact"/>
              <w:rPr>
                <w:sz w:val="1"/>
                <w:szCs w:val="1"/>
                <w:color w:val="auto"/>
              </w:rPr>
            </w:pPr>
          </w:p>
        </w:tc>
        <w:tc>
          <w:tcPr>
            <w:tcW w:w="74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797B7"/>
          </w:tcPr>
          <w:p>
            <w:pPr>
              <w:spacing w:after="0" w:line="20" w:lineRule="exact"/>
              <w:rPr>
                <w:sz w:val="1"/>
                <w:szCs w:val="1"/>
                <w:color w:val="auto"/>
              </w:rPr>
            </w:pPr>
          </w:p>
        </w:tc>
        <w:tc>
          <w:tcPr>
            <w:tcW w:w="7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8797B7"/>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01/08/2019</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01/08/2019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rPr>
              <w:t>43,207</w:t>
            </w:r>
            <w:r>
              <w:rPr>
                <w:rFonts w:ascii="Arial" w:cs="Arial" w:eastAsia="Arial" w:hAnsi="Arial"/>
                <w:sz w:val="20"/>
                <w:szCs w:val="20"/>
                <w:color w:val="auto"/>
                <w:vertAlign w:val="superscript"/>
              </w:rPr>
              <w:t>(3)</w:t>
            </w:r>
          </w:p>
        </w:tc>
        <w:tc>
          <w:tcPr>
            <w:tcW w:w="70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w w:val="92"/>
              </w:rPr>
              <w:t>92,174</w:t>
            </w:r>
            <w:r>
              <w:rPr>
                <w:rFonts w:ascii="Arial" w:cs="Arial" w:eastAsia="Arial" w:hAnsi="Arial"/>
                <w:sz w:val="20"/>
                <w:szCs w:val="20"/>
                <w:color w:val="auto"/>
                <w:w w:val="92"/>
                <w:vertAlign w:val="superscript"/>
              </w:rPr>
              <w:t>(3)</w:t>
            </w:r>
          </w:p>
        </w:tc>
        <w:tc>
          <w:tcPr>
            <w:tcW w:w="76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w w:val="91"/>
              </w:rPr>
              <w:t>207,392</w:t>
            </w:r>
            <w:r>
              <w:rPr>
                <w:rFonts w:ascii="Arial" w:cs="Arial" w:eastAsia="Arial" w:hAnsi="Arial"/>
                <w:sz w:val="20"/>
                <w:szCs w:val="20"/>
                <w:color w:val="auto"/>
                <w:w w:val="91"/>
                <w:vertAlign w:val="superscript"/>
              </w:rPr>
              <w:t>(3)</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8,410,933</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8797B7"/>
          </w:tcPr>
          <w:p>
            <w:pPr>
              <w:spacing w:after="0" w:line="20" w:lineRule="exact"/>
              <w:rPr>
                <w:sz w:val="1"/>
                <w:szCs w:val="1"/>
                <w:color w:val="auto"/>
              </w:rPr>
            </w:pPr>
          </w:p>
        </w:tc>
        <w:tc>
          <w:tcPr>
            <w:tcW w:w="8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797B7"/>
          </w:tcPr>
          <w:p>
            <w:pPr>
              <w:spacing w:after="0" w:line="20" w:lineRule="exact"/>
              <w:rPr>
                <w:sz w:val="1"/>
                <w:szCs w:val="1"/>
                <w:color w:val="auto"/>
              </w:rPr>
            </w:pPr>
          </w:p>
        </w:tc>
        <w:tc>
          <w:tcPr>
            <w:tcW w:w="74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797B7"/>
          </w:tcPr>
          <w:p>
            <w:pPr>
              <w:spacing w:after="0" w:line="20" w:lineRule="exact"/>
              <w:rPr>
                <w:sz w:val="1"/>
                <w:szCs w:val="1"/>
                <w:color w:val="auto"/>
              </w:rPr>
            </w:pPr>
          </w:p>
        </w:tc>
        <w:tc>
          <w:tcPr>
            <w:tcW w:w="7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8797B7"/>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N/A</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rPr>
              <w:t>1,250,000</w:t>
            </w:r>
            <w:r>
              <w:rPr>
                <w:rFonts w:ascii="Arial" w:cs="Arial" w:eastAsia="Arial" w:hAnsi="Arial"/>
                <w:sz w:val="20"/>
                <w:szCs w:val="20"/>
                <w:color w:val="auto"/>
                <w:vertAlign w:val="superscript"/>
              </w:rPr>
              <w:t>(4)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80"/>
              <w:spacing w:after="0" w:line="223" w:lineRule="exact"/>
              <w:rPr>
                <w:sz w:val="20"/>
                <w:szCs w:val="20"/>
                <w:color w:val="auto"/>
              </w:rPr>
            </w:pPr>
            <w:r>
              <w:rPr>
                <w:rFonts w:ascii="Arial" w:cs="Arial" w:eastAsia="Arial" w:hAnsi="Arial"/>
                <w:sz w:val="13"/>
                <w:szCs w:val="13"/>
                <w:color w:val="auto"/>
                <w:w w:val="97"/>
              </w:rPr>
              <w:t>2,500,000</w:t>
            </w:r>
            <w:r>
              <w:rPr>
                <w:rFonts w:ascii="Arial" w:cs="Arial" w:eastAsia="Arial" w:hAnsi="Arial"/>
                <w:sz w:val="20"/>
                <w:szCs w:val="20"/>
                <w:color w:val="auto"/>
                <w:w w:val="97"/>
                <w:vertAlign w:val="superscript"/>
              </w:rPr>
              <w:t>(4)</w:t>
            </w: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w w:val="97"/>
              </w:rPr>
              <w:t>3,750,000</w:t>
            </w:r>
            <w:r>
              <w:rPr>
                <w:rFonts w:ascii="Arial" w:cs="Arial" w:eastAsia="Arial" w:hAnsi="Arial"/>
                <w:sz w:val="20"/>
                <w:szCs w:val="20"/>
                <w:color w:val="auto"/>
                <w:w w:val="97"/>
                <w:vertAlign w:val="superscript"/>
              </w:rPr>
              <w:t>(4)</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2600" w:type="dxa"/>
            <w:vAlign w:val="bottom"/>
            <w:tcBorders>
              <w:top w:val="single" w:sz="8" w:color="8797B7"/>
            </w:tcBorders>
          </w:tcPr>
          <w:p>
            <w:pPr>
              <w:spacing w:after="0"/>
              <w:rPr>
                <w:sz w:val="20"/>
                <w:szCs w:val="20"/>
                <w:color w:val="auto"/>
              </w:rPr>
            </w:pPr>
            <w:r>
              <w:rPr>
                <w:rFonts w:ascii="Arial" w:cs="Arial" w:eastAsia="Arial" w:hAnsi="Arial"/>
                <w:sz w:val="13"/>
                <w:szCs w:val="13"/>
                <w:color w:val="auto"/>
              </w:rPr>
              <w:t>Andrew Mathias</w:t>
            </w:r>
          </w:p>
        </w:tc>
        <w:tc>
          <w:tcPr>
            <w:tcW w:w="160" w:type="dxa"/>
            <w:vAlign w:val="bottom"/>
          </w:tcPr>
          <w:p>
            <w:pPr>
              <w:spacing w:after="0"/>
              <w:rPr>
                <w:sz w:val="19"/>
                <w:szCs w:val="19"/>
                <w:color w:val="auto"/>
              </w:rPr>
            </w:pPr>
          </w:p>
        </w:tc>
        <w:tc>
          <w:tcPr>
            <w:tcW w:w="640" w:type="dxa"/>
            <w:vAlign w:val="bottom"/>
            <w:tcBorders>
              <w:top w:val="single" w:sz="8" w:color="8797B7"/>
              <w:bottom w:val="single" w:sz="8" w:color="8797B7"/>
            </w:tcBorders>
            <w:shd w:val="clear" w:color="auto" w:fill="CCD3E1"/>
          </w:tcPr>
          <w:p>
            <w:pPr>
              <w:ind w:left="20"/>
              <w:spacing w:after="0"/>
              <w:rPr>
                <w:sz w:val="20"/>
                <w:szCs w:val="20"/>
                <w:color w:val="auto"/>
              </w:rPr>
            </w:pPr>
            <w:r>
              <w:rPr>
                <w:rFonts w:ascii="Arial" w:cs="Arial" w:eastAsia="Arial" w:hAnsi="Arial"/>
                <w:sz w:val="13"/>
                <w:szCs w:val="13"/>
                <w:color w:val="auto"/>
                <w:highlight w:val="lightGray"/>
                <w:w w:val="92"/>
              </w:rPr>
              <w:t>01/08/2019</w:t>
            </w:r>
          </w:p>
        </w:tc>
        <w:tc>
          <w:tcPr>
            <w:tcW w:w="180" w:type="dxa"/>
            <w:vAlign w:val="bottom"/>
          </w:tcPr>
          <w:p>
            <w:pPr>
              <w:spacing w:after="0"/>
              <w:rPr>
                <w:sz w:val="19"/>
                <w:szCs w:val="19"/>
                <w:color w:val="auto"/>
              </w:rPr>
            </w:pPr>
          </w:p>
        </w:tc>
        <w:tc>
          <w:tcPr>
            <w:tcW w:w="62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highlight w:val="lightGray"/>
                <w:w w:val="92"/>
              </w:rPr>
              <w:t>01/08/2019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8797B7"/>
              <w:bottom w:val="single" w:sz="8" w:color="8797B7"/>
            </w:tcBorders>
            <w:shd w:val="clear" w:color="auto" w:fill="CCD3E1"/>
          </w:tcPr>
          <w:p>
            <w:pPr>
              <w:spacing w:after="0"/>
              <w:rPr>
                <w:sz w:val="19"/>
                <w:szCs w:val="19"/>
                <w:color w:val="auto"/>
              </w:rPr>
            </w:pPr>
          </w:p>
        </w:tc>
        <w:tc>
          <w:tcPr>
            <w:tcW w:w="80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140" w:type="dxa"/>
            <w:vAlign w:val="bottom"/>
            <w:tcBorders>
              <w:top w:val="single" w:sz="8" w:color="8797B7"/>
              <w:bottom w:val="single" w:sz="8" w:color="8797B7"/>
            </w:tcBorders>
            <w:shd w:val="clear" w:color="auto" w:fill="CCD3E1"/>
          </w:tcPr>
          <w:p>
            <w:pPr>
              <w:spacing w:after="0"/>
              <w:rPr>
                <w:sz w:val="19"/>
                <w:szCs w:val="19"/>
                <w:color w:val="auto"/>
              </w:rPr>
            </w:pPr>
          </w:p>
        </w:tc>
        <w:tc>
          <w:tcPr>
            <w:tcW w:w="74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8797B7"/>
              <w:bottom w:val="single" w:sz="8" w:color="8797B7"/>
            </w:tcBorders>
            <w:shd w:val="clear" w:color="auto" w:fill="CCD3E1"/>
          </w:tcPr>
          <w:p>
            <w:pPr>
              <w:spacing w:after="0"/>
              <w:rPr>
                <w:sz w:val="19"/>
                <w:szCs w:val="19"/>
                <w:color w:val="auto"/>
              </w:rPr>
            </w:pPr>
          </w:p>
        </w:tc>
        <w:tc>
          <w:tcPr>
            <w:tcW w:w="74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620" w:type="dxa"/>
            <w:vAlign w:val="bottom"/>
            <w:tcBorders>
              <w:top w:val="single" w:sz="8" w:color="8797B7"/>
              <w:bottom w:val="single" w:sz="8" w:color="8797B7"/>
            </w:tcBorders>
            <w:shd w:val="clear" w:color="auto" w:fill="CCD3E1"/>
          </w:tcPr>
          <w:p>
            <w:pPr>
              <w:ind w:left="500"/>
              <w:spacing w:after="0"/>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9"/>
                <w:szCs w:val="19"/>
                <w:color w:val="auto"/>
              </w:rPr>
            </w:pPr>
          </w:p>
        </w:tc>
        <w:tc>
          <w:tcPr>
            <w:tcW w:w="54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60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620" w:type="dxa"/>
            <w:vAlign w:val="bottom"/>
            <w:tcBorders>
              <w:top w:val="single" w:sz="8" w:color="8797B7"/>
              <w:bottom w:val="single" w:sz="8" w:color="8797B7"/>
            </w:tcBorders>
            <w:shd w:val="clear" w:color="auto" w:fill="CCD3E1"/>
          </w:tcPr>
          <w:p>
            <w:pPr>
              <w:jc w:val="right"/>
              <w:spacing w:after="0" w:line="223" w:lineRule="exact"/>
              <w:rPr>
                <w:sz w:val="20"/>
                <w:szCs w:val="20"/>
                <w:color w:val="auto"/>
              </w:rPr>
            </w:pPr>
            <w:r>
              <w:rPr>
                <w:rFonts w:ascii="Arial" w:cs="Arial" w:eastAsia="Arial" w:hAnsi="Arial"/>
                <w:sz w:val="13"/>
                <w:szCs w:val="13"/>
                <w:color w:val="auto"/>
              </w:rPr>
              <w:t>38,951</w:t>
            </w:r>
            <w:r>
              <w:rPr>
                <w:rFonts w:ascii="Arial" w:cs="Arial" w:eastAsia="Arial" w:hAnsi="Arial"/>
                <w:sz w:val="20"/>
                <w:szCs w:val="20"/>
                <w:color w:val="auto"/>
                <w:vertAlign w:val="superscript"/>
              </w:rPr>
              <w:t>(1)</w:t>
            </w:r>
          </w:p>
        </w:tc>
        <w:tc>
          <w:tcPr>
            <w:tcW w:w="160" w:type="dxa"/>
            <w:vAlign w:val="bottom"/>
          </w:tcPr>
          <w:p>
            <w:pPr>
              <w:spacing w:after="0"/>
              <w:rPr>
                <w:sz w:val="19"/>
                <w:szCs w:val="19"/>
                <w:color w:val="auto"/>
              </w:rPr>
            </w:pPr>
          </w:p>
        </w:tc>
        <w:tc>
          <w:tcPr>
            <w:tcW w:w="8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0"/>
                <w:szCs w:val="10"/>
                <w:color w:val="auto"/>
                <w:highlight w:val="lightGray"/>
                <w:w w:val="71"/>
              </w:rPr>
              <w:t>$</w:t>
            </w:r>
          </w:p>
        </w:tc>
        <w:tc>
          <w:tcPr>
            <w:tcW w:w="66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highlight w:val="lightGray"/>
              </w:rPr>
              <w:t>2,731,439</w:t>
            </w: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01/08/2019</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01/08/2019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rPr>
              <w:t>34,566</w:t>
            </w:r>
            <w:r>
              <w:rPr>
                <w:rFonts w:ascii="Arial" w:cs="Arial" w:eastAsia="Arial" w:hAnsi="Arial"/>
                <w:sz w:val="20"/>
                <w:szCs w:val="20"/>
                <w:color w:val="auto"/>
                <w:vertAlign w:val="superscript"/>
              </w:rPr>
              <w:t>(3)</w:t>
            </w:r>
          </w:p>
        </w:tc>
        <w:tc>
          <w:tcPr>
            <w:tcW w:w="70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w w:val="92"/>
              </w:rPr>
              <w:t>73,740</w:t>
            </w:r>
            <w:r>
              <w:rPr>
                <w:rFonts w:ascii="Arial" w:cs="Arial" w:eastAsia="Arial" w:hAnsi="Arial"/>
                <w:sz w:val="20"/>
                <w:szCs w:val="20"/>
                <w:color w:val="auto"/>
                <w:w w:val="92"/>
                <w:vertAlign w:val="superscript"/>
              </w:rPr>
              <w:t>(3)</w:t>
            </w:r>
          </w:p>
        </w:tc>
        <w:tc>
          <w:tcPr>
            <w:tcW w:w="76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w w:val="91"/>
              </w:rPr>
              <w:t>165,912</w:t>
            </w:r>
            <w:r>
              <w:rPr>
                <w:rFonts w:ascii="Arial" w:cs="Arial" w:eastAsia="Arial" w:hAnsi="Arial"/>
                <w:sz w:val="20"/>
                <w:szCs w:val="20"/>
                <w:color w:val="auto"/>
                <w:w w:val="91"/>
                <w:vertAlign w:val="superscript"/>
              </w:rPr>
              <w:t>(3)</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6,728,739</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8797B7"/>
          </w:tcPr>
          <w:p>
            <w:pPr>
              <w:spacing w:after="0" w:line="20" w:lineRule="exact"/>
              <w:rPr>
                <w:sz w:val="1"/>
                <w:szCs w:val="1"/>
                <w:color w:val="auto"/>
              </w:rPr>
            </w:pPr>
          </w:p>
        </w:tc>
        <w:tc>
          <w:tcPr>
            <w:tcW w:w="8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797B7"/>
          </w:tcPr>
          <w:p>
            <w:pPr>
              <w:spacing w:after="0" w:line="20" w:lineRule="exact"/>
              <w:rPr>
                <w:sz w:val="1"/>
                <w:szCs w:val="1"/>
                <w:color w:val="auto"/>
              </w:rPr>
            </w:pPr>
          </w:p>
        </w:tc>
        <w:tc>
          <w:tcPr>
            <w:tcW w:w="74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797B7"/>
          </w:tcPr>
          <w:p>
            <w:pPr>
              <w:spacing w:after="0" w:line="20" w:lineRule="exact"/>
              <w:rPr>
                <w:sz w:val="1"/>
                <w:szCs w:val="1"/>
                <w:color w:val="auto"/>
              </w:rPr>
            </w:pPr>
          </w:p>
        </w:tc>
        <w:tc>
          <w:tcPr>
            <w:tcW w:w="7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8797B7"/>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12/20/2019</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12/20/2019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rPr>
              <w:t>23,121</w:t>
            </w:r>
            <w:r>
              <w:rPr>
                <w:rFonts w:ascii="Arial" w:cs="Arial" w:eastAsia="Arial" w:hAnsi="Arial"/>
                <w:sz w:val="20"/>
                <w:szCs w:val="20"/>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1,731,422</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8797B7"/>
          </w:tcPr>
          <w:p>
            <w:pPr>
              <w:spacing w:after="0" w:line="20" w:lineRule="exact"/>
              <w:rPr>
                <w:sz w:val="1"/>
                <w:szCs w:val="1"/>
                <w:color w:val="auto"/>
              </w:rPr>
            </w:pPr>
          </w:p>
        </w:tc>
        <w:tc>
          <w:tcPr>
            <w:tcW w:w="8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797B7"/>
          </w:tcPr>
          <w:p>
            <w:pPr>
              <w:spacing w:after="0" w:line="20" w:lineRule="exact"/>
              <w:rPr>
                <w:sz w:val="1"/>
                <w:szCs w:val="1"/>
                <w:color w:val="auto"/>
              </w:rPr>
            </w:pPr>
          </w:p>
        </w:tc>
        <w:tc>
          <w:tcPr>
            <w:tcW w:w="74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797B7"/>
          </w:tcPr>
          <w:p>
            <w:pPr>
              <w:spacing w:after="0" w:line="20" w:lineRule="exact"/>
              <w:rPr>
                <w:sz w:val="1"/>
                <w:szCs w:val="1"/>
                <w:color w:val="auto"/>
              </w:rPr>
            </w:pPr>
          </w:p>
        </w:tc>
        <w:tc>
          <w:tcPr>
            <w:tcW w:w="7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8797B7"/>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N/A</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rPr>
              <w:t>950,000</w:t>
            </w:r>
            <w:r>
              <w:rPr>
                <w:rFonts w:ascii="Arial" w:cs="Arial" w:eastAsia="Arial" w:hAnsi="Arial"/>
                <w:sz w:val="20"/>
                <w:szCs w:val="20"/>
                <w:color w:val="auto"/>
                <w:vertAlign w:val="superscript"/>
              </w:rPr>
              <w:t>(4)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80"/>
              <w:spacing w:after="0" w:line="223" w:lineRule="exact"/>
              <w:rPr>
                <w:sz w:val="20"/>
                <w:szCs w:val="20"/>
                <w:color w:val="auto"/>
              </w:rPr>
            </w:pPr>
            <w:r>
              <w:rPr>
                <w:rFonts w:ascii="Arial" w:cs="Arial" w:eastAsia="Arial" w:hAnsi="Arial"/>
                <w:sz w:val="13"/>
                <w:szCs w:val="13"/>
                <w:color w:val="auto"/>
                <w:w w:val="97"/>
              </w:rPr>
              <w:t>1,662,500</w:t>
            </w:r>
            <w:r>
              <w:rPr>
                <w:rFonts w:ascii="Arial" w:cs="Arial" w:eastAsia="Arial" w:hAnsi="Arial"/>
                <w:sz w:val="20"/>
                <w:szCs w:val="20"/>
                <w:color w:val="auto"/>
                <w:w w:val="97"/>
                <w:vertAlign w:val="superscript"/>
              </w:rPr>
              <w:t>(4)</w:t>
            </w: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w w:val="97"/>
              </w:rPr>
              <w:t>2,375,000</w:t>
            </w:r>
            <w:r>
              <w:rPr>
                <w:rFonts w:ascii="Arial" w:cs="Arial" w:eastAsia="Arial" w:hAnsi="Arial"/>
                <w:sz w:val="20"/>
                <w:szCs w:val="20"/>
                <w:color w:val="auto"/>
                <w:w w:val="97"/>
                <w:vertAlign w:val="superscript"/>
              </w:rPr>
              <w:t>(4)</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2600" w:type="dxa"/>
            <w:vAlign w:val="bottom"/>
            <w:tcBorders>
              <w:top w:val="single" w:sz="8" w:color="8797B7"/>
            </w:tcBorders>
          </w:tcPr>
          <w:p>
            <w:pPr>
              <w:spacing w:after="0"/>
              <w:rPr>
                <w:sz w:val="20"/>
                <w:szCs w:val="20"/>
                <w:color w:val="auto"/>
              </w:rPr>
            </w:pPr>
            <w:r>
              <w:rPr>
                <w:rFonts w:ascii="Arial" w:cs="Arial" w:eastAsia="Arial" w:hAnsi="Arial"/>
                <w:sz w:val="13"/>
                <w:szCs w:val="13"/>
                <w:color w:val="auto"/>
              </w:rPr>
              <w:t>Matthew J. DiLiberto</w:t>
            </w:r>
          </w:p>
        </w:tc>
        <w:tc>
          <w:tcPr>
            <w:tcW w:w="160" w:type="dxa"/>
            <w:vAlign w:val="bottom"/>
          </w:tcPr>
          <w:p>
            <w:pPr>
              <w:spacing w:after="0"/>
              <w:rPr>
                <w:sz w:val="19"/>
                <w:szCs w:val="19"/>
                <w:color w:val="auto"/>
              </w:rPr>
            </w:pPr>
          </w:p>
        </w:tc>
        <w:tc>
          <w:tcPr>
            <w:tcW w:w="640" w:type="dxa"/>
            <w:vAlign w:val="bottom"/>
            <w:tcBorders>
              <w:top w:val="single" w:sz="8" w:color="8797B7"/>
              <w:bottom w:val="single" w:sz="8" w:color="8797B7"/>
            </w:tcBorders>
            <w:shd w:val="clear" w:color="auto" w:fill="CCD3E1"/>
          </w:tcPr>
          <w:p>
            <w:pPr>
              <w:ind w:left="20"/>
              <w:spacing w:after="0"/>
              <w:rPr>
                <w:sz w:val="20"/>
                <w:szCs w:val="20"/>
                <w:color w:val="auto"/>
              </w:rPr>
            </w:pPr>
            <w:r>
              <w:rPr>
                <w:rFonts w:ascii="Arial" w:cs="Arial" w:eastAsia="Arial" w:hAnsi="Arial"/>
                <w:sz w:val="13"/>
                <w:szCs w:val="13"/>
                <w:color w:val="auto"/>
                <w:highlight w:val="lightGray"/>
                <w:w w:val="92"/>
              </w:rPr>
              <w:t>01/08/2019</w:t>
            </w:r>
          </w:p>
        </w:tc>
        <w:tc>
          <w:tcPr>
            <w:tcW w:w="180" w:type="dxa"/>
            <w:vAlign w:val="bottom"/>
          </w:tcPr>
          <w:p>
            <w:pPr>
              <w:spacing w:after="0"/>
              <w:rPr>
                <w:sz w:val="19"/>
                <w:szCs w:val="19"/>
                <w:color w:val="auto"/>
              </w:rPr>
            </w:pPr>
          </w:p>
        </w:tc>
        <w:tc>
          <w:tcPr>
            <w:tcW w:w="62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highlight w:val="lightGray"/>
                <w:w w:val="92"/>
              </w:rPr>
              <w:t>01/08/2019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8797B7"/>
              <w:bottom w:val="single" w:sz="8" w:color="8797B7"/>
            </w:tcBorders>
            <w:shd w:val="clear" w:color="auto" w:fill="CCD3E1"/>
          </w:tcPr>
          <w:p>
            <w:pPr>
              <w:spacing w:after="0"/>
              <w:rPr>
                <w:sz w:val="19"/>
                <w:szCs w:val="19"/>
                <w:color w:val="auto"/>
              </w:rPr>
            </w:pPr>
          </w:p>
        </w:tc>
        <w:tc>
          <w:tcPr>
            <w:tcW w:w="80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140" w:type="dxa"/>
            <w:vAlign w:val="bottom"/>
            <w:tcBorders>
              <w:top w:val="single" w:sz="8" w:color="8797B7"/>
              <w:bottom w:val="single" w:sz="8" w:color="8797B7"/>
            </w:tcBorders>
            <w:shd w:val="clear" w:color="auto" w:fill="CCD3E1"/>
          </w:tcPr>
          <w:p>
            <w:pPr>
              <w:spacing w:after="0"/>
              <w:rPr>
                <w:sz w:val="19"/>
                <w:szCs w:val="19"/>
                <w:color w:val="auto"/>
              </w:rPr>
            </w:pPr>
          </w:p>
        </w:tc>
        <w:tc>
          <w:tcPr>
            <w:tcW w:w="74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8797B7"/>
              <w:bottom w:val="single" w:sz="8" w:color="8797B7"/>
            </w:tcBorders>
            <w:shd w:val="clear" w:color="auto" w:fill="CCD3E1"/>
          </w:tcPr>
          <w:p>
            <w:pPr>
              <w:spacing w:after="0"/>
              <w:rPr>
                <w:sz w:val="19"/>
                <w:szCs w:val="19"/>
                <w:color w:val="auto"/>
              </w:rPr>
            </w:pPr>
          </w:p>
        </w:tc>
        <w:tc>
          <w:tcPr>
            <w:tcW w:w="74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620" w:type="dxa"/>
            <w:vAlign w:val="bottom"/>
            <w:tcBorders>
              <w:top w:val="single" w:sz="8" w:color="8797B7"/>
              <w:bottom w:val="single" w:sz="8" w:color="8797B7"/>
            </w:tcBorders>
            <w:shd w:val="clear" w:color="auto" w:fill="CCD3E1"/>
          </w:tcPr>
          <w:p>
            <w:pPr>
              <w:ind w:left="500"/>
              <w:spacing w:after="0"/>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9"/>
                <w:szCs w:val="19"/>
                <w:color w:val="auto"/>
              </w:rPr>
            </w:pPr>
          </w:p>
        </w:tc>
        <w:tc>
          <w:tcPr>
            <w:tcW w:w="54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60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620" w:type="dxa"/>
            <w:vAlign w:val="bottom"/>
            <w:tcBorders>
              <w:top w:val="single" w:sz="8" w:color="8797B7"/>
              <w:bottom w:val="single" w:sz="8" w:color="8797B7"/>
            </w:tcBorders>
            <w:shd w:val="clear" w:color="auto" w:fill="CCD3E1"/>
          </w:tcPr>
          <w:p>
            <w:pPr>
              <w:jc w:val="right"/>
              <w:spacing w:after="0" w:line="223" w:lineRule="exact"/>
              <w:rPr>
                <w:sz w:val="20"/>
                <w:szCs w:val="20"/>
                <w:color w:val="auto"/>
              </w:rPr>
            </w:pPr>
            <w:r>
              <w:rPr>
                <w:rFonts w:ascii="Arial" w:cs="Arial" w:eastAsia="Arial" w:hAnsi="Arial"/>
                <w:sz w:val="13"/>
                <w:szCs w:val="13"/>
                <w:color w:val="auto"/>
              </w:rPr>
              <w:t>5,039</w:t>
            </w:r>
            <w:r>
              <w:rPr>
                <w:rFonts w:ascii="Arial" w:cs="Arial" w:eastAsia="Arial" w:hAnsi="Arial"/>
                <w:sz w:val="20"/>
                <w:szCs w:val="20"/>
                <w:color w:val="auto"/>
                <w:vertAlign w:val="superscript"/>
              </w:rPr>
              <w:t>(1)</w:t>
            </w:r>
          </w:p>
        </w:tc>
        <w:tc>
          <w:tcPr>
            <w:tcW w:w="160" w:type="dxa"/>
            <w:vAlign w:val="bottom"/>
          </w:tcPr>
          <w:p>
            <w:pPr>
              <w:spacing w:after="0"/>
              <w:rPr>
                <w:sz w:val="19"/>
                <w:szCs w:val="19"/>
                <w:color w:val="auto"/>
              </w:rPr>
            </w:pPr>
          </w:p>
        </w:tc>
        <w:tc>
          <w:tcPr>
            <w:tcW w:w="8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0"/>
                <w:szCs w:val="10"/>
                <w:color w:val="auto"/>
                <w:highlight w:val="lightGray"/>
                <w:w w:val="71"/>
              </w:rPr>
              <w:t>$</w:t>
            </w:r>
          </w:p>
        </w:tc>
        <w:tc>
          <w:tcPr>
            <w:tcW w:w="66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highlight w:val="lightGray"/>
              </w:rPr>
              <w:t>353,360</w:t>
            </w: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01/08/2019</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01/08/2019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rPr>
              <w:t>3,201</w:t>
            </w:r>
            <w:r>
              <w:rPr>
                <w:rFonts w:ascii="Arial" w:cs="Arial" w:eastAsia="Arial" w:hAnsi="Arial"/>
                <w:sz w:val="20"/>
                <w:szCs w:val="20"/>
                <w:color w:val="auto"/>
                <w:vertAlign w:val="superscript"/>
              </w:rPr>
              <w:t>(3)</w:t>
            </w:r>
          </w:p>
        </w:tc>
        <w:tc>
          <w:tcPr>
            <w:tcW w:w="70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rPr>
              <w:t>6,827</w:t>
            </w:r>
            <w:r>
              <w:rPr>
                <w:rFonts w:ascii="Arial" w:cs="Arial" w:eastAsia="Arial" w:hAnsi="Arial"/>
                <w:sz w:val="20"/>
                <w:szCs w:val="20"/>
                <w:color w:val="auto"/>
                <w:vertAlign w:val="superscript"/>
              </w:rPr>
              <w:t>(3)</w:t>
            </w:r>
          </w:p>
        </w:tc>
        <w:tc>
          <w:tcPr>
            <w:tcW w:w="76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rPr>
              <w:t>15,362</w:t>
            </w:r>
            <w:r>
              <w:rPr>
                <w:rFonts w:ascii="Arial" w:cs="Arial" w:eastAsia="Arial" w:hAnsi="Arial"/>
                <w:sz w:val="20"/>
                <w:szCs w:val="20"/>
                <w:color w:val="auto"/>
                <w:vertAlign w:val="superscript"/>
              </w:rPr>
              <w:t>(3)</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658,637</w:t>
            </w:r>
          </w:p>
        </w:tc>
        <w:tc>
          <w:tcPr>
            <w:tcW w:w="0" w:type="dxa"/>
            <w:vAlign w:val="bottom"/>
          </w:tcPr>
          <w:p>
            <w:pPr>
              <w:spacing w:after="0"/>
              <w:rPr>
                <w:sz w:val="1"/>
                <w:szCs w:val="1"/>
                <w:color w:val="auto"/>
              </w:rPr>
            </w:pPr>
          </w:p>
        </w:tc>
      </w:tr>
      <w:tr>
        <w:trPr>
          <w:trHeight w:val="223"/>
        </w:trPr>
        <w:tc>
          <w:tcPr>
            <w:tcW w:w="2600" w:type="dxa"/>
            <w:vAlign w:val="bottom"/>
            <w:tcBorders>
              <w:top w:val="single" w:sz="8" w:color="8797B7"/>
            </w:tcBorders>
          </w:tcPr>
          <w:p>
            <w:pPr>
              <w:spacing w:after="0"/>
              <w:rPr>
                <w:sz w:val="20"/>
                <w:szCs w:val="20"/>
                <w:color w:val="auto"/>
              </w:rPr>
            </w:pPr>
            <w:r>
              <w:rPr>
                <w:rFonts w:ascii="Arial" w:cs="Arial" w:eastAsia="Arial" w:hAnsi="Arial"/>
                <w:sz w:val="13"/>
                <w:szCs w:val="13"/>
                <w:color w:val="auto"/>
              </w:rPr>
              <w:t>Andrew S. Levine</w:t>
            </w:r>
          </w:p>
        </w:tc>
        <w:tc>
          <w:tcPr>
            <w:tcW w:w="160" w:type="dxa"/>
            <w:vAlign w:val="bottom"/>
          </w:tcPr>
          <w:p>
            <w:pPr>
              <w:spacing w:after="0"/>
              <w:rPr>
                <w:sz w:val="19"/>
                <w:szCs w:val="19"/>
                <w:color w:val="auto"/>
              </w:rPr>
            </w:pPr>
          </w:p>
        </w:tc>
        <w:tc>
          <w:tcPr>
            <w:tcW w:w="640" w:type="dxa"/>
            <w:vAlign w:val="bottom"/>
            <w:tcBorders>
              <w:top w:val="single" w:sz="8" w:color="8797B7"/>
              <w:bottom w:val="single" w:sz="8" w:color="8797B7"/>
            </w:tcBorders>
            <w:shd w:val="clear" w:color="auto" w:fill="CCD3E1"/>
          </w:tcPr>
          <w:p>
            <w:pPr>
              <w:ind w:left="20"/>
              <w:spacing w:after="0"/>
              <w:rPr>
                <w:sz w:val="20"/>
                <w:szCs w:val="20"/>
                <w:color w:val="auto"/>
              </w:rPr>
            </w:pPr>
            <w:r>
              <w:rPr>
                <w:rFonts w:ascii="Arial" w:cs="Arial" w:eastAsia="Arial" w:hAnsi="Arial"/>
                <w:sz w:val="13"/>
                <w:szCs w:val="13"/>
                <w:color w:val="auto"/>
                <w:highlight w:val="lightGray"/>
                <w:w w:val="92"/>
              </w:rPr>
              <w:t>01/08/2019</w:t>
            </w:r>
          </w:p>
        </w:tc>
        <w:tc>
          <w:tcPr>
            <w:tcW w:w="180" w:type="dxa"/>
            <w:vAlign w:val="bottom"/>
          </w:tcPr>
          <w:p>
            <w:pPr>
              <w:spacing w:after="0"/>
              <w:rPr>
                <w:sz w:val="19"/>
                <w:szCs w:val="19"/>
                <w:color w:val="auto"/>
              </w:rPr>
            </w:pPr>
          </w:p>
        </w:tc>
        <w:tc>
          <w:tcPr>
            <w:tcW w:w="62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highlight w:val="lightGray"/>
                <w:w w:val="92"/>
              </w:rPr>
              <w:t>01/08/2019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8797B7"/>
              <w:bottom w:val="single" w:sz="8" w:color="8797B7"/>
            </w:tcBorders>
            <w:shd w:val="clear" w:color="auto" w:fill="CCD3E1"/>
          </w:tcPr>
          <w:p>
            <w:pPr>
              <w:spacing w:after="0"/>
              <w:rPr>
                <w:sz w:val="19"/>
                <w:szCs w:val="19"/>
                <w:color w:val="auto"/>
              </w:rPr>
            </w:pPr>
          </w:p>
        </w:tc>
        <w:tc>
          <w:tcPr>
            <w:tcW w:w="80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140" w:type="dxa"/>
            <w:vAlign w:val="bottom"/>
            <w:tcBorders>
              <w:top w:val="single" w:sz="8" w:color="8797B7"/>
              <w:bottom w:val="single" w:sz="8" w:color="8797B7"/>
            </w:tcBorders>
            <w:shd w:val="clear" w:color="auto" w:fill="CCD3E1"/>
          </w:tcPr>
          <w:p>
            <w:pPr>
              <w:spacing w:after="0"/>
              <w:rPr>
                <w:sz w:val="19"/>
                <w:szCs w:val="19"/>
                <w:color w:val="auto"/>
              </w:rPr>
            </w:pPr>
          </w:p>
        </w:tc>
        <w:tc>
          <w:tcPr>
            <w:tcW w:w="74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8797B7"/>
              <w:bottom w:val="single" w:sz="8" w:color="8797B7"/>
            </w:tcBorders>
            <w:shd w:val="clear" w:color="auto" w:fill="CCD3E1"/>
          </w:tcPr>
          <w:p>
            <w:pPr>
              <w:spacing w:after="0"/>
              <w:rPr>
                <w:sz w:val="19"/>
                <w:szCs w:val="19"/>
                <w:color w:val="auto"/>
              </w:rPr>
            </w:pPr>
          </w:p>
        </w:tc>
        <w:tc>
          <w:tcPr>
            <w:tcW w:w="74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620" w:type="dxa"/>
            <w:vAlign w:val="bottom"/>
            <w:tcBorders>
              <w:top w:val="single" w:sz="8" w:color="8797B7"/>
              <w:bottom w:val="single" w:sz="8" w:color="8797B7"/>
            </w:tcBorders>
            <w:shd w:val="clear" w:color="auto" w:fill="CCD3E1"/>
          </w:tcPr>
          <w:p>
            <w:pPr>
              <w:ind w:left="500"/>
              <w:spacing w:after="0"/>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9"/>
                <w:szCs w:val="19"/>
                <w:color w:val="auto"/>
              </w:rPr>
            </w:pPr>
          </w:p>
        </w:tc>
        <w:tc>
          <w:tcPr>
            <w:tcW w:w="54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60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620" w:type="dxa"/>
            <w:vAlign w:val="bottom"/>
            <w:tcBorders>
              <w:top w:val="single" w:sz="8" w:color="8797B7"/>
              <w:bottom w:val="single" w:sz="8" w:color="8797B7"/>
            </w:tcBorders>
            <w:shd w:val="clear" w:color="auto" w:fill="CCD3E1"/>
          </w:tcPr>
          <w:p>
            <w:pPr>
              <w:jc w:val="right"/>
              <w:spacing w:after="0" w:line="223" w:lineRule="exact"/>
              <w:rPr>
                <w:sz w:val="20"/>
                <w:szCs w:val="20"/>
                <w:color w:val="auto"/>
              </w:rPr>
            </w:pPr>
            <w:r>
              <w:rPr>
                <w:rFonts w:ascii="Arial" w:cs="Arial" w:eastAsia="Arial" w:hAnsi="Arial"/>
                <w:sz w:val="13"/>
                <w:szCs w:val="13"/>
                <w:color w:val="auto"/>
              </w:rPr>
              <w:t>17,007</w:t>
            </w:r>
            <w:r>
              <w:rPr>
                <w:rFonts w:ascii="Arial" w:cs="Arial" w:eastAsia="Arial" w:hAnsi="Arial"/>
                <w:sz w:val="20"/>
                <w:szCs w:val="20"/>
                <w:color w:val="auto"/>
                <w:vertAlign w:val="superscript"/>
              </w:rPr>
              <w:t>(1)</w:t>
            </w:r>
          </w:p>
        </w:tc>
        <w:tc>
          <w:tcPr>
            <w:tcW w:w="160" w:type="dxa"/>
            <w:vAlign w:val="bottom"/>
          </w:tcPr>
          <w:p>
            <w:pPr>
              <w:spacing w:after="0"/>
              <w:rPr>
                <w:sz w:val="19"/>
                <w:szCs w:val="19"/>
                <w:color w:val="auto"/>
              </w:rPr>
            </w:pPr>
          </w:p>
        </w:tc>
        <w:tc>
          <w:tcPr>
            <w:tcW w:w="8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0"/>
                <w:szCs w:val="10"/>
                <w:color w:val="auto"/>
                <w:highlight w:val="lightGray"/>
                <w:w w:val="71"/>
              </w:rPr>
              <w:t>$</w:t>
            </w:r>
          </w:p>
        </w:tc>
        <w:tc>
          <w:tcPr>
            <w:tcW w:w="660" w:type="dxa"/>
            <w:vAlign w:val="bottom"/>
            <w:tcBorders>
              <w:top w:val="single" w:sz="8" w:color="8797B7"/>
              <w:bottom w:val="single" w:sz="8" w:color="8797B7"/>
            </w:tcBorders>
            <w:shd w:val="clear" w:color="auto" w:fill="CCD3E1"/>
          </w:tcPr>
          <w:p>
            <w:pPr>
              <w:jc w:val="right"/>
              <w:spacing w:after="0"/>
              <w:rPr>
                <w:sz w:val="20"/>
                <w:szCs w:val="20"/>
                <w:color w:val="auto"/>
              </w:rPr>
            </w:pPr>
            <w:r>
              <w:rPr>
                <w:rFonts w:ascii="Arial" w:cs="Arial" w:eastAsia="Arial" w:hAnsi="Arial"/>
                <w:sz w:val="13"/>
                <w:szCs w:val="13"/>
                <w:color w:val="auto"/>
                <w:highlight w:val="lightGray"/>
              </w:rPr>
              <w:t>1,192,616</w:t>
            </w: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01/08/2019</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01/08/2019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rPr>
              <w:t>15,976</w:t>
            </w:r>
            <w:r>
              <w:rPr>
                <w:rFonts w:ascii="Arial" w:cs="Arial" w:eastAsia="Arial" w:hAnsi="Arial"/>
                <w:sz w:val="20"/>
                <w:szCs w:val="20"/>
                <w:color w:val="auto"/>
                <w:vertAlign w:val="superscript"/>
              </w:rPr>
              <w:t>(5)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1,253,397</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8797B7"/>
          </w:tcPr>
          <w:p>
            <w:pPr>
              <w:spacing w:after="0" w:line="20" w:lineRule="exact"/>
              <w:rPr>
                <w:sz w:val="1"/>
                <w:szCs w:val="1"/>
                <w:color w:val="auto"/>
              </w:rPr>
            </w:pPr>
          </w:p>
        </w:tc>
        <w:tc>
          <w:tcPr>
            <w:tcW w:w="8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8797B7"/>
          </w:tcPr>
          <w:p>
            <w:pPr>
              <w:spacing w:after="0" w:line="20" w:lineRule="exact"/>
              <w:rPr>
                <w:sz w:val="1"/>
                <w:szCs w:val="1"/>
                <w:color w:val="auto"/>
              </w:rPr>
            </w:pPr>
          </w:p>
        </w:tc>
        <w:tc>
          <w:tcPr>
            <w:tcW w:w="740" w:type="dxa"/>
            <w:vAlign w:val="bottom"/>
            <w:shd w:val="clear" w:color="auto" w:fill="8797B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8797B7"/>
          </w:tcPr>
          <w:p>
            <w:pPr>
              <w:spacing w:after="0" w:line="20" w:lineRule="exact"/>
              <w:rPr>
                <w:sz w:val="1"/>
                <w:szCs w:val="1"/>
                <w:color w:val="auto"/>
              </w:rPr>
            </w:pPr>
          </w:p>
        </w:tc>
        <w:tc>
          <w:tcPr>
            <w:tcW w:w="7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8797B7"/>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01/08/2019</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01/08/2019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rPr>
              <w:t>3,201</w:t>
            </w:r>
            <w:r>
              <w:rPr>
                <w:rFonts w:ascii="Arial" w:cs="Arial" w:eastAsia="Arial" w:hAnsi="Arial"/>
                <w:sz w:val="20"/>
                <w:szCs w:val="20"/>
                <w:color w:val="auto"/>
                <w:vertAlign w:val="superscript"/>
              </w:rPr>
              <w:t>(3)</w:t>
            </w:r>
          </w:p>
        </w:tc>
        <w:tc>
          <w:tcPr>
            <w:tcW w:w="70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rPr>
              <w:t>6,827</w:t>
            </w:r>
            <w:r>
              <w:rPr>
                <w:rFonts w:ascii="Arial" w:cs="Arial" w:eastAsia="Arial" w:hAnsi="Arial"/>
                <w:sz w:val="20"/>
                <w:szCs w:val="20"/>
                <w:color w:val="auto"/>
                <w:vertAlign w:val="superscript"/>
              </w:rPr>
              <w:t>(3)</w:t>
            </w:r>
          </w:p>
        </w:tc>
        <w:tc>
          <w:tcPr>
            <w:tcW w:w="760" w:type="dxa"/>
            <w:vAlign w:val="bottom"/>
            <w:gridSpan w:val="2"/>
          </w:tcPr>
          <w:p>
            <w:pPr>
              <w:jc w:val="right"/>
              <w:ind w:right="160"/>
              <w:spacing w:after="0" w:line="223" w:lineRule="exact"/>
              <w:rPr>
                <w:sz w:val="20"/>
                <w:szCs w:val="20"/>
                <w:color w:val="auto"/>
              </w:rPr>
            </w:pPr>
            <w:r>
              <w:rPr>
                <w:rFonts w:ascii="Arial" w:cs="Arial" w:eastAsia="Arial" w:hAnsi="Arial"/>
                <w:sz w:val="13"/>
                <w:szCs w:val="13"/>
                <w:color w:val="auto"/>
              </w:rPr>
              <w:t>15,362</w:t>
            </w:r>
            <w:r>
              <w:rPr>
                <w:rFonts w:ascii="Arial" w:cs="Arial" w:eastAsia="Arial" w:hAnsi="Arial"/>
                <w:sz w:val="20"/>
                <w:szCs w:val="20"/>
                <w:color w:val="auto"/>
                <w:vertAlign w:val="superscript"/>
              </w:rPr>
              <w:t>(3)</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658,637</w:t>
            </w:r>
          </w:p>
        </w:tc>
        <w:tc>
          <w:tcPr>
            <w:tcW w:w="0" w:type="dxa"/>
            <w:vAlign w:val="bottom"/>
          </w:tcPr>
          <w:p>
            <w:pPr>
              <w:spacing w:after="0"/>
              <w:rPr>
                <w:sz w:val="1"/>
                <w:szCs w:val="1"/>
                <w:color w:val="auto"/>
              </w:rPr>
            </w:pPr>
          </w:p>
        </w:tc>
      </w:tr>
      <w:tr>
        <w:trPr>
          <w:trHeight w:val="27"/>
        </w:trPr>
        <w:tc>
          <w:tcPr>
            <w:tcW w:w="260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355889"/>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3558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355889"/>
          </w:tcPr>
          <w:p>
            <w:pPr>
              <w:spacing w:after="0"/>
              <w:rPr>
                <w:sz w:val="2"/>
                <w:szCs w:val="2"/>
                <w:color w:val="auto"/>
              </w:rPr>
            </w:pPr>
          </w:p>
        </w:tc>
        <w:tc>
          <w:tcPr>
            <w:tcW w:w="80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355889"/>
          </w:tcPr>
          <w:p>
            <w:pPr>
              <w:spacing w:after="0"/>
              <w:rPr>
                <w:sz w:val="2"/>
                <w:szCs w:val="2"/>
                <w:color w:val="auto"/>
              </w:rPr>
            </w:pPr>
          </w:p>
        </w:tc>
        <w:tc>
          <w:tcPr>
            <w:tcW w:w="740" w:type="dxa"/>
            <w:vAlign w:val="bottom"/>
            <w:shd w:val="clear" w:color="auto" w:fill="3558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355889"/>
          </w:tcPr>
          <w:p>
            <w:pPr>
              <w:spacing w:after="0"/>
              <w:rPr>
                <w:sz w:val="2"/>
                <w:szCs w:val="2"/>
                <w:color w:val="auto"/>
              </w:rPr>
            </w:pPr>
          </w:p>
        </w:tc>
        <w:tc>
          <w:tcPr>
            <w:tcW w:w="74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355889"/>
          </w:tcPr>
          <w:p>
            <w:pPr>
              <w:spacing w:after="0"/>
              <w:rPr>
                <w:sz w:val="2"/>
                <w:szCs w:val="2"/>
                <w:color w:val="auto"/>
              </w:rPr>
            </w:pPr>
          </w:p>
        </w:tc>
        <w:tc>
          <w:tcPr>
            <w:tcW w:w="660" w:type="dxa"/>
            <w:vAlign w:val="bottom"/>
            <w:shd w:val="clear" w:color="auto" w:fill="35588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20" w:hanging="312"/>
        <w:spacing w:after="0"/>
        <w:tabs>
          <w:tab w:leader="none" w:pos="32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This grant of LTIP units vested immediately upon grant, but remains subject to a three-year restriction on transfer from the date of grant.</w:t>
      </w:r>
    </w:p>
    <w:p>
      <w:pPr>
        <w:spacing w:after="0" w:line="65" w:lineRule="exact"/>
        <w:rPr>
          <w:rFonts w:ascii="Arial" w:cs="Arial" w:eastAsia="Arial" w:hAnsi="Arial"/>
          <w:sz w:val="13"/>
          <w:szCs w:val="13"/>
          <w:color w:val="auto"/>
        </w:rPr>
      </w:pPr>
    </w:p>
    <w:p>
      <w:pPr>
        <w:ind w:left="320" w:hanging="312"/>
        <w:spacing w:after="0"/>
        <w:tabs>
          <w:tab w:leader="none" w:pos="32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This grant of LTIP units was awarded in connection with Mr. Holliday’s prior employment agreement and was subject to the achievement of performance-based vesting hurdles, with</w:t>
      </w:r>
    </w:p>
    <w:p>
      <w:pPr>
        <w:ind w:left="320"/>
        <w:spacing w:after="0" w:line="243" w:lineRule="auto"/>
        <w:rPr>
          <w:rFonts w:ascii="Arial" w:cs="Arial" w:eastAsia="Arial" w:hAnsi="Arial"/>
          <w:sz w:val="13"/>
          <w:szCs w:val="13"/>
          <w:color w:val="auto"/>
        </w:rPr>
      </w:pPr>
      <w:r>
        <w:rPr>
          <w:rFonts w:ascii="Arial" w:cs="Arial" w:eastAsia="Arial" w:hAnsi="Arial"/>
          <w:sz w:val="13"/>
          <w:szCs w:val="13"/>
          <w:color w:val="auto"/>
        </w:rPr>
        <w:t>50-100% of the LTIP units vesting based on the achievement of either annual FFO growth or TSR of 5-8% per year or TSR in the top 50-35% of the MSCI US REIT Index, respectively, during 2018 (or on a cumulative basis from 2016 through the end of 2018). None of these LTIP units would have vested if threshold performance had not been achieved. Vesting was also subject to Mr. Holliday’s continued employment through January 17, 2019. This grant is presented in the “All Other Stock Awards: Number of Shares of Stock or Units” column instead of the “Estimated Future Payouts Under Equity Incentive Plan Award” column, because the grant occurred after performance-based vesting was achieved. Once vested, these LTIP units remain subject to a restriction on transfer until the earlier of two years after vesting, termination of employment or a change in control.</w:t>
      </w:r>
    </w:p>
    <w:p>
      <w:pPr>
        <w:spacing w:after="0" w:line="53" w:lineRule="exact"/>
        <w:rPr>
          <w:rFonts w:ascii="Arial" w:cs="Arial" w:eastAsia="Arial" w:hAnsi="Arial"/>
          <w:sz w:val="13"/>
          <w:szCs w:val="13"/>
          <w:color w:val="auto"/>
        </w:rPr>
      </w:pPr>
    </w:p>
    <w:p>
      <w:pPr>
        <w:ind w:left="320" w:right="160" w:hanging="312"/>
        <w:spacing w:after="0" w:line="258" w:lineRule="auto"/>
        <w:tabs>
          <w:tab w:leader="none" w:pos="32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LTIP units granted as 2019 annual performance-based equity awards that were subject to performance-based vesting hurdles. One-half of the LTIP units were eligible to be earned based on the Company’s achievement during 2019 of the operating performance metrics set forth below:</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20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20" w:type="dxa"/>
            <w:vAlign w:val="bottom"/>
          </w:tcPr>
          <w:p>
            <w:pPr>
              <w:ind w:left="140"/>
              <w:spacing w:after="0"/>
              <w:rPr>
                <w:sz w:val="20"/>
                <w:szCs w:val="20"/>
                <w:color w:val="auto"/>
              </w:rPr>
            </w:pPr>
            <w:r>
              <w:rPr>
                <w:rFonts w:ascii="Arial" w:cs="Arial" w:eastAsia="Arial" w:hAnsi="Arial"/>
                <w:sz w:val="13"/>
                <w:szCs w:val="13"/>
                <w:b w:val="1"/>
                <w:bCs w:val="1"/>
                <w:color w:val="355889"/>
              </w:rPr>
              <w:t>Manhattan Office</w:t>
            </w:r>
          </w:p>
        </w:tc>
        <w:tc>
          <w:tcPr>
            <w:tcW w:w="1920" w:type="dxa"/>
            <w:vAlign w:val="bottom"/>
          </w:tcPr>
          <w:p>
            <w:pPr>
              <w:spacing w:after="0"/>
              <w:rPr>
                <w:sz w:val="12"/>
                <w:szCs w:val="12"/>
                <w:color w:val="auto"/>
              </w:rPr>
            </w:pPr>
          </w:p>
        </w:tc>
        <w:tc>
          <w:tcPr>
            <w:tcW w:w="1340" w:type="dxa"/>
            <w:vAlign w:val="bottom"/>
          </w:tcPr>
          <w:p>
            <w:pPr>
              <w:ind w:left="140"/>
              <w:spacing w:after="0"/>
              <w:rPr>
                <w:sz w:val="20"/>
                <w:szCs w:val="20"/>
                <w:color w:val="auto"/>
              </w:rPr>
            </w:pPr>
            <w:r>
              <w:rPr>
                <w:rFonts w:ascii="Arial" w:cs="Arial" w:eastAsia="Arial" w:hAnsi="Arial"/>
                <w:sz w:val="13"/>
                <w:szCs w:val="13"/>
                <w:b w:val="1"/>
                <w:bCs w:val="1"/>
                <w:color w:val="355889"/>
              </w:rPr>
              <w:t>Percentage of</w:t>
            </w:r>
          </w:p>
        </w:tc>
      </w:tr>
      <w:tr>
        <w:trPr>
          <w:trHeight w:val="148"/>
        </w:trPr>
        <w:tc>
          <w:tcPr>
            <w:tcW w:w="2020" w:type="dxa"/>
            <w:vAlign w:val="bottom"/>
          </w:tcPr>
          <w:p>
            <w:pPr>
              <w:spacing w:after="0"/>
              <w:rPr>
                <w:sz w:val="12"/>
                <w:szCs w:val="12"/>
                <w:color w:val="auto"/>
              </w:rPr>
            </w:pPr>
          </w:p>
        </w:tc>
        <w:tc>
          <w:tcPr>
            <w:tcW w:w="2940" w:type="dxa"/>
            <w:vAlign w:val="bottom"/>
          </w:tcPr>
          <w:p>
            <w:pPr>
              <w:ind w:left="1240"/>
              <w:spacing w:after="0"/>
              <w:rPr>
                <w:sz w:val="20"/>
                <w:szCs w:val="20"/>
                <w:color w:val="auto"/>
              </w:rPr>
            </w:pPr>
            <w:r>
              <w:rPr>
                <w:rFonts w:ascii="Arial" w:cs="Arial" w:eastAsia="Arial" w:hAnsi="Arial"/>
                <w:sz w:val="13"/>
                <w:szCs w:val="13"/>
                <w:b w:val="1"/>
                <w:bCs w:val="1"/>
                <w:color w:val="355889"/>
              </w:rPr>
              <w:t>Funds Available for</w:t>
            </w:r>
          </w:p>
        </w:tc>
        <w:tc>
          <w:tcPr>
            <w:tcW w:w="1180" w:type="dxa"/>
            <w:vAlign w:val="bottom"/>
          </w:tcPr>
          <w:p>
            <w:pPr>
              <w:ind w:left="120"/>
              <w:spacing w:after="0"/>
              <w:rPr>
                <w:sz w:val="20"/>
                <w:szCs w:val="20"/>
                <w:color w:val="auto"/>
              </w:rPr>
            </w:pPr>
            <w:r>
              <w:rPr>
                <w:rFonts w:ascii="Arial" w:cs="Arial" w:eastAsia="Arial" w:hAnsi="Arial"/>
                <w:sz w:val="13"/>
                <w:szCs w:val="13"/>
                <w:b w:val="1"/>
                <w:bCs w:val="1"/>
                <w:color w:val="355889"/>
              </w:rPr>
              <w:t>Debt / EBITDA</w:t>
            </w:r>
          </w:p>
        </w:tc>
        <w:tc>
          <w:tcPr>
            <w:tcW w:w="1520" w:type="dxa"/>
            <w:vAlign w:val="bottom"/>
          </w:tcPr>
          <w:p>
            <w:pPr>
              <w:ind w:left="140"/>
              <w:spacing w:after="0"/>
              <w:rPr>
                <w:sz w:val="20"/>
                <w:szCs w:val="20"/>
                <w:color w:val="auto"/>
              </w:rPr>
            </w:pPr>
            <w:r>
              <w:rPr>
                <w:rFonts w:ascii="Arial" w:cs="Arial" w:eastAsia="Arial" w:hAnsi="Arial"/>
                <w:sz w:val="13"/>
                <w:szCs w:val="13"/>
                <w:b w:val="1"/>
                <w:bCs w:val="1"/>
                <w:color w:val="355889"/>
              </w:rPr>
              <w:t>Same-Store Leased</w:t>
            </w:r>
          </w:p>
        </w:tc>
        <w:tc>
          <w:tcPr>
            <w:tcW w:w="1920" w:type="dxa"/>
            <w:vAlign w:val="bottom"/>
          </w:tcPr>
          <w:p>
            <w:pPr>
              <w:ind w:left="140"/>
              <w:spacing w:after="0"/>
              <w:rPr>
                <w:sz w:val="20"/>
                <w:szCs w:val="20"/>
                <w:color w:val="auto"/>
              </w:rPr>
            </w:pPr>
            <w:r>
              <w:rPr>
                <w:rFonts w:ascii="Arial" w:cs="Arial" w:eastAsia="Arial" w:hAnsi="Arial"/>
                <w:sz w:val="13"/>
                <w:szCs w:val="13"/>
                <w:b w:val="1"/>
                <w:bCs w:val="1"/>
                <w:color w:val="355889"/>
              </w:rPr>
              <w:t>Manhattan Office Leasing</w:t>
            </w:r>
          </w:p>
        </w:tc>
        <w:tc>
          <w:tcPr>
            <w:tcW w:w="1340" w:type="dxa"/>
            <w:vAlign w:val="bottom"/>
          </w:tcPr>
          <w:p>
            <w:pPr>
              <w:ind w:left="140"/>
              <w:spacing w:after="0"/>
              <w:rPr>
                <w:sz w:val="20"/>
                <w:szCs w:val="20"/>
                <w:color w:val="auto"/>
              </w:rPr>
            </w:pPr>
            <w:r>
              <w:rPr>
                <w:rFonts w:ascii="Arial" w:cs="Arial" w:eastAsia="Arial" w:hAnsi="Arial"/>
                <w:sz w:val="13"/>
                <w:szCs w:val="13"/>
                <w:b w:val="1"/>
                <w:bCs w:val="1"/>
                <w:color w:val="355889"/>
              </w:rPr>
              <w:t>Target Operational</w:t>
            </w:r>
          </w:p>
        </w:tc>
      </w:tr>
      <w:tr>
        <w:trPr>
          <w:trHeight w:val="149"/>
        </w:trPr>
        <w:tc>
          <w:tcPr>
            <w:tcW w:w="2020" w:type="dxa"/>
            <w:vAlign w:val="bottom"/>
          </w:tcPr>
          <w:p>
            <w:pPr>
              <w:spacing w:after="0"/>
              <w:rPr>
                <w:sz w:val="12"/>
                <w:szCs w:val="12"/>
                <w:color w:val="auto"/>
              </w:rPr>
            </w:pPr>
          </w:p>
        </w:tc>
        <w:tc>
          <w:tcPr>
            <w:tcW w:w="2940" w:type="dxa"/>
            <w:vAlign w:val="bottom"/>
          </w:tcPr>
          <w:p>
            <w:pPr>
              <w:ind w:left="1240"/>
              <w:spacing w:after="0"/>
              <w:rPr>
                <w:sz w:val="20"/>
                <w:szCs w:val="20"/>
                <w:color w:val="auto"/>
              </w:rPr>
            </w:pPr>
            <w:r>
              <w:rPr>
                <w:rFonts w:ascii="Arial" w:cs="Arial" w:eastAsia="Arial" w:hAnsi="Arial"/>
                <w:sz w:val="13"/>
                <w:szCs w:val="13"/>
                <w:b w:val="1"/>
                <w:bCs w:val="1"/>
                <w:color w:val="355889"/>
              </w:rPr>
              <w:t>Distribution (in millions)</w:t>
            </w:r>
          </w:p>
        </w:tc>
        <w:tc>
          <w:tcPr>
            <w:tcW w:w="1180" w:type="dxa"/>
            <w:vAlign w:val="bottom"/>
          </w:tcPr>
          <w:p>
            <w:pPr>
              <w:ind w:left="120"/>
              <w:spacing w:after="0"/>
              <w:rPr>
                <w:sz w:val="20"/>
                <w:szCs w:val="20"/>
                <w:color w:val="auto"/>
              </w:rPr>
            </w:pPr>
            <w:r>
              <w:rPr>
                <w:rFonts w:ascii="Arial" w:cs="Arial" w:eastAsia="Arial" w:hAnsi="Arial"/>
                <w:sz w:val="13"/>
                <w:szCs w:val="13"/>
                <w:b w:val="1"/>
                <w:bCs w:val="1"/>
                <w:color w:val="355889"/>
              </w:rPr>
              <w:t>Ratio</w:t>
            </w:r>
          </w:p>
        </w:tc>
        <w:tc>
          <w:tcPr>
            <w:tcW w:w="1520" w:type="dxa"/>
            <w:vAlign w:val="bottom"/>
          </w:tcPr>
          <w:p>
            <w:pPr>
              <w:ind w:left="140"/>
              <w:spacing w:after="0"/>
              <w:rPr>
                <w:sz w:val="20"/>
                <w:szCs w:val="20"/>
                <w:color w:val="auto"/>
              </w:rPr>
            </w:pPr>
            <w:r>
              <w:rPr>
                <w:rFonts w:ascii="Arial" w:cs="Arial" w:eastAsia="Arial" w:hAnsi="Arial"/>
                <w:sz w:val="13"/>
                <w:szCs w:val="13"/>
                <w:b w:val="1"/>
                <w:bCs w:val="1"/>
                <w:color w:val="355889"/>
              </w:rPr>
              <w:t>Occupancy</w:t>
            </w:r>
          </w:p>
        </w:tc>
        <w:tc>
          <w:tcPr>
            <w:tcW w:w="1920" w:type="dxa"/>
            <w:vAlign w:val="bottom"/>
          </w:tcPr>
          <w:p>
            <w:pPr>
              <w:ind w:left="140"/>
              <w:spacing w:after="0"/>
              <w:rPr>
                <w:sz w:val="20"/>
                <w:szCs w:val="20"/>
                <w:color w:val="auto"/>
              </w:rPr>
            </w:pPr>
            <w:r>
              <w:rPr>
                <w:rFonts w:ascii="Arial" w:cs="Arial" w:eastAsia="Arial" w:hAnsi="Arial"/>
                <w:sz w:val="13"/>
                <w:szCs w:val="13"/>
                <w:b w:val="1"/>
                <w:bCs w:val="1"/>
                <w:color w:val="355889"/>
              </w:rPr>
              <w:t>Volume (in millions)</w:t>
            </w:r>
          </w:p>
        </w:tc>
        <w:tc>
          <w:tcPr>
            <w:tcW w:w="1340" w:type="dxa"/>
            <w:vAlign w:val="bottom"/>
          </w:tcPr>
          <w:p>
            <w:pPr>
              <w:ind w:left="140"/>
              <w:spacing w:after="0"/>
              <w:rPr>
                <w:sz w:val="20"/>
                <w:szCs w:val="20"/>
                <w:color w:val="auto"/>
              </w:rPr>
            </w:pPr>
            <w:r>
              <w:rPr>
                <w:rFonts w:ascii="Arial" w:cs="Arial" w:eastAsia="Arial" w:hAnsi="Arial"/>
                <w:sz w:val="13"/>
                <w:szCs w:val="13"/>
                <w:b w:val="1"/>
                <w:bCs w:val="1"/>
                <w:color w:val="355889"/>
              </w:rPr>
              <w:t>Amount Initially</w:t>
            </w:r>
          </w:p>
        </w:tc>
      </w:tr>
      <w:tr>
        <w:trPr>
          <w:trHeight w:val="165"/>
        </w:trPr>
        <w:tc>
          <w:tcPr>
            <w:tcW w:w="2020" w:type="dxa"/>
            <w:vAlign w:val="bottom"/>
            <w:tcBorders>
              <w:bottom w:val="single" w:sz="8" w:color="8797B7"/>
            </w:tcBorders>
          </w:tcPr>
          <w:p>
            <w:pPr>
              <w:spacing w:after="0"/>
              <w:rPr>
                <w:sz w:val="20"/>
                <w:szCs w:val="20"/>
                <w:color w:val="auto"/>
              </w:rPr>
            </w:pPr>
            <w:r>
              <w:rPr>
                <w:rFonts w:ascii="Arial" w:cs="Arial" w:eastAsia="Arial" w:hAnsi="Arial"/>
                <w:sz w:val="13"/>
                <w:szCs w:val="13"/>
                <w:b w:val="1"/>
                <w:bCs w:val="1"/>
                <w:color w:val="auto"/>
              </w:rPr>
              <w:t>Level</w:t>
            </w:r>
          </w:p>
        </w:tc>
        <w:tc>
          <w:tcPr>
            <w:tcW w:w="2940" w:type="dxa"/>
            <w:vAlign w:val="bottom"/>
            <w:tcBorders>
              <w:bottom w:val="single" w:sz="8" w:color="8797B7"/>
            </w:tcBorders>
          </w:tcPr>
          <w:p>
            <w:pPr>
              <w:ind w:left="1240"/>
              <w:spacing w:after="0"/>
              <w:rPr>
                <w:sz w:val="20"/>
                <w:szCs w:val="20"/>
                <w:color w:val="auto"/>
              </w:rPr>
            </w:pPr>
            <w:r>
              <w:rPr>
                <w:rFonts w:ascii="Arial" w:cs="Arial" w:eastAsia="Arial" w:hAnsi="Arial"/>
                <w:sz w:val="13"/>
                <w:szCs w:val="13"/>
                <w:b w:val="1"/>
                <w:bCs w:val="1"/>
                <w:color w:val="355889"/>
              </w:rPr>
              <w:t>(25% wgt.)</w:t>
            </w:r>
          </w:p>
        </w:tc>
        <w:tc>
          <w:tcPr>
            <w:tcW w:w="1180" w:type="dxa"/>
            <w:vAlign w:val="bottom"/>
            <w:tcBorders>
              <w:bottom w:val="single" w:sz="8" w:color="8797B7"/>
            </w:tcBorders>
          </w:tcPr>
          <w:p>
            <w:pPr>
              <w:ind w:left="120"/>
              <w:spacing w:after="0"/>
              <w:rPr>
                <w:sz w:val="20"/>
                <w:szCs w:val="20"/>
                <w:color w:val="auto"/>
              </w:rPr>
            </w:pPr>
            <w:r>
              <w:rPr>
                <w:rFonts w:ascii="Arial" w:cs="Arial" w:eastAsia="Arial" w:hAnsi="Arial"/>
                <w:sz w:val="13"/>
                <w:szCs w:val="13"/>
                <w:b w:val="1"/>
                <w:bCs w:val="1"/>
                <w:color w:val="355889"/>
              </w:rPr>
              <w:t>(25% wgt.)</w:t>
            </w:r>
          </w:p>
        </w:tc>
        <w:tc>
          <w:tcPr>
            <w:tcW w:w="1520" w:type="dxa"/>
            <w:vAlign w:val="bottom"/>
            <w:tcBorders>
              <w:bottom w:val="single" w:sz="8" w:color="8797B7"/>
            </w:tcBorders>
          </w:tcPr>
          <w:p>
            <w:pPr>
              <w:ind w:left="140"/>
              <w:spacing w:after="0"/>
              <w:rPr>
                <w:sz w:val="20"/>
                <w:szCs w:val="20"/>
                <w:color w:val="auto"/>
              </w:rPr>
            </w:pPr>
            <w:r>
              <w:rPr>
                <w:rFonts w:ascii="Arial" w:cs="Arial" w:eastAsia="Arial" w:hAnsi="Arial"/>
                <w:sz w:val="13"/>
                <w:szCs w:val="13"/>
                <w:b w:val="1"/>
                <w:bCs w:val="1"/>
                <w:color w:val="355889"/>
              </w:rPr>
              <w:t>(25% wgt.)</w:t>
            </w:r>
          </w:p>
        </w:tc>
        <w:tc>
          <w:tcPr>
            <w:tcW w:w="1920" w:type="dxa"/>
            <w:vAlign w:val="bottom"/>
            <w:tcBorders>
              <w:bottom w:val="single" w:sz="8" w:color="8797B7"/>
            </w:tcBorders>
          </w:tcPr>
          <w:p>
            <w:pPr>
              <w:ind w:left="140"/>
              <w:spacing w:after="0"/>
              <w:rPr>
                <w:sz w:val="20"/>
                <w:szCs w:val="20"/>
                <w:color w:val="auto"/>
              </w:rPr>
            </w:pPr>
            <w:r>
              <w:rPr>
                <w:rFonts w:ascii="Arial" w:cs="Arial" w:eastAsia="Arial" w:hAnsi="Arial"/>
                <w:sz w:val="13"/>
                <w:szCs w:val="13"/>
                <w:b w:val="1"/>
                <w:bCs w:val="1"/>
                <w:color w:val="355889"/>
              </w:rPr>
              <w:t>(25% wgt.)</w:t>
            </w:r>
          </w:p>
        </w:tc>
        <w:tc>
          <w:tcPr>
            <w:tcW w:w="1340" w:type="dxa"/>
            <w:vAlign w:val="bottom"/>
            <w:tcBorders>
              <w:bottom w:val="single" w:sz="8" w:color="8797B7"/>
            </w:tcBorders>
          </w:tcPr>
          <w:p>
            <w:pPr>
              <w:ind w:left="140"/>
              <w:spacing w:after="0"/>
              <w:rPr>
                <w:sz w:val="20"/>
                <w:szCs w:val="20"/>
                <w:color w:val="auto"/>
              </w:rPr>
            </w:pPr>
            <w:r>
              <w:rPr>
                <w:rFonts w:ascii="Arial" w:cs="Arial" w:eastAsia="Arial" w:hAnsi="Arial"/>
                <w:sz w:val="13"/>
                <w:szCs w:val="13"/>
                <w:b w:val="1"/>
                <w:bCs w:val="1"/>
                <w:color w:val="355889"/>
              </w:rPr>
              <w:t>Earned</w:t>
            </w:r>
          </w:p>
        </w:tc>
      </w:tr>
      <w:tr>
        <w:trPr>
          <w:trHeight w:val="270"/>
        </w:trPr>
        <w:tc>
          <w:tcPr>
            <w:tcW w:w="202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Threshold</w:t>
            </w:r>
          </w:p>
        </w:tc>
        <w:tc>
          <w:tcPr>
            <w:tcW w:w="2940" w:type="dxa"/>
            <w:vAlign w:val="bottom"/>
            <w:tcBorders>
              <w:bottom w:val="single" w:sz="8" w:color="8797B7"/>
            </w:tcBorders>
          </w:tcPr>
          <w:p>
            <w:pPr>
              <w:ind w:left="1240"/>
              <w:spacing w:after="0"/>
              <w:rPr>
                <w:sz w:val="20"/>
                <w:szCs w:val="20"/>
                <w:color w:val="auto"/>
              </w:rPr>
            </w:pPr>
            <w:r>
              <w:rPr>
                <w:rFonts w:ascii="Arial" w:cs="Arial" w:eastAsia="Arial" w:hAnsi="Arial"/>
                <w:sz w:val="18"/>
                <w:szCs w:val="18"/>
                <w:color w:val="auto"/>
              </w:rPr>
              <w:t>$385</w:t>
            </w:r>
          </w:p>
        </w:tc>
        <w:tc>
          <w:tcPr>
            <w:tcW w:w="1180" w:type="dxa"/>
            <w:vAlign w:val="bottom"/>
            <w:tcBorders>
              <w:bottom w:val="single" w:sz="8" w:color="8797B7"/>
            </w:tcBorders>
          </w:tcPr>
          <w:p>
            <w:pPr>
              <w:ind w:left="120"/>
              <w:spacing w:after="0"/>
              <w:rPr>
                <w:sz w:val="20"/>
                <w:szCs w:val="20"/>
                <w:color w:val="auto"/>
              </w:rPr>
            </w:pPr>
            <w:r>
              <w:rPr>
                <w:rFonts w:ascii="Arial" w:cs="Arial" w:eastAsia="Arial" w:hAnsi="Arial"/>
                <w:sz w:val="18"/>
                <w:szCs w:val="18"/>
                <w:color w:val="auto"/>
              </w:rPr>
              <w:t>7.50x</w:t>
            </w:r>
          </w:p>
        </w:tc>
        <w:tc>
          <w:tcPr>
            <w:tcW w:w="1520" w:type="dxa"/>
            <w:vAlign w:val="bottom"/>
            <w:tcBorders>
              <w:bottom w:val="single" w:sz="8" w:color="8797B7"/>
            </w:tcBorders>
          </w:tcPr>
          <w:p>
            <w:pPr>
              <w:ind w:left="140"/>
              <w:spacing w:after="0"/>
              <w:rPr>
                <w:sz w:val="20"/>
                <w:szCs w:val="20"/>
                <w:color w:val="auto"/>
              </w:rPr>
            </w:pPr>
            <w:r>
              <w:rPr>
                <w:rFonts w:ascii="Arial" w:cs="Arial" w:eastAsia="Arial" w:hAnsi="Arial"/>
                <w:sz w:val="18"/>
                <w:szCs w:val="18"/>
                <w:color w:val="auto"/>
              </w:rPr>
              <w:t>95.75%</w:t>
            </w:r>
          </w:p>
        </w:tc>
        <w:tc>
          <w:tcPr>
            <w:tcW w:w="1920" w:type="dxa"/>
            <w:vAlign w:val="bottom"/>
            <w:tcBorders>
              <w:bottom w:val="single" w:sz="8" w:color="8797B7"/>
            </w:tcBorders>
          </w:tcPr>
          <w:p>
            <w:pPr>
              <w:ind w:left="140"/>
              <w:spacing w:after="0"/>
              <w:rPr>
                <w:sz w:val="20"/>
                <w:szCs w:val="20"/>
                <w:color w:val="auto"/>
              </w:rPr>
            </w:pPr>
            <w:r>
              <w:rPr>
                <w:rFonts w:ascii="Arial" w:cs="Arial" w:eastAsia="Arial" w:hAnsi="Arial"/>
                <w:sz w:val="18"/>
                <w:szCs w:val="18"/>
                <w:color w:val="auto"/>
              </w:rPr>
              <w:t>1.0 square feet</w:t>
            </w:r>
          </w:p>
        </w:tc>
        <w:tc>
          <w:tcPr>
            <w:tcW w:w="1340" w:type="dxa"/>
            <w:vAlign w:val="bottom"/>
            <w:tcBorders>
              <w:bottom w:val="single" w:sz="8" w:color="8797B7"/>
            </w:tcBorders>
          </w:tcPr>
          <w:p>
            <w:pPr>
              <w:ind w:left="140"/>
              <w:spacing w:after="0"/>
              <w:rPr>
                <w:sz w:val="20"/>
                <w:szCs w:val="20"/>
                <w:color w:val="auto"/>
              </w:rPr>
            </w:pPr>
            <w:r>
              <w:rPr>
                <w:rFonts w:ascii="Arial" w:cs="Arial" w:eastAsia="Arial" w:hAnsi="Arial"/>
                <w:sz w:val="18"/>
                <w:szCs w:val="18"/>
                <w:color w:val="auto"/>
              </w:rPr>
              <w:t>50%</w:t>
            </w:r>
          </w:p>
        </w:tc>
      </w:tr>
      <w:tr>
        <w:trPr>
          <w:trHeight w:val="277"/>
        </w:trPr>
        <w:tc>
          <w:tcPr>
            <w:tcW w:w="202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Target</w:t>
            </w:r>
          </w:p>
        </w:tc>
        <w:tc>
          <w:tcPr>
            <w:tcW w:w="2940" w:type="dxa"/>
            <w:vAlign w:val="bottom"/>
            <w:tcBorders>
              <w:bottom w:val="single" w:sz="8" w:color="8797B7"/>
            </w:tcBorders>
          </w:tcPr>
          <w:p>
            <w:pPr>
              <w:ind w:left="1240"/>
              <w:spacing w:after="0"/>
              <w:rPr>
                <w:sz w:val="20"/>
                <w:szCs w:val="20"/>
                <w:color w:val="auto"/>
              </w:rPr>
            </w:pPr>
            <w:r>
              <w:rPr>
                <w:rFonts w:ascii="Arial" w:cs="Arial" w:eastAsia="Arial" w:hAnsi="Arial"/>
                <w:sz w:val="18"/>
                <w:szCs w:val="18"/>
                <w:color w:val="auto"/>
              </w:rPr>
              <w:t>$400</w:t>
            </w:r>
          </w:p>
        </w:tc>
        <w:tc>
          <w:tcPr>
            <w:tcW w:w="1180" w:type="dxa"/>
            <w:vAlign w:val="bottom"/>
            <w:tcBorders>
              <w:bottom w:val="single" w:sz="8" w:color="8797B7"/>
            </w:tcBorders>
          </w:tcPr>
          <w:p>
            <w:pPr>
              <w:ind w:left="120"/>
              <w:spacing w:after="0"/>
              <w:rPr>
                <w:sz w:val="20"/>
                <w:szCs w:val="20"/>
                <w:color w:val="auto"/>
              </w:rPr>
            </w:pPr>
            <w:r>
              <w:rPr>
                <w:rFonts w:ascii="Arial" w:cs="Arial" w:eastAsia="Arial" w:hAnsi="Arial"/>
                <w:sz w:val="18"/>
                <w:szCs w:val="18"/>
                <w:color w:val="auto"/>
              </w:rPr>
              <w:t>7.25x</w:t>
            </w:r>
          </w:p>
        </w:tc>
        <w:tc>
          <w:tcPr>
            <w:tcW w:w="1520" w:type="dxa"/>
            <w:vAlign w:val="bottom"/>
            <w:tcBorders>
              <w:bottom w:val="single" w:sz="8" w:color="8797B7"/>
            </w:tcBorders>
          </w:tcPr>
          <w:p>
            <w:pPr>
              <w:ind w:left="140"/>
              <w:spacing w:after="0"/>
              <w:rPr>
                <w:sz w:val="20"/>
                <w:szCs w:val="20"/>
                <w:color w:val="auto"/>
              </w:rPr>
            </w:pPr>
            <w:r>
              <w:rPr>
                <w:rFonts w:ascii="Arial" w:cs="Arial" w:eastAsia="Arial" w:hAnsi="Arial"/>
                <w:sz w:val="18"/>
                <w:szCs w:val="18"/>
                <w:color w:val="auto"/>
              </w:rPr>
              <w:t>96.00%</w:t>
            </w:r>
          </w:p>
        </w:tc>
        <w:tc>
          <w:tcPr>
            <w:tcW w:w="1920" w:type="dxa"/>
            <w:vAlign w:val="bottom"/>
            <w:tcBorders>
              <w:bottom w:val="single" w:sz="8" w:color="8797B7"/>
            </w:tcBorders>
          </w:tcPr>
          <w:p>
            <w:pPr>
              <w:ind w:left="140"/>
              <w:spacing w:after="0"/>
              <w:rPr>
                <w:sz w:val="20"/>
                <w:szCs w:val="20"/>
                <w:color w:val="auto"/>
              </w:rPr>
            </w:pPr>
            <w:r>
              <w:rPr>
                <w:rFonts w:ascii="Arial" w:cs="Arial" w:eastAsia="Arial" w:hAnsi="Arial"/>
                <w:sz w:val="18"/>
                <w:szCs w:val="18"/>
                <w:color w:val="auto"/>
              </w:rPr>
              <w:t>1.2 square feet</w:t>
            </w:r>
          </w:p>
        </w:tc>
        <w:tc>
          <w:tcPr>
            <w:tcW w:w="1340" w:type="dxa"/>
            <w:vAlign w:val="bottom"/>
            <w:tcBorders>
              <w:bottom w:val="single" w:sz="8" w:color="8797B7"/>
            </w:tcBorders>
          </w:tcPr>
          <w:p>
            <w:pPr>
              <w:ind w:left="140"/>
              <w:spacing w:after="0"/>
              <w:rPr>
                <w:sz w:val="20"/>
                <w:szCs w:val="20"/>
                <w:color w:val="auto"/>
              </w:rPr>
            </w:pPr>
            <w:r>
              <w:rPr>
                <w:rFonts w:ascii="Arial" w:cs="Arial" w:eastAsia="Arial" w:hAnsi="Arial"/>
                <w:sz w:val="18"/>
                <w:szCs w:val="18"/>
                <w:color w:val="auto"/>
              </w:rPr>
              <w:t>100%</w:t>
            </w:r>
          </w:p>
        </w:tc>
      </w:tr>
      <w:tr>
        <w:trPr>
          <w:trHeight w:val="277"/>
        </w:trPr>
        <w:tc>
          <w:tcPr>
            <w:tcW w:w="202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Maximum</w:t>
            </w:r>
          </w:p>
        </w:tc>
        <w:tc>
          <w:tcPr>
            <w:tcW w:w="2940" w:type="dxa"/>
            <w:vAlign w:val="bottom"/>
            <w:tcBorders>
              <w:bottom w:val="single" w:sz="8" w:color="8797B7"/>
            </w:tcBorders>
          </w:tcPr>
          <w:p>
            <w:pPr>
              <w:ind w:left="1240"/>
              <w:spacing w:after="0"/>
              <w:rPr>
                <w:sz w:val="20"/>
                <w:szCs w:val="20"/>
                <w:color w:val="auto"/>
              </w:rPr>
            </w:pPr>
            <w:r>
              <w:rPr>
                <w:rFonts w:ascii="Arial" w:cs="Arial" w:eastAsia="Arial" w:hAnsi="Arial"/>
                <w:sz w:val="18"/>
                <w:szCs w:val="18"/>
                <w:color w:val="auto"/>
              </w:rPr>
              <w:t>≥$415</w:t>
            </w:r>
          </w:p>
        </w:tc>
        <w:tc>
          <w:tcPr>
            <w:tcW w:w="1180" w:type="dxa"/>
            <w:vAlign w:val="bottom"/>
            <w:tcBorders>
              <w:bottom w:val="single" w:sz="8" w:color="8797B7"/>
            </w:tcBorders>
          </w:tcPr>
          <w:p>
            <w:pPr>
              <w:ind w:left="120"/>
              <w:spacing w:after="0"/>
              <w:rPr>
                <w:sz w:val="20"/>
                <w:szCs w:val="20"/>
                <w:color w:val="auto"/>
              </w:rPr>
            </w:pPr>
            <w:r>
              <w:rPr>
                <w:rFonts w:ascii="Arial" w:cs="Arial" w:eastAsia="Arial" w:hAnsi="Arial"/>
                <w:sz w:val="18"/>
                <w:szCs w:val="18"/>
                <w:color w:val="auto"/>
              </w:rPr>
              <w:t>≤7.00x</w:t>
            </w:r>
          </w:p>
        </w:tc>
        <w:tc>
          <w:tcPr>
            <w:tcW w:w="1520" w:type="dxa"/>
            <w:vAlign w:val="bottom"/>
            <w:tcBorders>
              <w:bottom w:val="single" w:sz="8" w:color="8797B7"/>
            </w:tcBorders>
          </w:tcPr>
          <w:p>
            <w:pPr>
              <w:ind w:left="140"/>
              <w:spacing w:after="0"/>
              <w:rPr>
                <w:sz w:val="20"/>
                <w:szCs w:val="20"/>
                <w:color w:val="auto"/>
              </w:rPr>
            </w:pPr>
            <w:r>
              <w:rPr>
                <w:rFonts w:ascii="Arial" w:cs="Arial" w:eastAsia="Arial" w:hAnsi="Arial"/>
                <w:sz w:val="18"/>
                <w:szCs w:val="18"/>
                <w:color w:val="auto"/>
              </w:rPr>
              <w:t>≥96.25%</w:t>
            </w:r>
          </w:p>
        </w:tc>
        <w:tc>
          <w:tcPr>
            <w:tcW w:w="1920" w:type="dxa"/>
            <w:vAlign w:val="bottom"/>
            <w:tcBorders>
              <w:bottom w:val="single" w:sz="8" w:color="8797B7"/>
            </w:tcBorders>
          </w:tcPr>
          <w:p>
            <w:pPr>
              <w:ind w:left="140"/>
              <w:spacing w:after="0"/>
              <w:rPr>
                <w:sz w:val="20"/>
                <w:szCs w:val="20"/>
                <w:color w:val="auto"/>
              </w:rPr>
            </w:pPr>
            <w:r>
              <w:rPr>
                <w:rFonts w:ascii="Arial" w:cs="Arial" w:eastAsia="Arial" w:hAnsi="Arial"/>
                <w:sz w:val="18"/>
                <w:szCs w:val="18"/>
                <w:color w:val="auto"/>
              </w:rPr>
              <w:t>≥1.5 square feet</w:t>
            </w:r>
          </w:p>
        </w:tc>
        <w:tc>
          <w:tcPr>
            <w:tcW w:w="1340" w:type="dxa"/>
            <w:vAlign w:val="bottom"/>
            <w:tcBorders>
              <w:bottom w:val="single" w:sz="8" w:color="8797B7"/>
            </w:tcBorders>
          </w:tcPr>
          <w:p>
            <w:pPr>
              <w:ind w:left="140"/>
              <w:spacing w:after="0"/>
              <w:rPr>
                <w:sz w:val="20"/>
                <w:szCs w:val="20"/>
                <w:color w:val="auto"/>
              </w:rPr>
            </w:pPr>
            <w:r>
              <w:rPr>
                <w:rFonts w:ascii="Arial" w:cs="Arial" w:eastAsia="Arial" w:hAnsi="Arial"/>
                <w:sz w:val="18"/>
                <w:szCs w:val="18"/>
                <w:color w:val="auto"/>
              </w:rPr>
              <w:t>200%</w:t>
            </w:r>
          </w:p>
        </w:tc>
      </w:tr>
    </w:tbl>
    <w:p>
      <w:pPr>
        <w:spacing w:after="0" w:line="215" w:lineRule="exact"/>
        <w:rPr>
          <w:sz w:val="20"/>
          <w:szCs w:val="20"/>
          <w:color w:val="auto"/>
        </w:rPr>
      </w:pPr>
    </w:p>
    <w:p>
      <w:pPr>
        <w:ind w:left="320" w:right="80"/>
        <w:spacing w:after="0" w:line="258" w:lineRule="auto"/>
        <w:rPr>
          <w:sz w:val="20"/>
          <w:szCs w:val="20"/>
          <w:color w:val="auto"/>
        </w:rPr>
      </w:pPr>
      <w:r>
        <w:rPr>
          <w:rFonts w:ascii="Arial" w:cs="Arial" w:eastAsia="Arial" w:hAnsi="Arial"/>
          <w:sz w:val="13"/>
          <w:szCs w:val="13"/>
          <w:color w:val="auto"/>
        </w:rPr>
        <w:t>The number of LTIP units initially earned based on the foregoing operating performance metrics is subject to a further modifier upwards by up to 12.5% if our absolute TSR is equal to or greater than 7.5% over a three-year period ending December 31, 2021, or downwards by 12.5% if our absolute TSR is 3.5% or below over such period.</w:t>
      </w:r>
    </w:p>
    <w:p>
      <w:pPr>
        <w:spacing w:after="0" w:line="192" w:lineRule="exact"/>
        <w:rPr>
          <w:sz w:val="20"/>
          <w:szCs w:val="20"/>
          <w:color w:val="auto"/>
        </w:rPr>
      </w:pPr>
    </w:p>
    <w:p>
      <w:pPr>
        <w:ind w:left="320" w:right="40"/>
        <w:spacing w:after="0" w:line="245" w:lineRule="auto"/>
        <w:rPr>
          <w:sz w:val="20"/>
          <w:szCs w:val="20"/>
          <w:color w:val="auto"/>
        </w:rPr>
      </w:pPr>
      <w:r>
        <w:rPr>
          <w:rFonts w:ascii="Arial" w:cs="Arial" w:eastAsia="Arial" w:hAnsi="Arial"/>
          <w:sz w:val="13"/>
          <w:szCs w:val="13"/>
          <w:color w:val="auto"/>
        </w:rPr>
        <w:t>The remaining one-half of the LTIP units are eligible to be earned based on the Company’s relative TSR over a three-year period beginning January 1, 2019 and ending December 31, 2021, with 50-225% of such LTIP units eligible to be earned upon the achievement of relative TSR in the top 67-33% of the SNL Office REIT Index. “Threshold” performance equals relative TSR in the top 67% of the SNL Office REIT Index. “Target” performance equals relative TSR in the top 50% of the SNL Office REIT Index. “Maximum” performance equals relative TSR in the top 33% of the SNL Office REIT Index. None of these LTIP units will vest if threshold performance of the relative performance hurdle is not achieved.</w:t>
      </w:r>
    </w:p>
    <w:p>
      <w:pPr>
        <w:spacing w:after="0" w:line="203"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2020 Proxy Statement </w:t>
      </w:r>
      <w:r>
        <w:rPr>
          <w:rFonts w:ascii="Arial" w:cs="Arial" w:eastAsia="Arial" w:hAnsi="Arial"/>
          <w:sz w:val="16"/>
          <w:szCs w:val="16"/>
          <w:color w:val="355889"/>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EXECUTIVE COMPENSATION</w:t>
      </w:r>
    </w:p>
    <w:p>
      <w:pPr>
        <w:spacing w:after="0" w:line="208" w:lineRule="exact"/>
        <w:rPr>
          <w:sz w:val="20"/>
          <w:szCs w:val="20"/>
          <w:color w:val="auto"/>
        </w:rPr>
      </w:pPr>
    </w:p>
    <w:p>
      <w:pPr>
        <w:ind w:left="320"/>
        <w:spacing w:after="0" w:line="243" w:lineRule="auto"/>
        <w:rPr>
          <w:sz w:val="20"/>
          <w:szCs w:val="20"/>
          <w:color w:val="auto"/>
        </w:rPr>
      </w:pPr>
      <w:r>
        <w:rPr>
          <w:rFonts w:ascii="Arial" w:cs="Arial" w:eastAsia="Arial" w:hAnsi="Arial"/>
          <w:sz w:val="13"/>
          <w:szCs w:val="13"/>
          <w:color w:val="auto"/>
        </w:rPr>
        <w:t>The amount shown in the “Threshold” column of the 2019 Grants of Plan-Based Awards table reflects the total number of LTIP units that would be earned at threshold performance with respect to both the operating performance metrics and the relative TSR metric, after giving effect to the maximum downward modifier. The amount shown in the “Maximum” column reflects the total number of LTIP units that would be earned at maximum performance with respect to both the operating performance metrics and the relative TSR metric, after giving effect to the maximum upward modifier. See “—Compensation Discussion and Analysis—2019 Pay Outcomes—2019 Performance-Based Equity Awards” for a description of these awards and the Company’s estimated performance as of December 31, 2019 and March 31, 2020.</w:t>
      </w:r>
    </w:p>
    <w:p>
      <w:pPr>
        <w:spacing w:after="0" w:line="53" w:lineRule="exact"/>
        <w:rPr>
          <w:sz w:val="20"/>
          <w:szCs w:val="20"/>
          <w:color w:val="auto"/>
        </w:rPr>
      </w:pPr>
    </w:p>
    <w:p>
      <w:pPr>
        <w:ind w:left="320" w:right="140"/>
        <w:spacing w:after="0" w:line="248" w:lineRule="auto"/>
        <w:rPr>
          <w:sz w:val="20"/>
          <w:szCs w:val="20"/>
          <w:color w:val="auto"/>
        </w:rPr>
      </w:pPr>
      <w:r>
        <w:rPr>
          <w:rFonts w:ascii="Arial" w:cs="Arial" w:eastAsia="Arial" w:hAnsi="Arial"/>
          <w:sz w:val="13"/>
          <w:szCs w:val="13"/>
          <w:color w:val="auto"/>
        </w:rPr>
        <w:t>In each case, the LTIP units deemed to be earned, if any, will vest on December 31, 2021, subject to continued employment. The LTIP units granted to Messrs. Holliday and Mathias were granted pursuant to their respective employment agreements and are subject to a two-year restriction on transfer from the vesting date. The LTIP units granted to Messrs. DiLiberto and Levine were pursuant to our 2019 annual performance-based equity award program and are subject to a one-year restriction on transfer from the vesting date.</w:t>
      </w:r>
    </w:p>
    <w:p>
      <w:pPr>
        <w:spacing w:after="0" w:line="50" w:lineRule="exact"/>
        <w:rPr>
          <w:sz w:val="20"/>
          <w:szCs w:val="20"/>
          <w:color w:val="auto"/>
        </w:rPr>
      </w:pPr>
    </w:p>
    <w:p>
      <w:pPr>
        <w:ind w:left="320" w:right="60" w:hanging="312"/>
        <w:spacing w:after="0" w:line="258" w:lineRule="auto"/>
        <w:tabs>
          <w:tab w:leader="none" w:pos="3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Represents cash payouts that were possible pursuant to the formulaic component of our annual cash bonus program for 2019. See “—Compensation Discussion and Analysis—2019 Pay Outcomes—Annual Cash Bonus (Formulaic - CEO and President)” for a description of these awards.</w:t>
      </w:r>
    </w:p>
    <w:p>
      <w:pPr>
        <w:spacing w:after="0" w:line="43" w:lineRule="exact"/>
        <w:rPr>
          <w:rFonts w:ascii="Arial" w:cs="Arial" w:eastAsia="Arial" w:hAnsi="Arial"/>
          <w:sz w:val="13"/>
          <w:szCs w:val="13"/>
          <w:color w:val="auto"/>
        </w:rPr>
      </w:pPr>
    </w:p>
    <w:p>
      <w:pPr>
        <w:ind w:left="320" w:right="480" w:hanging="312"/>
        <w:spacing w:after="0" w:line="258" w:lineRule="auto"/>
        <w:tabs>
          <w:tab w:leader="none" w:pos="3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This grant of LTIP units was awarded in connection with Mr. Levine’s employment agreement, with equal installments vesting on each of January 1, 2020, January 1, 2021 and January 1, 2022, subject to continued employment.</w:t>
      </w:r>
    </w:p>
    <w:p>
      <w:pPr>
        <w:spacing w:after="0" w:line="19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Grants of all equity awards were made pursuant to the Fourth Amended and Restated 2005 Stock Option and Incentive Plan. LTIP units that are only subject to time-based vesting based on continued employment through a specified date (and have not been forfeited) generally entitle executives to receive cash dividends, dividend equivalents or distributions whether or not then vested. LTIP units that are subject to performance-based vesting hurdles do not entitle the holder to receive distributions prior to the achievement of these hurdles. If and when performance-based vesting occurs, the holders are entitled to receive a combination of cash payments and distributions with respect to all LTIP units that are earned equal to the amounts that would have been received if the earned LTIP units had been entitled to receive full distributions from the beginning of the applicable performance period.</w:t>
      </w:r>
    </w:p>
    <w:p>
      <w:pPr>
        <w:spacing w:after="0" w:line="20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See “Potential Payments Upon Termination or Change in Control” below, for a discussion regarding potential acceleration of the equity awards and a description of the material terms of each named executive officer’s employment agreement.</w:t>
      </w:r>
    </w:p>
    <w:p>
      <w:pPr>
        <w:spacing w:after="0" w:line="209" w:lineRule="exact"/>
        <w:rPr>
          <w:sz w:val="20"/>
          <w:szCs w:val="20"/>
          <w:color w:val="auto"/>
        </w:rPr>
      </w:pPr>
    </w:p>
    <w:p>
      <w:pPr>
        <w:ind w:left="300" w:hanging="292"/>
        <w:spacing w:after="0"/>
        <w:tabs>
          <w:tab w:leader="none" w:pos="300" w:val="left"/>
        </w:tabs>
        <w:numPr>
          <w:ilvl w:val="0"/>
          <w:numId w:val="94"/>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Outstanding Equity Awards at Fiscal Year-End 2019</w:t>
      </w:r>
    </w:p>
    <w:p>
      <w:pPr>
        <w:spacing w:after="0" w:line="233"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following table sets forth certain information with respect to outstanding equity awards held by each named executive officer at the fiscal year ended December 31,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960" w:type="dxa"/>
            <w:vAlign w:val="bottom"/>
            <w:gridSpan w:val="3"/>
          </w:tcPr>
          <w:p>
            <w:pPr>
              <w:jc w:val="right"/>
              <w:ind w:right="423"/>
              <w:spacing w:after="0"/>
              <w:rPr>
                <w:sz w:val="20"/>
                <w:szCs w:val="20"/>
                <w:color w:val="auto"/>
              </w:rPr>
            </w:pPr>
            <w:r>
              <w:rPr>
                <w:rFonts w:ascii="Arial" w:cs="Arial" w:eastAsia="Arial" w:hAnsi="Arial"/>
                <w:sz w:val="13"/>
                <w:szCs w:val="13"/>
                <w:b w:val="1"/>
                <w:bCs w:val="1"/>
                <w:color w:val="355889"/>
              </w:rPr>
              <w:t>Option Awards</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right"/>
              <w:ind w:right="446"/>
              <w:spacing w:after="0"/>
              <w:rPr>
                <w:sz w:val="20"/>
                <w:szCs w:val="20"/>
                <w:color w:val="auto"/>
              </w:rPr>
            </w:pPr>
            <w:r>
              <w:rPr>
                <w:rFonts w:ascii="Arial" w:cs="Arial" w:eastAsia="Arial" w:hAnsi="Arial"/>
                <w:sz w:val="13"/>
                <w:szCs w:val="13"/>
                <w:b w:val="1"/>
                <w:bCs w:val="1"/>
                <w:color w:val="355889"/>
              </w:rPr>
              <w:t>Stock Awards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7"/>
        </w:trPr>
        <w:tc>
          <w:tcPr>
            <w:tcW w:w="2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355889"/>
              </w:rPr>
              <w:t>Equity</w:t>
            </w:r>
          </w:p>
        </w:tc>
      </w:tr>
      <w:tr>
        <w:trPr>
          <w:trHeight w:val="148"/>
        </w:trPr>
        <w:tc>
          <w:tcPr>
            <w:tcW w:w="2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355889"/>
              </w:rPr>
              <w:t>Incentive</w:t>
            </w:r>
          </w:p>
        </w:tc>
      </w:tr>
      <w:tr>
        <w:trPr>
          <w:trHeight w:val="148"/>
        </w:trPr>
        <w:tc>
          <w:tcPr>
            <w:tcW w:w="2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355889"/>
              </w:rPr>
              <w:t>Plan</w:t>
            </w:r>
          </w:p>
        </w:tc>
      </w:tr>
      <w:tr>
        <w:trPr>
          <w:trHeight w:val="149"/>
        </w:trPr>
        <w:tc>
          <w:tcPr>
            <w:tcW w:w="2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3"/>
                <w:szCs w:val="13"/>
                <w:b w:val="1"/>
                <w:bCs w:val="1"/>
                <w:color w:val="355889"/>
              </w:rPr>
              <w:t>Equity</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355889"/>
              </w:rPr>
              <w:t>Awards:</w:t>
            </w:r>
          </w:p>
        </w:tc>
      </w:tr>
      <w:tr>
        <w:trPr>
          <w:trHeight w:val="148"/>
        </w:trPr>
        <w:tc>
          <w:tcPr>
            <w:tcW w:w="2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3"/>
                <w:szCs w:val="13"/>
                <w:b w:val="1"/>
                <w:bCs w:val="1"/>
                <w:color w:val="355889"/>
              </w:rPr>
              <w:t>Incentive</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355889"/>
              </w:rPr>
              <w:t>Market</w:t>
            </w:r>
          </w:p>
        </w:tc>
      </w:tr>
      <w:tr>
        <w:trPr>
          <w:trHeight w:val="148"/>
        </w:trPr>
        <w:tc>
          <w:tcPr>
            <w:tcW w:w="2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3"/>
                <w:szCs w:val="13"/>
                <w:b w:val="1"/>
                <w:bCs w:val="1"/>
                <w:color w:val="355889"/>
              </w:rPr>
              <w:t>Plan Awards:</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355889"/>
              </w:rPr>
              <w:t>or Payout</w:t>
            </w:r>
          </w:p>
        </w:tc>
      </w:tr>
      <w:tr>
        <w:trPr>
          <w:trHeight w:val="148"/>
        </w:trPr>
        <w:tc>
          <w:tcPr>
            <w:tcW w:w="2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3"/>
                <w:szCs w:val="13"/>
                <w:b w:val="1"/>
                <w:bCs w:val="1"/>
                <w:color w:val="355889"/>
              </w:rPr>
              <w:t>Number of</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355889"/>
              </w:rPr>
              <w:t>Value of</w:t>
            </w:r>
          </w:p>
        </w:tc>
      </w:tr>
      <w:tr>
        <w:trPr>
          <w:trHeight w:val="148"/>
        </w:trPr>
        <w:tc>
          <w:tcPr>
            <w:tcW w:w="2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5"/>
              <w:spacing w:after="0"/>
              <w:rPr>
                <w:sz w:val="20"/>
                <w:szCs w:val="20"/>
                <w:color w:val="auto"/>
              </w:rPr>
            </w:pPr>
            <w:r>
              <w:rPr>
                <w:rFonts w:ascii="Arial" w:cs="Arial" w:eastAsia="Arial" w:hAnsi="Arial"/>
                <w:sz w:val="13"/>
                <w:szCs w:val="13"/>
                <w:b w:val="1"/>
                <w:bCs w:val="1"/>
                <w:color w:val="355889"/>
              </w:rPr>
              <w:t>Market</w:t>
            </w:r>
          </w:p>
        </w:tc>
        <w:tc>
          <w:tcPr>
            <w:tcW w:w="1020" w:type="dxa"/>
            <w:vAlign w:val="bottom"/>
          </w:tcPr>
          <w:p>
            <w:pPr>
              <w:jc w:val="right"/>
              <w:ind w:right="6"/>
              <w:spacing w:after="0"/>
              <w:rPr>
                <w:sz w:val="20"/>
                <w:szCs w:val="20"/>
                <w:color w:val="auto"/>
              </w:rPr>
            </w:pPr>
            <w:r>
              <w:rPr>
                <w:rFonts w:ascii="Arial" w:cs="Arial" w:eastAsia="Arial" w:hAnsi="Arial"/>
                <w:sz w:val="13"/>
                <w:szCs w:val="13"/>
                <w:b w:val="1"/>
                <w:bCs w:val="1"/>
                <w:color w:val="355889"/>
              </w:rPr>
              <w:t>Unearned</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355889"/>
              </w:rPr>
              <w:t>Unearned</w:t>
            </w:r>
          </w:p>
        </w:tc>
      </w:tr>
      <w:tr>
        <w:trPr>
          <w:trHeight w:val="179"/>
        </w:trPr>
        <w:tc>
          <w:tcPr>
            <w:tcW w:w="2360" w:type="dxa"/>
            <w:vAlign w:val="bottom"/>
          </w:tcPr>
          <w:p>
            <w:pPr>
              <w:spacing w:after="0"/>
              <w:rPr>
                <w:sz w:val="15"/>
                <w:szCs w:val="15"/>
                <w:color w:val="auto"/>
              </w:rPr>
            </w:pPr>
          </w:p>
        </w:tc>
        <w:tc>
          <w:tcPr>
            <w:tcW w:w="1760" w:type="dxa"/>
            <w:vAlign w:val="bottom"/>
          </w:tcPr>
          <w:p>
            <w:pPr>
              <w:jc w:val="right"/>
              <w:ind w:right="4"/>
              <w:spacing w:after="0"/>
              <w:rPr>
                <w:sz w:val="20"/>
                <w:szCs w:val="20"/>
                <w:color w:val="auto"/>
              </w:rPr>
            </w:pPr>
            <w:r>
              <w:rPr>
                <w:rFonts w:ascii="Arial" w:cs="Arial" w:eastAsia="Arial" w:hAnsi="Arial"/>
                <w:sz w:val="13"/>
                <w:szCs w:val="13"/>
                <w:b w:val="1"/>
                <w:bCs w:val="1"/>
                <w:color w:val="355889"/>
              </w:rPr>
              <w:t>Number of</w:t>
            </w:r>
          </w:p>
        </w:tc>
        <w:tc>
          <w:tcPr>
            <w:tcW w:w="1080" w:type="dxa"/>
            <w:vAlign w:val="bottom"/>
          </w:tcPr>
          <w:p>
            <w:pPr>
              <w:jc w:val="right"/>
              <w:ind w:right="5"/>
              <w:spacing w:after="0"/>
              <w:rPr>
                <w:sz w:val="20"/>
                <w:szCs w:val="20"/>
                <w:color w:val="auto"/>
              </w:rPr>
            </w:pPr>
            <w:r>
              <w:rPr>
                <w:rFonts w:ascii="Arial" w:cs="Arial" w:eastAsia="Arial" w:hAnsi="Arial"/>
                <w:sz w:val="13"/>
                <w:szCs w:val="13"/>
                <w:b w:val="1"/>
                <w:bCs w:val="1"/>
                <w:color w:val="355889"/>
              </w:rPr>
              <w:t>Number of</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Arial" w:cs="Arial" w:eastAsia="Arial" w:hAnsi="Arial"/>
                <w:sz w:val="13"/>
                <w:szCs w:val="13"/>
                <w:b w:val="1"/>
                <w:bCs w:val="1"/>
                <w:color w:val="355889"/>
              </w:rPr>
              <w:t>Number</w:t>
            </w:r>
          </w:p>
        </w:tc>
        <w:tc>
          <w:tcPr>
            <w:tcW w:w="2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Arial" w:cs="Arial" w:eastAsia="Arial" w:hAnsi="Arial"/>
                <w:sz w:val="13"/>
                <w:szCs w:val="13"/>
                <w:b w:val="1"/>
                <w:bCs w:val="1"/>
                <w:color w:val="355889"/>
              </w:rPr>
              <w:t>Value of</w:t>
            </w:r>
          </w:p>
        </w:tc>
        <w:tc>
          <w:tcPr>
            <w:tcW w:w="1020" w:type="dxa"/>
            <w:vAlign w:val="bottom"/>
          </w:tcPr>
          <w:p>
            <w:pPr>
              <w:jc w:val="right"/>
              <w:ind w:right="6"/>
              <w:spacing w:after="0"/>
              <w:rPr>
                <w:sz w:val="20"/>
                <w:szCs w:val="20"/>
                <w:color w:val="auto"/>
              </w:rPr>
            </w:pPr>
            <w:r>
              <w:rPr>
                <w:rFonts w:ascii="Arial" w:cs="Arial" w:eastAsia="Arial" w:hAnsi="Arial"/>
                <w:sz w:val="13"/>
                <w:szCs w:val="13"/>
                <w:b w:val="1"/>
                <w:bCs w:val="1"/>
                <w:color w:val="355889"/>
              </w:rPr>
              <w:t>Shares, Units</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355889"/>
              </w:rPr>
              <w:t>Shares</w:t>
            </w:r>
          </w:p>
        </w:tc>
      </w:tr>
      <w:tr>
        <w:trPr>
          <w:trHeight w:val="148"/>
        </w:trPr>
        <w:tc>
          <w:tcPr>
            <w:tcW w:w="2360" w:type="dxa"/>
            <w:vAlign w:val="bottom"/>
          </w:tcPr>
          <w:p>
            <w:pPr>
              <w:spacing w:after="0"/>
              <w:rPr>
                <w:sz w:val="12"/>
                <w:szCs w:val="12"/>
                <w:color w:val="auto"/>
              </w:rPr>
            </w:pPr>
          </w:p>
        </w:tc>
        <w:tc>
          <w:tcPr>
            <w:tcW w:w="1760" w:type="dxa"/>
            <w:vAlign w:val="bottom"/>
          </w:tcPr>
          <w:p>
            <w:pPr>
              <w:jc w:val="right"/>
              <w:ind w:right="4"/>
              <w:spacing w:after="0"/>
              <w:rPr>
                <w:sz w:val="20"/>
                <w:szCs w:val="20"/>
                <w:color w:val="auto"/>
              </w:rPr>
            </w:pPr>
            <w:r>
              <w:rPr>
                <w:rFonts w:ascii="Arial" w:cs="Arial" w:eastAsia="Arial" w:hAnsi="Arial"/>
                <w:sz w:val="13"/>
                <w:szCs w:val="13"/>
                <w:b w:val="1"/>
                <w:bCs w:val="1"/>
                <w:color w:val="355889"/>
              </w:rPr>
              <w:t>Securities</w:t>
            </w:r>
          </w:p>
        </w:tc>
        <w:tc>
          <w:tcPr>
            <w:tcW w:w="1080" w:type="dxa"/>
            <w:vAlign w:val="bottom"/>
          </w:tcPr>
          <w:p>
            <w:pPr>
              <w:jc w:val="right"/>
              <w:ind w:right="5"/>
              <w:spacing w:after="0"/>
              <w:rPr>
                <w:sz w:val="20"/>
                <w:szCs w:val="20"/>
                <w:color w:val="auto"/>
              </w:rPr>
            </w:pPr>
            <w:r>
              <w:rPr>
                <w:rFonts w:ascii="Arial" w:cs="Arial" w:eastAsia="Arial" w:hAnsi="Arial"/>
                <w:sz w:val="13"/>
                <w:szCs w:val="13"/>
                <w:b w:val="1"/>
                <w:bCs w:val="1"/>
                <w:color w:val="355889"/>
              </w:rPr>
              <w:t>Securities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jc w:val="right"/>
              <w:ind w:right="4"/>
              <w:spacing w:after="0"/>
              <w:rPr>
                <w:sz w:val="20"/>
                <w:szCs w:val="20"/>
                <w:color w:val="auto"/>
              </w:rPr>
            </w:pPr>
            <w:r>
              <w:rPr>
                <w:rFonts w:ascii="Arial" w:cs="Arial" w:eastAsia="Arial" w:hAnsi="Arial"/>
                <w:sz w:val="13"/>
                <w:szCs w:val="13"/>
                <w:b w:val="1"/>
                <w:bCs w:val="1"/>
                <w:color w:val="355889"/>
              </w:rPr>
              <w:t>of Shares</w:t>
            </w:r>
          </w:p>
        </w:tc>
        <w:tc>
          <w:tcPr>
            <w:tcW w:w="260" w:type="dxa"/>
            <w:vAlign w:val="bottom"/>
          </w:tcPr>
          <w:p>
            <w:pPr>
              <w:spacing w:after="0"/>
              <w:rPr>
                <w:sz w:val="12"/>
                <w:szCs w:val="12"/>
                <w:color w:val="auto"/>
              </w:rPr>
            </w:pPr>
          </w:p>
        </w:tc>
        <w:tc>
          <w:tcPr>
            <w:tcW w:w="900" w:type="dxa"/>
            <w:vAlign w:val="bottom"/>
          </w:tcPr>
          <w:p>
            <w:pPr>
              <w:jc w:val="right"/>
              <w:ind w:right="5"/>
              <w:spacing w:after="0"/>
              <w:rPr>
                <w:sz w:val="20"/>
                <w:szCs w:val="20"/>
                <w:color w:val="auto"/>
              </w:rPr>
            </w:pPr>
            <w:r>
              <w:rPr>
                <w:rFonts w:ascii="Arial" w:cs="Arial" w:eastAsia="Arial" w:hAnsi="Arial"/>
                <w:sz w:val="13"/>
                <w:szCs w:val="13"/>
                <w:b w:val="1"/>
                <w:bCs w:val="1"/>
                <w:color w:val="355889"/>
              </w:rPr>
              <w:t>Shares or</w:t>
            </w:r>
          </w:p>
        </w:tc>
        <w:tc>
          <w:tcPr>
            <w:tcW w:w="1020" w:type="dxa"/>
            <w:vAlign w:val="bottom"/>
          </w:tcPr>
          <w:p>
            <w:pPr>
              <w:jc w:val="right"/>
              <w:ind w:right="6"/>
              <w:spacing w:after="0"/>
              <w:rPr>
                <w:sz w:val="20"/>
                <w:szCs w:val="20"/>
                <w:color w:val="auto"/>
              </w:rPr>
            </w:pPr>
            <w:r>
              <w:rPr>
                <w:rFonts w:ascii="Arial" w:cs="Arial" w:eastAsia="Arial" w:hAnsi="Arial"/>
                <w:sz w:val="13"/>
                <w:szCs w:val="13"/>
                <w:b w:val="1"/>
                <w:bCs w:val="1"/>
                <w:color w:val="355889"/>
              </w:rPr>
              <w:t>or Other</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355889"/>
              </w:rPr>
              <w:t>or Units</w:t>
            </w:r>
          </w:p>
        </w:tc>
      </w:tr>
      <w:tr>
        <w:trPr>
          <w:trHeight w:val="148"/>
        </w:trPr>
        <w:tc>
          <w:tcPr>
            <w:tcW w:w="2360" w:type="dxa"/>
            <w:vAlign w:val="bottom"/>
          </w:tcPr>
          <w:p>
            <w:pPr>
              <w:spacing w:after="0"/>
              <w:rPr>
                <w:sz w:val="12"/>
                <w:szCs w:val="12"/>
                <w:color w:val="auto"/>
              </w:rPr>
            </w:pPr>
          </w:p>
        </w:tc>
        <w:tc>
          <w:tcPr>
            <w:tcW w:w="1760" w:type="dxa"/>
            <w:vAlign w:val="bottom"/>
          </w:tcPr>
          <w:p>
            <w:pPr>
              <w:jc w:val="right"/>
              <w:ind w:right="4"/>
              <w:spacing w:after="0"/>
              <w:rPr>
                <w:sz w:val="20"/>
                <w:szCs w:val="20"/>
                <w:color w:val="auto"/>
              </w:rPr>
            </w:pPr>
            <w:r>
              <w:rPr>
                <w:rFonts w:ascii="Arial" w:cs="Arial" w:eastAsia="Arial" w:hAnsi="Arial"/>
                <w:sz w:val="13"/>
                <w:szCs w:val="13"/>
                <w:b w:val="1"/>
                <w:bCs w:val="1"/>
                <w:color w:val="355889"/>
              </w:rPr>
              <w:t>Underlying</w:t>
            </w:r>
          </w:p>
        </w:tc>
        <w:tc>
          <w:tcPr>
            <w:tcW w:w="1080" w:type="dxa"/>
            <w:vAlign w:val="bottom"/>
          </w:tcPr>
          <w:p>
            <w:pPr>
              <w:jc w:val="right"/>
              <w:ind w:right="5"/>
              <w:spacing w:after="0"/>
              <w:rPr>
                <w:sz w:val="20"/>
                <w:szCs w:val="20"/>
                <w:color w:val="auto"/>
              </w:rPr>
            </w:pPr>
            <w:r>
              <w:rPr>
                <w:rFonts w:ascii="Arial" w:cs="Arial" w:eastAsia="Arial" w:hAnsi="Arial"/>
                <w:sz w:val="13"/>
                <w:szCs w:val="13"/>
                <w:b w:val="1"/>
                <w:bCs w:val="1"/>
                <w:color w:val="355889"/>
              </w:rPr>
              <w:t>Underlying</w:t>
            </w:r>
          </w:p>
        </w:tc>
        <w:tc>
          <w:tcPr>
            <w:tcW w:w="20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Arial" w:cs="Arial" w:eastAsia="Arial" w:hAnsi="Arial"/>
                <w:sz w:val="13"/>
                <w:szCs w:val="13"/>
                <w:b w:val="1"/>
                <w:bCs w:val="1"/>
                <w:color w:val="355889"/>
              </w:rPr>
              <w:t>Option</w:t>
            </w:r>
          </w:p>
        </w:tc>
        <w:tc>
          <w:tcPr>
            <w:tcW w:w="1000" w:type="dxa"/>
            <w:vAlign w:val="bottom"/>
          </w:tcPr>
          <w:p>
            <w:pPr>
              <w:spacing w:after="0"/>
              <w:rPr>
                <w:sz w:val="12"/>
                <w:szCs w:val="12"/>
                <w:color w:val="auto"/>
              </w:rPr>
            </w:pPr>
          </w:p>
        </w:tc>
        <w:tc>
          <w:tcPr>
            <w:tcW w:w="900" w:type="dxa"/>
            <w:vAlign w:val="bottom"/>
          </w:tcPr>
          <w:p>
            <w:pPr>
              <w:jc w:val="right"/>
              <w:ind w:right="4"/>
              <w:spacing w:after="0"/>
              <w:rPr>
                <w:sz w:val="20"/>
                <w:szCs w:val="20"/>
                <w:color w:val="auto"/>
              </w:rPr>
            </w:pPr>
            <w:r>
              <w:rPr>
                <w:rFonts w:ascii="Arial" w:cs="Arial" w:eastAsia="Arial" w:hAnsi="Arial"/>
                <w:sz w:val="13"/>
                <w:szCs w:val="13"/>
                <w:b w:val="1"/>
                <w:bCs w:val="1"/>
                <w:color w:val="355889"/>
              </w:rPr>
              <w:t>or Units of</w:t>
            </w:r>
          </w:p>
        </w:tc>
        <w:tc>
          <w:tcPr>
            <w:tcW w:w="260" w:type="dxa"/>
            <w:vAlign w:val="bottom"/>
          </w:tcPr>
          <w:p>
            <w:pPr>
              <w:spacing w:after="0"/>
              <w:rPr>
                <w:sz w:val="12"/>
                <w:szCs w:val="12"/>
                <w:color w:val="auto"/>
              </w:rPr>
            </w:pPr>
          </w:p>
        </w:tc>
        <w:tc>
          <w:tcPr>
            <w:tcW w:w="900" w:type="dxa"/>
            <w:vAlign w:val="bottom"/>
          </w:tcPr>
          <w:p>
            <w:pPr>
              <w:jc w:val="right"/>
              <w:ind w:right="5"/>
              <w:spacing w:after="0"/>
              <w:rPr>
                <w:sz w:val="20"/>
                <w:szCs w:val="20"/>
                <w:color w:val="auto"/>
              </w:rPr>
            </w:pPr>
            <w:r>
              <w:rPr>
                <w:rFonts w:ascii="Arial" w:cs="Arial" w:eastAsia="Arial" w:hAnsi="Arial"/>
                <w:sz w:val="13"/>
                <w:szCs w:val="13"/>
                <w:b w:val="1"/>
                <w:bCs w:val="1"/>
                <w:color w:val="355889"/>
              </w:rPr>
              <w:t>Units of</w:t>
            </w:r>
          </w:p>
        </w:tc>
        <w:tc>
          <w:tcPr>
            <w:tcW w:w="1020" w:type="dxa"/>
            <w:vAlign w:val="bottom"/>
          </w:tcPr>
          <w:p>
            <w:pPr>
              <w:jc w:val="right"/>
              <w:ind w:right="6"/>
              <w:spacing w:after="0"/>
              <w:rPr>
                <w:sz w:val="20"/>
                <w:szCs w:val="20"/>
                <w:color w:val="auto"/>
              </w:rPr>
            </w:pPr>
            <w:r>
              <w:rPr>
                <w:rFonts w:ascii="Arial" w:cs="Arial" w:eastAsia="Arial" w:hAnsi="Arial"/>
                <w:sz w:val="13"/>
                <w:szCs w:val="13"/>
                <w:b w:val="1"/>
                <w:bCs w:val="1"/>
                <w:color w:val="355889"/>
              </w:rPr>
              <w:t>Rights That</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355889"/>
              </w:rPr>
              <w:t>or Other</w:t>
            </w:r>
          </w:p>
        </w:tc>
      </w:tr>
      <w:tr>
        <w:trPr>
          <w:trHeight w:val="148"/>
        </w:trPr>
        <w:tc>
          <w:tcPr>
            <w:tcW w:w="2360" w:type="dxa"/>
            <w:vAlign w:val="bottom"/>
          </w:tcPr>
          <w:p>
            <w:pPr>
              <w:spacing w:after="0"/>
              <w:rPr>
                <w:sz w:val="12"/>
                <w:szCs w:val="12"/>
                <w:color w:val="auto"/>
              </w:rPr>
            </w:pPr>
          </w:p>
        </w:tc>
        <w:tc>
          <w:tcPr>
            <w:tcW w:w="1760" w:type="dxa"/>
            <w:vAlign w:val="bottom"/>
          </w:tcPr>
          <w:p>
            <w:pPr>
              <w:jc w:val="right"/>
              <w:ind w:right="4"/>
              <w:spacing w:after="0"/>
              <w:rPr>
                <w:sz w:val="20"/>
                <w:szCs w:val="20"/>
                <w:color w:val="auto"/>
              </w:rPr>
            </w:pPr>
            <w:r>
              <w:rPr>
                <w:rFonts w:ascii="Arial" w:cs="Arial" w:eastAsia="Arial" w:hAnsi="Arial"/>
                <w:sz w:val="13"/>
                <w:szCs w:val="13"/>
                <w:b w:val="1"/>
                <w:bCs w:val="1"/>
                <w:color w:val="355889"/>
              </w:rPr>
              <w:t>Unexercised</w:t>
            </w:r>
          </w:p>
        </w:tc>
        <w:tc>
          <w:tcPr>
            <w:tcW w:w="1080" w:type="dxa"/>
            <w:vAlign w:val="bottom"/>
          </w:tcPr>
          <w:p>
            <w:pPr>
              <w:jc w:val="right"/>
              <w:ind w:right="5"/>
              <w:spacing w:after="0"/>
              <w:rPr>
                <w:sz w:val="20"/>
                <w:szCs w:val="20"/>
                <w:color w:val="auto"/>
              </w:rPr>
            </w:pPr>
            <w:r>
              <w:rPr>
                <w:rFonts w:ascii="Arial" w:cs="Arial" w:eastAsia="Arial" w:hAnsi="Arial"/>
                <w:sz w:val="13"/>
                <w:szCs w:val="13"/>
                <w:b w:val="1"/>
                <w:bCs w:val="1"/>
                <w:color w:val="355889"/>
              </w:rPr>
              <w:t>Unexercised</w:t>
            </w:r>
          </w:p>
        </w:tc>
        <w:tc>
          <w:tcPr>
            <w:tcW w:w="20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Arial" w:cs="Arial" w:eastAsia="Arial" w:hAnsi="Arial"/>
                <w:sz w:val="13"/>
                <w:szCs w:val="13"/>
                <w:b w:val="1"/>
                <w:bCs w:val="1"/>
                <w:color w:val="355889"/>
              </w:rPr>
              <w:t>Exercise</w:t>
            </w:r>
          </w:p>
        </w:tc>
        <w:tc>
          <w:tcPr>
            <w:tcW w:w="1000" w:type="dxa"/>
            <w:vAlign w:val="bottom"/>
          </w:tcPr>
          <w:p>
            <w:pPr>
              <w:jc w:val="right"/>
              <w:ind w:right="22"/>
              <w:spacing w:after="0"/>
              <w:rPr>
                <w:sz w:val="20"/>
                <w:szCs w:val="20"/>
                <w:color w:val="auto"/>
              </w:rPr>
            </w:pPr>
            <w:r>
              <w:rPr>
                <w:rFonts w:ascii="Arial" w:cs="Arial" w:eastAsia="Arial" w:hAnsi="Arial"/>
                <w:sz w:val="13"/>
                <w:szCs w:val="13"/>
                <w:b w:val="1"/>
                <w:bCs w:val="1"/>
                <w:color w:val="355889"/>
              </w:rPr>
              <w:t>Option</w:t>
            </w:r>
          </w:p>
        </w:tc>
        <w:tc>
          <w:tcPr>
            <w:tcW w:w="900" w:type="dxa"/>
            <w:vAlign w:val="bottom"/>
          </w:tcPr>
          <w:p>
            <w:pPr>
              <w:jc w:val="right"/>
              <w:ind w:right="4"/>
              <w:spacing w:after="0"/>
              <w:rPr>
                <w:sz w:val="20"/>
                <w:szCs w:val="20"/>
                <w:color w:val="auto"/>
              </w:rPr>
            </w:pPr>
            <w:r>
              <w:rPr>
                <w:rFonts w:ascii="Arial" w:cs="Arial" w:eastAsia="Arial" w:hAnsi="Arial"/>
                <w:sz w:val="13"/>
                <w:szCs w:val="13"/>
                <w:b w:val="1"/>
                <w:bCs w:val="1"/>
                <w:color w:val="355889"/>
              </w:rPr>
              <w:t>Stock That</w:t>
            </w:r>
          </w:p>
        </w:tc>
        <w:tc>
          <w:tcPr>
            <w:tcW w:w="260" w:type="dxa"/>
            <w:vAlign w:val="bottom"/>
          </w:tcPr>
          <w:p>
            <w:pPr>
              <w:spacing w:after="0"/>
              <w:rPr>
                <w:sz w:val="12"/>
                <w:szCs w:val="12"/>
                <w:color w:val="auto"/>
              </w:rPr>
            </w:pPr>
          </w:p>
        </w:tc>
        <w:tc>
          <w:tcPr>
            <w:tcW w:w="900" w:type="dxa"/>
            <w:vAlign w:val="bottom"/>
          </w:tcPr>
          <w:p>
            <w:pPr>
              <w:jc w:val="right"/>
              <w:ind w:right="5"/>
              <w:spacing w:after="0"/>
              <w:rPr>
                <w:sz w:val="20"/>
                <w:szCs w:val="20"/>
                <w:color w:val="auto"/>
              </w:rPr>
            </w:pPr>
            <w:r>
              <w:rPr>
                <w:rFonts w:ascii="Arial" w:cs="Arial" w:eastAsia="Arial" w:hAnsi="Arial"/>
                <w:sz w:val="13"/>
                <w:szCs w:val="13"/>
                <w:b w:val="1"/>
                <w:bCs w:val="1"/>
                <w:color w:val="355889"/>
              </w:rPr>
              <w:t>Stock That</w:t>
            </w:r>
          </w:p>
        </w:tc>
        <w:tc>
          <w:tcPr>
            <w:tcW w:w="1020" w:type="dxa"/>
            <w:vAlign w:val="bottom"/>
          </w:tcPr>
          <w:p>
            <w:pPr>
              <w:jc w:val="right"/>
              <w:ind w:right="6"/>
              <w:spacing w:after="0"/>
              <w:rPr>
                <w:sz w:val="20"/>
                <w:szCs w:val="20"/>
                <w:color w:val="auto"/>
              </w:rPr>
            </w:pPr>
            <w:r>
              <w:rPr>
                <w:rFonts w:ascii="Arial" w:cs="Arial" w:eastAsia="Arial" w:hAnsi="Arial"/>
                <w:sz w:val="13"/>
                <w:szCs w:val="13"/>
                <w:b w:val="1"/>
                <w:bCs w:val="1"/>
                <w:color w:val="355889"/>
              </w:rPr>
              <w:t>Have Not</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355889"/>
              </w:rPr>
              <w:t>Rights that</w:t>
            </w:r>
          </w:p>
        </w:tc>
      </w:tr>
      <w:tr>
        <w:trPr>
          <w:trHeight w:val="148"/>
        </w:trPr>
        <w:tc>
          <w:tcPr>
            <w:tcW w:w="2360" w:type="dxa"/>
            <w:vAlign w:val="bottom"/>
          </w:tcPr>
          <w:p>
            <w:pPr>
              <w:spacing w:after="0"/>
              <w:rPr>
                <w:sz w:val="12"/>
                <w:szCs w:val="12"/>
                <w:color w:val="auto"/>
              </w:rPr>
            </w:pPr>
          </w:p>
        </w:tc>
        <w:tc>
          <w:tcPr>
            <w:tcW w:w="1760" w:type="dxa"/>
            <w:vAlign w:val="bottom"/>
          </w:tcPr>
          <w:p>
            <w:pPr>
              <w:jc w:val="right"/>
              <w:ind w:right="4"/>
              <w:spacing w:after="0"/>
              <w:rPr>
                <w:sz w:val="20"/>
                <w:szCs w:val="20"/>
                <w:color w:val="auto"/>
              </w:rPr>
            </w:pPr>
            <w:r>
              <w:rPr>
                <w:rFonts w:ascii="Arial" w:cs="Arial" w:eastAsia="Arial" w:hAnsi="Arial"/>
                <w:sz w:val="13"/>
                <w:szCs w:val="13"/>
                <w:b w:val="1"/>
                <w:bCs w:val="1"/>
                <w:color w:val="355889"/>
              </w:rPr>
              <w:t>Options (#)</w:t>
            </w:r>
          </w:p>
        </w:tc>
        <w:tc>
          <w:tcPr>
            <w:tcW w:w="1080" w:type="dxa"/>
            <w:vAlign w:val="bottom"/>
          </w:tcPr>
          <w:p>
            <w:pPr>
              <w:jc w:val="right"/>
              <w:ind w:right="5"/>
              <w:spacing w:after="0"/>
              <w:rPr>
                <w:sz w:val="20"/>
                <w:szCs w:val="20"/>
                <w:color w:val="auto"/>
              </w:rPr>
            </w:pPr>
            <w:r>
              <w:rPr>
                <w:rFonts w:ascii="Arial" w:cs="Arial" w:eastAsia="Arial" w:hAnsi="Arial"/>
                <w:sz w:val="13"/>
                <w:szCs w:val="13"/>
                <w:b w:val="1"/>
                <w:bCs w:val="1"/>
                <w:color w:val="355889"/>
              </w:rPr>
              <w:t>Options (#)</w:t>
            </w:r>
          </w:p>
        </w:tc>
        <w:tc>
          <w:tcPr>
            <w:tcW w:w="20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Arial" w:cs="Arial" w:eastAsia="Arial" w:hAnsi="Arial"/>
                <w:sz w:val="13"/>
                <w:szCs w:val="13"/>
                <w:b w:val="1"/>
                <w:bCs w:val="1"/>
                <w:color w:val="355889"/>
              </w:rPr>
              <w:t>Price</w:t>
            </w:r>
          </w:p>
        </w:tc>
        <w:tc>
          <w:tcPr>
            <w:tcW w:w="1000" w:type="dxa"/>
            <w:vAlign w:val="bottom"/>
          </w:tcPr>
          <w:p>
            <w:pPr>
              <w:jc w:val="right"/>
              <w:ind w:right="22"/>
              <w:spacing w:after="0"/>
              <w:rPr>
                <w:sz w:val="20"/>
                <w:szCs w:val="20"/>
                <w:color w:val="auto"/>
              </w:rPr>
            </w:pPr>
            <w:r>
              <w:rPr>
                <w:rFonts w:ascii="Arial" w:cs="Arial" w:eastAsia="Arial" w:hAnsi="Arial"/>
                <w:sz w:val="13"/>
                <w:szCs w:val="13"/>
                <w:b w:val="1"/>
                <w:bCs w:val="1"/>
                <w:color w:val="355889"/>
              </w:rPr>
              <w:t>Expiration</w:t>
            </w:r>
          </w:p>
        </w:tc>
        <w:tc>
          <w:tcPr>
            <w:tcW w:w="900" w:type="dxa"/>
            <w:vAlign w:val="bottom"/>
          </w:tcPr>
          <w:p>
            <w:pPr>
              <w:jc w:val="right"/>
              <w:ind w:right="4"/>
              <w:spacing w:after="0"/>
              <w:rPr>
                <w:sz w:val="20"/>
                <w:szCs w:val="20"/>
                <w:color w:val="auto"/>
              </w:rPr>
            </w:pPr>
            <w:r>
              <w:rPr>
                <w:rFonts w:ascii="Arial" w:cs="Arial" w:eastAsia="Arial" w:hAnsi="Arial"/>
                <w:sz w:val="13"/>
                <w:szCs w:val="13"/>
                <w:b w:val="1"/>
                <w:bCs w:val="1"/>
                <w:color w:val="355889"/>
              </w:rPr>
              <w:t>Have Not</w:t>
            </w:r>
          </w:p>
        </w:tc>
        <w:tc>
          <w:tcPr>
            <w:tcW w:w="260" w:type="dxa"/>
            <w:vAlign w:val="bottom"/>
          </w:tcPr>
          <w:p>
            <w:pPr>
              <w:spacing w:after="0"/>
              <w:rPr>
                <w:sz w:val="12"/>
                <w:szCs w:val="12"/>
                <w:color w:val="auto"/>
              </w:rPr>
            </w:pPr>
          </w:p>
        </w:tc>
        <w:tc>
          <w:tcPr>
            <w:tcW w:w="900" w:type="dxa"/>
            <w:vAlign w:val="bottom"/>
          </w:tcPr>
          <w:p>
            <w:pPr>
              <w:jc w:val="right"/>
              <w:ind w:right="5"/>
              <w:spacing w:after="0"/>
              <w:rPr>
                <w:sz w:val="20"/>
                <w:szCs w:val="20"/>
                <w:color w:val="auto"/>
              </w:rPr>
            </w:pPr>
            <w:r>
              <w:rPr>
                <w:rFonts w:ascii="Arial" w:cs="Arial" w:eastAsia="Arial" w:hAnsi="Arial"/>
                <w:sz w:val="13"/>
                <w:szCs w:val="13"/>
                <w:b w:val="1"/>
                <w:bCs w:val="1"/>
                <w:color w:val="355889"/>
              </w:rPr>
              <w:t>Have Not</w:t>
            </w:r>
          </w:p>
        </w:tc>
        <w:tc>
          <w:tcPr>
            <w:tcW w:w="1020" w:type="dxa"/>
            <w:vAlign w:val="bottom"/>
          </w:tcPr>
          <w:p>
            <w:pPr>
              <w:jc w:val="right"/>
              <w:ind w:right="6"/>
              <w:spacing w:after="0"/>
              <w:rPr>
                <w:sz w:val="20"/>
                <w:szCs w:val="20"/>
                <w:color w:val="auto"/>
              </w:rPr>
            </w:pPr>
            <w:r>
              <w:rPr>
                <w:rFonts w:ascii="Arial" w:cs="Arial" w:eastAsia="Arial" w:hAnsi="Arial"/>
                <w:sz w:val="13"/>
                <w:szCs w:val="13"/>
                <w:b w:val="1"/>
                <w:bCs w:val="1"/>
                <w:color w:val="355889"/>
              </w:rPr>
              <w:t>Vested</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355889"/>
              </w:rPr>
              <w:t>Have Not</w:t>
            </w:r>
          </w:p>
        </w:tc>
      </w:tr>
      <w:tr>
        <w:trPr>
          <w:trHeight w:val="258"/>
        </w:trPr>
        <w:tc>
          <w:tcPr>
            <w:tcW w:w="2360" w:type="dxa"/>
            <w:vAlign w:val="bottom"/>
          </w:tcPr>
          <w:p>
            <w:pPr>
              <w:spacing w:after="0"/>
              <w:rPr>
                <w:sz w:val="20"/>
                <w:szCs w:val="20"/>
                <w:color w:val="auto"/>
              </w:rPr>
            </w:pPr>
            <w:r>
              <w:rPr>
                <w:rFonts w:ascii="Arial" w:cs="Arial" w:eastAsia="Arial" w:hAnsi="Arial"/>
                <w:sz w:val="13"/>
                <w:szCs w:val="13"/>
                <w:b w:val="1"/>
                <w:bCs w:val="1"/>
                <w:color w:val="355889"/>
              </w:rPr>
              <w:t>Name</w:t>
            </w:r>
          </w:p>
        </w:tc>
        <w:tc>
          <w:tcPr>
            <w:tcW w:w="1760" w:type="dxa"/>
            <w:vAlign w:val="bottom"/>
          </w:tcPr>
          <w:p>
            <w:pPr>
              <w:jc w:val="right"/>
              <w:ind w:right="4"/>
              <w:spacing w:after="0"/>
              <w:rPr>
                <w:sz w:val="20"/>
                <w:szCs w:val="20"/>
                <w:color w:val="auto"/>
              </w:rPr>
            </w:pPr>
            <w:r>
              <w:rPr>
                <w:rFonts w:ascii="Arial" w:cs="Arial" w:eastAsia="Arial" w:hAnsi="Arial"/>
                <w:sz w:val="13"/>
                <w:szCs w:val="13"/>
                <w:b w:val="1"/>
                <w:bCs w:val="1"/>
                <w:color w:val="355889"/>
              </w:rPr>
              <w:t>Exercisable</w:t>
            </w:r>
          </w:p>
        </w:tc>
        <w:tc>
          <w:tcPr>
            <w:tcW w:w="1080" w:type="dxa"/>
            <w:vAlign w:val="bottom"/>
          </w:tcPr>
          <w:p>
            <w:pPr>
              <w:jc w:val="right"/>
              <w:ind w:right="5"/>
              <w:spacing w:after="0"/>
              <w:rPr>
                <w:sz w:val="20"/>
                <w:szCs w:val="20"/>
                <w:color w:val="auto"/>
              </w:rPr>
            </w:pPr>
            <w:r>
              <w:rPr>
                <w:rFonts w:ascii="Arial" w:cs="Arial" w:eastAsia="Arial" w:hAnsi="Arial"/>
                <w:sz w:val="13"/>
                <w:szCs w:val="13"/>
                <w:b w:val="1"/>
                <w:bCs w:val="1"/>
                <w:color w:val="355889"/>
              </w:rPr>
              <w:t>Unexercisable</w:t>
            </w:r>
          </w:p>
        </w:tc>
        <w:tc>
          <w:tcPr>
            <w:tcW w:w="200" w:type="dxa"/>
            <w:vAlign w:val="bottom"/>
          </w:tcPr>
          <w:p>
            <w:pPr>
              <w:spacing w:after="0"/>
              <w:rPr>
                <w:sz w:val="22"/>
                <w:szCs w:val="22"/>
                <w:color w:val="auto"/>
              </w:rPr>
            </w:pPr>
          </w:p>
        </w:tc>
        <w:tc>
          <w:tcPr>
            <w:tcW w:w="680" w:type="dxa"/>
            <w:vAlign w:val="bottom"/>
          </w:tcPr>
          <w:p>
            <w:pPr>
              <w:jc w:val="right"/>
              <w:ind w:right="3"/>
              <w:spacing w:after="0"/>
              <w:rPr>
                <w:sz w:val="20"/>
                <w:szCs w:val="20"/>
                <w:color w:val="auto"/>
              </w:rPr>
            </w:pPr>
            <w:r>
              <w:rPr>
                <w:rFonts w:ascii="Arial" w:cs="Arial" w:eastAsia="Arial" w:hAnsi="Arial"/>
                <w:sz w:val="13"/>
                <w:szCs w:val="13"/>
                <w:b w:val="1"/>
                <w:bCs w:val="1"/>
                <w:color w:val="355889"/>
              </w:rPr>
              <w:t>($)</w:t>
            </w:r>
          </w:p>
        </w:tc>
        <w:tc>
          <w:tcPr>
            <w:tcW w:w="1000" w:type="dxa"/>
            <w:vAlign w:val="bottom"/>
          </w:tcPr>
          <w:p>
            <w:pPr>
              <w:jc w:val="right"/>
              <w:ind w:right="22"/>
              <w:spacing w:after="0"/>
              <w:rPr>
                <w:sz w:val="20"/>
                <w:szCs w:val="20"/>
                <w:color w:val="auto"/>
              </w:rPr>
            </w:pPr>
            <w:r>
              <w:rPr>
                <w:rFonts w:ascii="Arial" w:cs="Arial" w:eastAsia="Arial" w:hAnsi="Arial"/>
                <w:sz w:val="13"/>
                <w:szCs w:val="13"/>
                <w:b w:val="1"/>
                <w:bCs w:val="1"/>
                <w:color w:val="355889"/>
              </w:rPr>
              <w:t>Date</w:t>
            </w:r>
          </w:p>
        </w:tc>
        <w:tc>
          <w:tcPr>
            <w:tcW w:w="900" w:type="dxa"/>
            <w:vAlign w:val="bottom"/>
          </w:tcPr>
          <w:p>
            <w:pPr>
              <w:jc w:val="right"/>
              <w:ind w:right="4"/>
              <w:spacing w:after="0"/>
              <w:rPr>
                <w:sz w:val="20"/>
                <w:szCs w:val="20"/>
                <w:color w:val="auto"/>
              </w:rPr>
            </w:pPr>
            <w:r>
              <w:rPr>
                <w:rFonts w:ascii="Arial" w:cs="Arial" w:eastAsia="Arial" w:hAnsi="Arial"/>
                <w:sz w:val="13"/>
                <w:szCs w:val="13"/>
                <w:b w:val="1"/>
                <w:bCs w:val="1"/>
                <w:color w:val="355889"/>
              </w:rPr>
              <w:t>Vested(#)</w:t>
            </w:r>
            <w:r>
              <w:rPr>
                <w:rFonts w:ascii="Arial" w:cs="Arial" w:eastAsia="Arial" w:hAnsi="Arial"/>
                <w:sz w:val="22"/>
                <w:szCs w:val="22"/>
                <w:b w:val="1"/>
                <w:bCs w:val="1"/>
                <w:color w:val="355889"/>
                <w:vertAlign w:val="superscript"/>
              </w:rPr>
              <w:t>(1)</w:t>
            </w:r>
          </w:p>
        </w:tc>
        <w:tc>
          <w:tcPr>
            <w:tcW w:w="260" w:type="dxa"/>
            <w:vAlign w:val="bottom"/>
          </w:tcPr>
          <w:p>
            <w:pPr>
              <w:spacing w:after="0"/>
              <w:rPr>
                <w:sz w:val="22"/>
                <w:szCs w:val="22"/>
                <w:color w:val="auto"/>
              </w:rPr>
            </w:pPr>
          </w:p>
        </w:tc>
        <w:tc>
          <w:tcPr>
            <w:tcW w:w="900" w:type="dxa"/>
            <w:vAlign w:val="bottom"/>
          </w:tcPr>
          <w:p>
            <w:pPr>
              <w:jc w:val="right"/>
              <w:ind w:right="5"/>
              <w:spacing w:after="0"/>
              <w:rPr>
                <w:sz w:val="20"/>
                <w:szCs w:val="20"/>
                <w:color w:val="auto"/>
              </w:rPr>
            </w:pPr>
            <w:r>
              <w:rPr>
                <w:rFonts w:ascii="Arial" w:cs="Arial" w:eastAsia="Arial" w:hAnsi="Arial"/>
                <w:sz w:val="13"/>
                <w:szCs w:val="13"/>
                <w:b w:val="1"/>
                <w:bCs w:val="1"/>
                <w:color w:val="355889"/>
              </w:rPr>
              <w:t>Vested</w:t>
            </w:r>
            <w:r>
              <w:rPr>
                <w:rFonts w:ascii="Arial" w:cs="Arial" w:eastAsia="Arial" w:hAnsi="Arial"/>
                <w:sz w:val="22"/>
                <w:szCs w:val="22"/>
                <w:b w:val="1"/>
                <w:bCs w:val="1"/>
                <w:color w:val="355889"/>
                <w:vertAlign w:val="superscript"/>
              </w:rPr>
              <w:t>(2)</w:t>
            </w:r>
          </w:p>
        </w:tc>
        <w:tc>
          <w:tcPr>
            <w:tcW w:w="1020" w:type="dxa"/>
            <w:vAlign w:val="bottom"/>
          </w:tcPr>
          <w:p>
            <w:pPr>
              <w:jc w:val="right"/>
              <w:ind w:right="6"/>
              <w:spacing w:after="0"/>
              <w:rPr>
                <w:sz w:val="20"/>
                <w:szCs w:val="20"/>
                <w:color w:val="auto"/>
              </w:rPr>
            </w:pPr>
            <w:r>
              <w:rPr>
                <w:rFonts w:ascii="Arial" w:cs="Arial" w:eastAsia="Arial" w:hAnsi="Arial"/>
                <w:sz w:val="13"/>
                <w:szCs w:val="13"/>
                <w:b w:val="1"/>
                <w:bCs w:val="1"/>
                <w:color w:val="355889"/>
              </w:rPr>
              <w:t>(#)</w:t>
            </w:r>
            <w:r>
              <w:rPr>
                <w:rFonts w:ascii="Arial" w:cs="Arial" w:eastAsia="Arial" w:hAnsi="Arial"/>
                <w:sz w:val="22"/>
                <w:szCs w:val="22"/>
                <w:b w:val="1"/>
                <w:bCs w:val="1"/>
                <w:color w:val="355889"/>
                <w:vertAlign w:val="superscript"/>
              </w:rPr>
              <w:t>(3)</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355889"/>
              </w:rPr>
              <w:t>Vested</w:t>
            </w:r>
            <w:r>
              <w:rPr>
                <w:rFonts w:ascii="Arial" w:cs="Arial" w:eastAsia="Arial" w:hAnsi="Arial"/>
                <w:sz w:val="22"/>
                <w:szCs w:val="22"/>
                <w:b w:val="1"/>
                <w:bCs w:val="1"/>
                <w:color w:val="355889"/>
                <w:vertAlign w:val="superscript"/>
              </w:rPr>
              <w:t>(2)</w:t>
            </w:r>
          </w:p>
        </w:tc>
      </w:tr>
      <w:tr>
        <w:trPr>
          <w:trHeight w:val="195"/>
        </w:trPr>
        <w:tc>
          <w:tcPr>
            <w:tcW w:w="2360" w:type="dxa"/>
            <w:vAlign w:val="bottom"/>
          </w:tcPr>
          <w:p>
            <w:pPr>
              <w:spacing w:after="0"/>
              <w:rPr>
                <w:sz w:val="20"/>
                <w:szCs w:val="20"/>
                <w:color w:val="auto"/>
              </w:rPr>
            </w:pPr>
            <w:r>
              <w:rPr>
                <w:rFonts w:ascii="Arial" w:cs="Arial" w:eastAsia="Arial" w:hAnsi="Arial"/>
                <w:sz w:val="16"/>
                <w:szCs w:val="16"/>
                <w:color w:val="auto"/>
              </w:rPr>
              <w:t>Marc Holliday</w:t>
            </w: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100,000</w:t>
            </w:r>
          </w:p>
        </w:tc>
        <w:tc>
          <w:tcPr>
            <w:tcW w:w="10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highlight w:val="lightGray"/>
              </w:rPr>
              <w:t>$</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highlight w:val="lightGray"/>
              </w:rPr>
              <w:t>76.65</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highlight w:val="lightGray"/>
              </w:rPr>
              <w:t>01/02/2023</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60,530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highlight w:val="lightGray"/>
              </w:rPr>
              <w:t>$</w:t>
            </w:r>
          </w:p>
        </w:tc>
        <w:tc>
          <w:tcPr>
            <w:tcW w:w="900" w:type="dxa"/>
            <w:vAlign w:val="bottom"/>
          </w:tcPr>
          <w:p>
            <w:pPr>
              <w:jc w:val="right"/>
              <w:ind w:right="5"/>
              <w:spacing w:after="0"/>
              <w:rPr>
                <w:sz w:val="20"/>
                <w:szCs w:val="20"/>
                <w:color w:val="auto"/>
              </w:rPr>
            </w:pPr>
            <w:r>
              <w:rPr>
                <w:rFonts w:ascii="Arial" w:cs="Arial" w:eastAsia="Arial" w:hAnsi="Arial"/>
                <w:sz w:val="16"/>
                <w:szCs w:val="16"/>
                <w:color w:val="auto"/>
                <w:highlight w:val="lightGray"/>
              </w:rPr>
              <w:t>5,561,496</w:t>
            </w:r>
          </w:p>
        </w:tc>
        <w:tc>
          <w:tcPr>
            <w:tcW w:w="1020" w:type="dxa"/>
            <w:vAlign w:val="bottom"/>
          </w:tcPr>
          <w:p>
            <w:pPr>
              <w:jc w:val="right"/>
              <w:ind w:right="6"/>
              <w:spacing w:after="0"/>
              <w:rPr>
                <w:sz w:val="20"/>
                <w:szCs w:val="20"/>
                <w:color w:val="auto"/>
              </w:rPr>
            </w:pPr>
            <w:r>
              <w:rPr>
                <w:rFonts w:ascii="Arial" w:cs="Arial" w:eastAsia="Arial" w:hAnsi="Arial"/>
                <w:sz w:val="16"/>
                <w:szCs w:val="16"/>
                <w:color w:val="auto"/>
              </w:rPr>
              <w:t>40,338</w:t>
            </w:r>
          </w:p>
        </w:tc>
        <w:tc>
          <w:tcPr>
            <w:tcW w:w="260" w:type="dxa"/>
            <w:vAlign w:val="bottom"/>
          </w:tcPr>
          <w:p>
            <w:pPr>
              <w:jc w:val="right"/>
              <w:spacing w:after="0"/>
              <w:rPr>
                <w:sz w:val="20"/>
                <w:szCs w:val="20"/>
                <w:color w:val="auto"/>
              </w:rPr>
            </w:pPr>
            <w:r>
              <w:rPr>
                <w:rFonts w:ascii="Arial" w:cs="Arial" w:eastAsia="Arial" w:hAnsi="Arial"/>
                <w:sz w:val="16"/>
                <w:szCs w:val="16"/>
                <w:color w:val="auto"/>
                <w:highlight w:val="lightGray"/>
              </w:rPr>
              <w:t>$</w:t>
            </w:r>
          </w:p>
        </w:tc>
        <w:tc>
          <w:tcPr>
            <w:tcW w:w="820" w:type="dxa"/>
            <w:vAlign w:val="bottom"/>
          </w:tcPr>
          <w:p>
            <w:pPr>
              <w:jc w:val="right"/>
              <w:spacing w:after="0"/>
              <w:rPr>
                <w:sz w:val="20"/>
                <w:szCs w:val="20"/>
                <w:color w:val="auto"/>
              </w:rPr>
            </w:pPr>
            <w:r>
              <w:rPr>
                <w:rFonts w:ascii="Arial" w:cs="Arial" w:eastAsia="Arial" w:hAnsi="Arial"/>
                <w:sz w:val="16"/>
                <w:szCs w:val="16"/>
                <w:color w:val="auto"/>
                <w:highlight w:val="lightGray"/>
              </w:rPr>
              <w:t>3,706,255</w:t>
            </w:r>
          </w:p>
        </w:tc>
      </w:tr>
      <w:tr>
        <w:trPr>
          <w:trHeight w:val="257"/>
        </w:trPr>
        <w:tc>
          <w:tcPr>
            <w:tcW w:w="2360" w:type="dxa"/>
            <w:vAlign w:val="bottom"/>
          </w:tcPr>
          <w:p>
            <w:pPr>
              <w:spacing w:after="0"/>
              <w:rPr>
                <w:sz w:val="22"/>
                <w:szCs w:val="22"/>
                <w:color w:val="auto"/>
              </w:rPr>
            </w:pP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52,500</w:t>
            </w: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99.86</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06/17/2021</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0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360" w:type="dxa"/>
            <w:vAlign w:val="bottom"/>
          </w:tcPr>
          <w:p>
            <w:pPr>
              <w:spacing w:after="0"/>
              <w:rPr>
                <w:sz w:val="22"/>
                <w:szCs w:val="22"/>
                <w:color w:val="auto"/>
              </w:rPr>
            </w:pP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52,500</w:t>
            </w: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99.86</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06/17/2026</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0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360" w:type="dxa"/>
            <w:vAlign w:val="bottom"/>
          </w:tcPr>
          <w:p>
            <w:pPr>
              <w:spacing w:after="0"/>
              <w:rPr>
                <w:sz w:val="22"/>
                <w:szCs w:val="22"/>
                <w:color w:val="auto"/>
              </w:rPr>
            </w:pP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52,500</w:t>
            </w: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105.73</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06/17/2022</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0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360" w:type="dxa"/>
            <w:vAlign w:val="bottom"/>
          </w:tcPr>
          <w:p>
            <w:pPr>
              <w:spacing w:after="0"/>
              <w:rPr>
                <w:sz w:val="22"/>
                <w:szCs w:val="22"/>
                <w:color w:val="auto"/>
              </w:rPr>
            </w:pP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52,500</w:t>
            </w: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105.73</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06/17/2027</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0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2360" w:type="dxa"/>
            <w:vAlign w:val="bottom"/>
          </w:tcPr>
          <w:p>
            <w:pPr>
              <w:spacing w:after="0"/>
              <w:rPr>
                <w:sz w:val="20"/>
                <w:szCs w:val="20"/>
                <w:color w:val="auto"/>
              </w:rPr>
            </w:pPr>
            <w:r>
              <w:rPr>
                <w:rFonts w:ascii="Arial" w:cs="Arial" w:eastAsia="Arial" w:hAnsi="Arial"/>
                <w:sz w:val="16"/>
                <w:szCs w:val="16"/>
                <w:color w:val="auto"/>
              </w:rPr>
              <w:t>Andrew Mathias</w:t>
            </w: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65,000</w:t>
            </w: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highlight w:val="lightGray"/>
              </w:rPr>
              <w:t>$</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highlight w:val="lightGray"/>
              </w:rPr>
              <w:t>91.43</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11/08/2023</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48,423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highlight w:val="lightGray"/>
              </w:rPr>
              <w:t>$</w:t>
            </w:r>
          </w:p>
        </w:tc>
        <w:tc>
          <w:tcPr>
            <w:tcW w:w="900" w:type="dxa"/>
            <w:vAlign w:val="bottom"/>
          </w:tcPr>
          <w:p>
            <w:pPr>
              <w:jc w:val="right"/>
              <w:ind w:right="5"/>
              <w:spacing w:after="0"/>
              <w:rPr>
                <w:sz w:val="20"/>
                <w:szCs w:val="20"/>
                <w:color w:val="auto"/>
              </w:rPr>
            </w:pPr>
            <w:r>
              <w:rPr>
                <w:rFonts w:ascii="Arial" w:cs="Arial" w:eastAsia="Arial" w:hAnsi="Arial"/>
                <w:sz w:val="16"/>
                <w:szCs w:val="16"/>
                <w:color w:val="auto"/>
                <w:highlight w:val="lightGray"/>
              </w:rPr>
              <w:t>4,449,105</w:t>
            </w:r>
          </w:p>
        </w:tc>
        <w:tc>
          <w:tcPr>
            <w:tcW w:w="1020" w:type="dxa"/>
            <w:vAlign w:val="bottom"/>
          </w:tcPr>
          <w:p>
            <w:pPr>
              <w:jc w:val="right"/>
              <w:ind w:right="6"/>
              <w:spacing w:after="0"/>
              <w:rPr>
                <w:sz w:val="20"/>
                <w:szCs w:val="20"/>
                <w:color w:val="auto"/>
              </w:rPr>
            </w:pPr>
            <w:r>
              <w:rPr>
                <w:rFonts w:ascii="Arial" w:cs="Arial" w:eastAsia="Arial" w:hAnsi="Arial"/>
                <w:sz w:val="16"/>
                <w:szCs w:val="16"/>
                <w:color w:val="auto"/>
              </w:rPr>
              <w:t>29,967</w:t>
            </w:r>
          </w:p>
        </w:tc>
        <w:tc>
          <w:tcPr>
            <w:tcW w:w="260" w:type="dxa"/>
            <w:vAlign w:val="bottom"/>
          </w:tcPr>
          <w:p>
            <w:pPr>
              <w:jc w:val="right"/>
              <w:spacing w:after="0"/>
              <w:rPr>
                <w:sz w:val="20"/>
                <w:szCs w:val="20"/>
                <w:color w:val="auto"/>
              </w:rPr>
            </w:pPr>
            <w:r>
              <w:rPr>
                <w:rFonts w:ascii="Arial" w:cs="Arial" w:eastAsia="Arial" w:hAnsi="Arial"/>
                <w:sz w:val="16"/>
                <w:szCs w:val="16"/>
                <w:color w:val="auto"/>
                <w:highlight w:val="lightGray"/>
              </w:rPr>
              <w:t>$</w:t>
            </w:r>
          </w:p>
        </w:tc>
        <w:tc>
          <w:tcPr>
            <w:tcW w:w="820" w:type="dxa"/>
            <w:vAlign w:val="bottom"/>
          </w:tcPr>
          <w:p>
            <w:pPr>
              <w:jc w:val="right"/>
              <w:spacing w:after="0"/>
              <w:rPr>
                <w:sz w:val="20"/>
                <w:szCs w:val="20"/>
                <w:color w:val="auto"/>
              </w:rPr>
            </w:pPr>
            <w:r>
              <w:rPr>
                <w:rFonts w:ascii="Arial" w:cs="Arial" w:eastAsia="Arial" w:hAnsi="Arial"/>
                <w:sz w:val="16"/>
                <w:szCs w:val="16"/>
                <w:color w:val="auto"/>
                <w:highlight w:val="lightGray"/>
              </w:rPr>
              <w:t>2,753,368</w:t>
            </w:r>
          </w:p>
        </w:tc>
      </w:tr>
      <w:tr>
        <w:trPr>
          <w:trHeight w:val="383"/>
        </w:trPr>
        <w:tc>
          <w:tcPr>
            <w:tcW w:w="2360" w:type="dxa"/>
            <w:vAlign w:val="bottom"/>
          </w:tcPr>
          <w:p>
            <w:pPr>
              <w:spacing w:after="0"/>
              <w:rPr>
                <w:sz w:val="20"/>
                <w:szCs w:val="20"/>
                <w:color w:val="auto"/>
              </w:rPr>
            </w:pPr>
            <w:r>
              <w:rPr>
                <w:rFonts w:ascii="Arial" w:cs="Arial" w:eastAsia="Arial" w:hAnsi="Arial"/>
                <w:sz w:val="16"/>
                <w:szCs w:val="16"/>
                <w:color w:val="auto"/>
              </w:rPr>
              <w:t>Matthew J. DiLiberto</w:t>
            </w: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10,000</w:t>
            </w: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5,000</w:t>
            </w:r>
            <w:r>
              <w:rPr>
                <w:rFonts w:ascii="Arial" w:cs="Arial" w:eastAsia="Arial" w:hAnsi="Arial"/>
                <w:sz w:val="26"/>
                <w:szCs w:val="26"/>
                <w:color w:val="auto"/>
                <w:vertAlign w:val="superscript"/>
              </w:rPr>
              <w:t>(4)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highlight w:val="lightGray"/>
              </w:rPr>
              <w:t>106.05</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01/11/2022</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19,032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
              <w:spacing w:after="0"/>
              <w:rPr>
                <w:sz w:val="20"/>
                <w:szCs w:val="20"/>
                <w:color w:val="auto"/>
              </w:rPr>
            </w:pPr>
            <w:r>
              <w:rPr>
                <w:rFonts w:ascii="Arial" w:cs="Arial" w:eastAsia="Arial" w:hAnsi="Arial"/>
                <w:sz w:val="16"/>
                <w:szCs w:val="16"/>
                <w:color w:val="auto"/>
                <w:highlight w:val="lightGray"/>
              </w:rPr>
              <w:t>1,748,660</w:t>
            </w:r>
          </w:p>
        </w:tc>
        <w:tc>
          <w:tcPr>
            <w:tcW w:w="1020" w:type="dxa"/>
            <w:vAlign w:val="bottom"/>
          </w:tcPr>
          <w:p>
            <w:pPr>
              <w:jc w:val="right"/>
              <w:ind w:right="6"/>
              <w:spacing w:after="0"/>
              <w:rPr>
                <w:sz w:val="20"/>
                <w:szCs w:val="20"/>
                <w:color w:val="auto"/>
              </w:rPr>
            </w:pPr>
            <w:r>
              <w:rPr>
                <w:rFonts w:ascii="Arial" w:cs="Arial" w:eastAsia="Arial" w:hAnsi="Arial"/>
                <w:sz w:val="16"/>
                <w:szCs w:val="16"/>
                <w:color w:val="auto"/>
              </w:rPr>
              <w:t>8,440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775,467</w:t>
            </w:r>
          </w:p>
        </w:tc>
      </w:tr>
      <w:tr>
        <w:trPr>
          <w:trHeight w:val="300"/>
        </w:trPr>
        <w:tc>
          <w:tcPr>
            <w:tcW w:w="2360" w:type="dxa"/>
            <w:vAlign w:val="bottom"/>
          </w:tcPr>
          <w:p>
            <w:pPr>
              <w:spacing w:after="0"/>
              <w:rPr>
                <w:sz w:val="24"/>
                <w:szCs w:val="24"/>
                <w:color w:val="auto"/>
              </w:rPr>
            </w:pP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10,000</w:t>
            </w: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5,000</w:t>
            </w:r>
            <w:r>
              <w:rPr>
                <w:rFonts w:ascii="Arial" w:cs="Arial" w:eastAsia="Arial" w:hAnsi="Arial"/>
                <w:sz w:val="26"/>
                <w:szCs w:val="26"/>
                <w:color w:val="auto"/>
                <w:vertAlign w:val="superscript"/>
              </w:rPr>
              <w:t>(4)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106.05</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01/11/2027</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2360" w:type="dxa"/>
            <w:vAlign w:val="bottom"/>
          </w:tcPr>
          <w:p>
            <w:pPr>
              <w:spacing w:after="0"/>
              <w:rPr>
                <w:sz w:val="20"/>
                <w:szCs w:val="20"/>
                <w:color w:val="auto"/>
              </w:rPr>
            </w:pPr>
            <w:r>
              <w:rPr>
                <w:rFonts w:ascii="Arial" w:cs="Arial" w:eastAsia="Arial" w:hAnsi="Arial"/>
                <w:sz w:val="16"/>
                <w:szCs w:val="16"/>
                <w:color w:val="auto"/>
              </w:rPr>
              <w:t>Andrew S. Levine</w:t>
            </w: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12,500</w:t>
            </w: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highlight w:val="lightGray"/>
              </w:rPr>
              <w:t>$</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highlight w:val="lightGray"/>
              </w:rPr>
              <w:t>90.15</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highlight w:val="lightGray"/>
              </w:rPr>
              <w:t>12/12/2023</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20,460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highlight w:val="lightGray"/>
              </w:rPr>
              <w:t>$</w:t>
            </w:r>
          </w:p>
        </w:tc>
        <w:tc>
          <w:tcPr>
            <w:tcW w:w="900" w:type="dxa"/>
            <w:vAlign w:val="bottom"/>
          </w:tcPr>
          <w:p>
            <w:pPr>
              <w:jc w:val="right"/>
              <w:ind w:right="5"/>
              <w:spacing w:after="0"/>
              <w:rPr>
                <w:sz w:val="20"/>
                <w:szCs w:val="20"/>
                <w:color w:val="auto"/>
              </w:rPr>
            </w:pPr>
            <w:r>
              <w:rPr>
                <w:rFonts w:ascii="Arial" w:cs="Arial" w:eastAsia="Arial" w:hAnsi="Arial"/>
                <w:sz w:val="16"/>
                <w:szCs w:val="16"/>
                <w:color w:val="auto"/>
                <w:highlight w:val="lightGray"/>
              </w:rPr>
              <w:t>1,879,865</w:t>
            </w:r>
          </w:p>
        </w:tc>
        <w:tc>
          <w:tcPr>
            <w:tcW w:w="1020" w:type="dxa"/>
            <w:vAlign w:val="bottom"/>
          </w:tcPr>
          <w:p>
            <w:pPr>
              <w:jc w:val="right"/>
              <w:ind w:right="6"/>
              <w:spacing w:after="0"/>
              <w:rPr>
                <w:sz w:val="20"/>
                <w:szCs w:val="20"/>
                <w:color w:val="auto"/>
              </w:rPr>
            </w:pPr>
            <w:r>
              <w:rPr>
                <w:rFonts w:ascii="Arial" w:cs="Arial" w:eastAsia="Arial" w:hAnsi="Arial"/>
                <w:sz w:val="16"/>
                <w:szCs w:val="16"/>
                <w:color w:val="auto"/>
              </w:rPr>
              <w:t>2,988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274,537</w:t>
            </w:r>
          </w:p>
        </w:tc>
      </w:tr>
      <w:tr>
        <w:trPr>
          <w:trHeight w:val="383"/>
        </w:trPr>
        <w:tc>
          <w:tcPr>
            <w:tcW w:w="2360" w:type="dxa"/>
            <w:vAlign w:val="bottom"/>
          </w:tcPr>
          <w:p>
            <w:pPr>
              <w:spacing w:after="0"/>
              <w:rPr>
                <w:sz w:val="24"/>
                <w:szCs w:val="24"/>
                <w:color w:val="auto"/>
              </w:rPr>
            </w:pP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10,000</w:t>
            </w: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5,000</w:t>
            </w:r>
            <w:r>
              <w:rPr>
                <w:rFonts w:ascii="Arial" w:cs="Arial" w:eastAsia="Arial" w:hAnsi="Arial"/>
                <w:sz w:val="26"/>
                <w:szCs w:val="26"/>
                <w:color w:val="auto"/>
                <w:vertAlign w:val="superscript"/>
              </w:rPr>
              <w:t>(4)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106.05</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01/11/2022</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45"/>
        </w:trPr>
        <w:tc>
          <w:tcPr>
            <w:tcW w:w="2360" w:type="dxa"/>
            <w:vAlign w:val="bottom"/>
          </w:tcPr>
          <w:p>
            <w:pPr>
              <w:spacing w:after="0"/>
              <w:rPr>
                <w:sz w:val="24"/>
                <w:szCs w:val="24"/>
                <w:color w:val="auto"/>
              </w:rPr>
            </w:pP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10,000</w:t>
            </w: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5,000</w:t>
            </w:r>
            <w:r>
              <w:rPr>
                <w:rFonts w:ascii="Arial" w:cs="Arial" w:eastAsia="Arial" w:hAnsi="Arial"/>
                <w:sz w:val="26"/>
                <w:szCs w:val="26"/>
                <w:color w:val="auto"/>
                <w:vertAlign w:val="superscript"/>
              </w:rPr>
              <w:t>(4)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106.05</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01/11/2027</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-612775</wp:posOffset>
            </wp:positionV>
            <wp:extent cx="713232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-1169670</wp:posOffset>
            </wp:positionV>
            <wp:extent cx="7132320" cy="3683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-1332865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-1495425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-1658620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-1992630</wp:posOffset>
            </wp:positionV>
            <wp:extent cx="7132320" cy="1803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-3390265</wp:posOffset>
            </wp:positionV>
            <wp:extent cx="50920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92065" cy="17145"/>
                    </a:xfrm>
                    <a:prstGeom prst="rect">
                      <a:avLst/>
                    </a:prstGeom>
                    <a:noFill/>
                  </pic:spPr>
                </pic:pic>
              </a:graphicData>
            </a:graphic>
          </wp:anchor>
        </w:drawing>
      </w:r>
    </w:p>
    <w:p>
      <w:pPr>
        <w:spacing w:after="0" w:line="26"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For each of our named executive officers, includes the following:</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7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2019</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355889"/>
              </w:rPr>
              <w:t>Performance-</w:t>
            </w:r>
          </w:p>
        </w:tc>
      </w:tr>
      <w:tr>
        <w:trPr>
          <w:trHeight w:val="148"/>
        </w:trPr>
        <w:tc>
          <w:tcPr>
            <w:tcW w:w="7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Operational</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Time-Based</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55889"/>
              </w:rPr>
              <w:t>Based</w:t>
            </w:r>
          </w:p>
        </w:tc>
      </w:tr>
      <w:tr>
        <w:trPr>
          <w:trHeight w:val="148"/>
        </w:trPr>
        <w:tc>
          <w:tcPr>
            <w:tcW w:w="7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Performance-</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Employment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55889"/>
              </w:rPr>
              <w:t>Employment</w:t>
            </w:r>
          </w:p>
        </w:tc>
      </w:tr>
      <w:tr>
        <w:trPr>
          <w:trHeight w:val="149"/>
        </w:trPr>
        <w:tc>
          <w:tcPr>
            <w:tcW w:w="7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Based</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Agreement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55889"/>
              </w:rPr>
              <w:t>Agreement</w:t>
            </w:r>
          </w:p>
        </w:tc>
      </w:tr>
      <w:tr>
        <w:trPr>
          <w:trHeight w:val="185"/>
        </w:trPr>
        <w:tc>
          <w:tcPr>
            <w:tcW w:w="7860" w:type="dxa"/>
            <w:vAlign w:val="bottom"/>
          </w:tcPr>
          <w:p>
            <w:pPr>
              <w:spacing w:after="0"/>
              <w:rPr>
                <w:sz w:val="20"/>
                <w:szCs w:val="20"/>
                <w:color w:val="auto"/>
              </w:rPr>
            </w:pPr>
            <w:r>
              <w:rPr>
                <w:rFonts w:ascii="Arial" w:cs="Arial" w:eastAsia="Arial" w:hAnsi="Arial"/>
                <w:sz w:val="13"/>
                <w:szCs w:val="13"/>
                <w:b w:val="1"/>
                <w:bCs w:val="1"/>
                <w:color w:val="355889"/>
              </w:rPr>
              <w:t>Executive</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355889"/>
              </w:rPr>
              <w:t>LTIP Units(a)</w:t>
            </w: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LTIP Units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55889"/>
              </w:rPr>
              <w:t>LTIP Units</w:t>
            </w:r>
          </w:p>
        </w:tc>
      </w:tr>
      <w:tr>
        <w:trPr>
          <w:trHeight w:val="34"/>
        </w:trPr>
        <w:tc>
          <w:tcPr>
            <w:tcW w:w="78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355989"/>
          </w:tcPr>
          <w:p>
            <w:pPr>
              <w:spacing w:after="0"/>
              <w:rPr>
                <w:sz w:val="2"/>
                <w:szCs w:val="2"/>
                <w:color w:val="auto"/>
              </w:rPr>
            </w:pPr>
          </w:p>
        </w:tc>
      </w:tr>
      <w:tr>
        <w:trPr>
          <w:trHeight w:val="235"/>
        </w:trPr>
        <w:tc>
          <w:tcPr>
            <w:tcW w:w="786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60,530</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7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355989"/>
          </w:tcPr>
          <w:p>
            <w:pPr>
              <w:spacing w:after="0" w:line="20" w:lineRule="exact"/>
              <w:rPr>
                <w:sz w:val="1"/>
                <w:szCs w:val="1"/>
                <w:color w:val="auto"/>
              </w:rPr>
            </w:pPr>
          </w:p>
        </w:tc>
      </w:tr>
      <w:tr>
        <w:trPr>
          <w:trHeight w:val="235"/>
        </w:trPr>
        <w:tc>
          <w:tcPr>
            <w:tcW w:w="786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48,423</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7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355989"/>
          </w:tcPr>
          <w:p>
            <w:pPr>
              <w:spacing w:after="0" w:line="20" w:lineRule="exact"/>
              <w:rPr>
                <w:sz w:val="1"/>
                <w:szCs w:val="1"/>
                <w:color w:val="auto"/>
              </w:rPr>
            </w:pPr>
          </w:p>
        </w:tc>
      </w:tr>
      <w:tr>
        <w:trPr>
          <w:trHeight w:val="310"/>
        </w:trPr>
        <w:tc>
          <w:tcPr>
            <w:tcW w:w="7860" w:type="dxa"/>
            <w:vAlign w:val="bottom"/>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4,484</w:t>
            </w:r>
          </w:p>
        </w:tc>
        <w:tc>
          <w:tcPr>
            <w:tcW w:w="160" w:type="dxa"/>
            <w:vAlign w:val="bottom"/>
          </w:tcPr>
          <w:p>
            <w:pPr>
              <w:spacing w:after="0"/>
              <w:rPr>
                <w:sz w:val="24"/>
                <w:szCs w:val="24"/>
                <w:color w:val="auto"/>
              </w:rPr>
            </w:pPr>
          </w:p>
        </w:tc>
        <w:tc>
          <w:tcPr>
            <w:tcW w:w="980" w:type="dxa"/>
            <w:vAlign w:val="bottom"/>
            <w:gridSpan w:val="2"/>
          </w:tcPr>
          <w:p>
            <w:pPr>
              <w:jc w:val="right"/>
              <w:ind w:right="160"/>
              <w:spacing w:after="0" w:line="310" w:lineRule="exact"/>
              <w:rPr>
                <w:sz w:val="20"/>
                <w:szCs w:val="20"/>
                <w:color w:val="auto"/>
              </w:rPr>
            </w:pPr>
            <w:r>
              <w:rPr>
                <w:rFonts w:ascii="Arial" w:cs="Arial" w:eastAsia="Arial" w:hAnsi="Arial"/>
                <w:sz w:val="18"/>
                <w:szCs w:val="18"/>
                <w:color w:val="auto"/>
              </w:rPr>
              <w:t>10,000</w:t>
            </w:r>
            <w:r>
              <w:rPr>
                <w:rFonts w:ascii="Arial" w:cs="Arial" w:eastAsia="Arial" w:hAnsi="Arial"/>
                <w:sz w:val="29"/>
                <w:szCs w:val="29"/>
                <w:color w:val="auto"/>
                <w:vertAlign w:val="superscript"/>
              </w:rPr>
              <w:t>(b)</w:t>
            </w:r>
          </w:p>
        </w:tc>
        <w:tc>
          <w:tcPr>
            <w:tcW w:w="880" w:type="dxa"/>
            <w:vAlign w:val="bottom"/>
          </w:tcPr>
          <w:p>
            <w:pPr>
              <w:jc w:val="right"/>
              <w:spacing w:after="0" w:line="310" w:lineRule="exact"/>
              <w:rPr>
                <w:sz w:val="20"/>
                <w:szCs w:val="20"/>
                <w:color w:val="auto"/>
              </w:rPr>
            </w:pPr>
            <w:r>
              <w:rPr>
                <w:rFonts w:ascii="Arial" w:cs="Arial" w:eastAsia="Arial" w:hAnsi="Arial"/>
                <w:sz w:val="18"/>
                <w:szCs w:val="18"/>
                <w:color w:val="auto"/>
              </w:rPr>
              <w:t>4,548</w:t>
            </w:r>
            <w:r>
              <w:rPr>
                <w:rFonts w:ascii="Arial" w:cs="Arial" w:eastAsia="Arial" w:hAnsi="Arial"/>
                <w:sz w:val="29"/>
                <w:szCs w:val="29"/>
                <w:color w:val="auto"/>
                <w:vertAlign w:val="superscript"/>
              </w:rPr>
              <w:t>(c)</w:t>
            </w:r>
          </w:p>
        </w:tc>
      </w:tr>
      <w:tr>
        <w:trPr>
          <w:trHeight w:val="20"/>
        </w:trPr>
        <w:tc>
          <w:tcPr>
            <w:tcW w:w="7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355989"/>
          </w:tcPr>
          <w:p>
            <w:pPr>
              <w:spacing w:after="0" w:line="20" w:lineRule="exact"/>
              <w:rPr>
                <w:sz w:val="1"/>
                <w:szCs w:val="1"/>
                <w:color w:val="auto"/>
              </w:rPr>
            </w:pPr>
          </w:p>
        </w:tc>
      </w:tr>
      <w:tr>
        <w:trPr>
          <w:trHeight w:val="304"/>
        </w:trPr>
        <w:tc>
          <w:tcPr>
            <w:tcW w:w="7860" w:type="dxa"/>
            <w:vAlign w:val="bottom"/>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4,484</w:t>
            </w:r>
          </w:p>
        </w:tc>
        <w:tc>
          <w:tcPr>
            <w:tcW w:w="160" w:type="dxa"/>
            <w:vAlign w:val="bottom"/>
          </w:tcPr>
          <w:p>
            <w:pPr>
              <w:spacing w:after="0"/>
              <w:rPr>
                <w:sz w:val="24"/>
                <w:szCs w:val="24"/>
                <w:color w:val="auto"/>
              </w:rPr>
            </w:pPr>
          </w:p>
        </w:tc>
        <w:tc>
          <w:tcPr>
            <w:tcW w:w="980" w:type="dxa"/>
            <w:vAlign w:val="bottom"/>
            <w:gridSpan w:val="2"/>
          </w:tcPr>
          <w:p>
            <w:pPr>
              <w:jc w:val="right"/>
              <w:ind w:right="160"/>
              <w:spacing w:after="0" w:line="303" w:lineRule="exact"/>
              <w:rPr>
                <w:sz w:val="20"/>
                <w:szCs w:val="20"/>
                <w:color w:val="auto"/>
              </w:rPr>
            </w:pPr>
            <w:r>
              <w:rPr>
                <w:rFonts w:ascii="Arial" w:cs="Arial" w:eastAsia="Arial" w:hAnsi="Arial"/>
                <w:sz w:val="18"/>
                <w:szCs w:val="18"/>
                <w:color w:val="auto"/>
              </w:rPr>
              <w:t>15,976</w:t>
            </w:r>
            <w:r>
              <w:rPr>
                <w:rFonts w:ascii="Arial" w:cs="Arial" w:eastAsia="Arial" w:hAnsi="Arial"/>
                <w:sz w:val="29"/>
                <w:szCs w:val="29"/>
                <w:color w:val="auto"/>
                <w:vertAlign w:val="superscript"/>
              </w:rPr>
              <w:t>(d)</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355989"/>
          </w:tcPr>
          <w:p>
            <w:pPr>
              <w:spacing w:after="0"/>
              <w:rPr>
                <w:sz w:val="2"/>
                <w:szCs w:val="2"/>
                <w:color w:val="auto"/>
              </w:rPr>
            </w:pPr>
          </w:p>
        </w:tc>
      </w:tr>
    </w:tbl>
    <w:p>
      <w:pPr>
        <w:spacing w:after="0" w:line="67" w:lineRule="exact"/>
        <w:rPr>
          <w:sz w:val="20"/>
          <w:szCs w:val="20"/>
          <w:color w:val="auto"/>
        </w:rPr>
      </w:pPr>
    </w:p>
    <w:p>
      <w:pPr>
        <w:ind w:left="620" w:right="40" w:hanging="302"/>
        <w:spacing w:after="0" w:line="245" w:lineRule="auto"/>
        <w:tabs>
          <w:tab w:leader="none" w:pos="620" w:val="left"/>
        </w:tabs>
        <w:numPr>
          <w:ilvl w:val="1"/>
          <w:numId w:val="96"/>
        </w:numPr>
        <w:rPr>
          <w:rFonts w:ascii="Arial" w:cs="Arial" w:eastAsia="Arial" w:hAnsi="Arial"/>
          <w:sz w:val="13"/>
          <w:szCs w:val="13"/>
          <w:color w:val="auto"/>
        </w:rPr>
      </w:pPr>
      <w:r>
        <w:rPr>
          <w:rFonts w:ascii="Arial" w:cs="Arial" w:eastAsia="Arial" w:hAnsi="Arial"/>
          <w:sz w:val="13"/>
          <w:szCs w:val="13"/>
          <w:color w:val="auto"/>
        </w:rPr>
        <w:t>Represents the number of LTIP units that were earned for 2019 operational performance that are not subject to forfeiture based on our absolute TSR performance over the three-year period ending December 31, 2021. The LTIP units will vest 100% for Messrs. Holliday and Mathias on December 31, 2021, and 50% on each of December 31, 2021 and December 31, 2022 for Messrs. DiLiberto and Levine, subject, in each case, to continued employment. See “—Compensation Discussion and Analysis—2019 Pay Outcomes— 2019 Performance-Based Equity Awards” for a description of these awards.</w:t>
      </w:r>
    </w:p>
    <w:p>
      <w:pPr>
        <w:spacing w:after="0" w:line="51" w:lineRule="exact"/>
        <w:rPr>
          <w:rFonts w:ascii="Arial" w:cs="Arial" w:eastAsia="Arial" w:hAnsi="Arial"/>
          <w:sz w:val="13"/>
          <w:szCs w:val="13"/>
          <w:color w:val="auto"/>
        </w:rPr>
      </w:pPr>
    </w:p>
    <w:p>
      <w:pPr>
        <w:ind w:left="620" w:hanging="302"/>
        <w:spacing w:after="0"/>
        <w:tabs>
          <w:tab w:leader="none" w:pos="620" w:val="left"/>
        </w:tabs>
        <w:numPr>
          <w:ilvl w:val="1"/>
          <w:numId w:val="96"/>
        </w:numPr>
        <w:rPr>
          <w:rFonts w:ascii="Arial" w:cs="Arial" w:eastAsia="Arial" w:hAnsi="Arial"/>
          <w:sz w:val="13"/>
          <w:szCs w:val="13"/>
          <w:color w:val="auto"/>
        </w:rPr>
      </w:pPr>
      <w:r>
        <w:rPr>
          <w:rFonts w:ascii="Arial" w:cs="Arial" w:eastAsia="Arial" w:hAnsi="Arial"/>
          <w:sz w:val="13"/>
          <w:szCs w:val="13"/>
          <w:color w:val="auto"/>
        </w:rPr>
        <w:t>Represents 5,000 LTIP units that vested on 01/01/2020 and 5,000 LTIP units scheduled to vest on 01/01/2021, subject to continued employment.</w:t>
      </w:r>
    </w:p>
    <w:p>
      <w:pPr>
        <w:spacing w:after="0" w:line="66" w:lineRule="exact"/>
        <w:rPr>
          <w:rFonts w:ascii="Arial" w:cs="Arial" w:eastAsia="Arial" w:hAnsi="Arial"/>
          <w:sz w:val="13"/>
          <w:szCs w:val="13"/>
          <w:color w:val="auto"/>
        </w:rPr>
      </w:pPr>
    </w:p>
    <w:p>
      <w:pPr>
        <w:ind w:left="620" w:hanging="302"/>
        <w:spacing w:after="0"/>
        <w:tabs>
          <w:tab w:leader="none" w:pos="620" w:val="left"/>
        </w:tabs>
        <w:numPr>
          <w:ilvl w:val="1"/>
          <w:numId w:val="96"/>
        </w:numPr>
        <w:rPr>
          <w:rFonts w:ascii="Arial" w:cs="Arial" w:eastAsia="Arial" w:hAnsi="Arial"/>
          <w:sz w:val="13"/>
          <w:szCs w:val="13"/>
          <w:color w:val="auto"/>
        </w:rPr>
      </w:pPr>
      <w:r>
        <w:rPr>
          <w:rFonts w:ascii="Arial" w:cs="Arial" w:eastAsia="Arial" w:hAnsi="Arial"/>
          <w:sz w:val="13"/>
          <w:szCs w:val="13"/>
          <w:color w:val="auto"/>
        </w:rPr>
        <w:t>Represents LTIP units that vested in 2020 based on 2019 performance.</w:t>
      </w:r>
    </w:p>
    <w:p>
      <w:pPr>
        <w:spacing w:after="0" w:line="66" w:lineRule="exact"/>
        <w:rPr>
          <w:rFonts w:ascii="Arial" w:cs="Arial" w:eastAsia="Arial" w:hAnsi="Arial"/>
          <w:sz w:val="13"/>
          <w:szCs w:val="13"/>
          <w:color w:val="auto"/>
        </w:rPr>
      </w:pPr>
    </w:p>
    <w:p>
      <w:pPr>
        <w:ind w:left="620" w:right="360" w:hanging="302"/>
        <w:spacing w:after="0" w:line="258" w:lineRule="auto"/>
        <w:tabs>
          <w:tab w:leader="none" w:pos="620" w:val="left"/>
        </w:tabs>
        <w:numPr>
          <w:ilvl w:val="1"/>
          <w:numId w:val="96"/>
        </w:numPr>
        <w:rPr>
          <w:rFonts w:ascii="Arial" w:cs="Arial" w:eastAsia="Arial" w:hAnsi="Arial"/>
          <w:sz w:val="13"/>
          <w:szCs w:val="13"/>
          <w:color w:val="auto"/>
        </w:rPr>
      </w:pPr>
      <w:r>
        <w:rPr>
          <w:rFonts w:ascii="Arial" w:cs="Arial" w:eastAsia="Arial" w:hAnsi="Arial"/>
          <w:sz w:val="13"/>
          <w:szCs w:val="13"/>
          <w:color w:val="auto"/>
        </w:rPr>
        <w:t>Represents 5,326 LTIP units that vested on 01/01/2020, 5,325 LTIP units scheduled to vest on 01/01/2021 and 5,325 LTIP units scheduled to vest on 01/01/2022, subject to continued employment.</w:t>
      </w:r>
    </w:p>
    <w:p>
      <w:pPr>
        <w:spacing w:after="0" w:line="43" w:lineRule="exact"/>
        <w:rPr>
          <w:rFonts w:ascii="Arial" w:cs="Arial" w:eastAsia="Arial" w:hAnsi="Arial"/>
          <w:sz w:val="13"/>
          <w:szCs w:val="13"/>
          <w:color w:val="auto"/>
        </w:rPr>
      </w:pPr>
    </w:p>
    <w:p>
      <w:pPr>
        <w:ind w:left="320" w:right="160" w:hanging="312"/>
        <w:spacing w:after="0" w:line="258" w:lineRule="auto"/>
        <w:tabs>
          <w:tab w:leader="none" w:pos="3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Based on a price of $91.88 per share/unit, which was the closing price on the NYSE of one share of our common stock on December 31, 2019. Assumes that the value of LTIP units on a per unit basis is equal to the per share value of our common stock.</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EXECUTIVE COMPENSATION</w:t>
      </w:r>
    </w:p>
    <w:p>
      <w:pPr>
        <w:spacing w:after="0" w:line="208" w:lineRule="exact"/>
        <w:rPr>
          <w:sz w:val="20"/>
          <w:szCs w:val="20"/>
          <w:color w:val="auto"/>
        </w:rPr>
      </w:pPr>
    </w:p>
    <w:p>
      <w:pPr>
        <w:ind w:left="320" w:hanging="312"/>
        <w:spacing w:after="0"/>
        <w:tabs>
          <w:tab w:leader="none" w:pos="320" w:val="left"/>
        </w:tabs>
        <w:numPr>
          <w:ilvl w:val="0"/>
          <w:numId w:val="98"/>
        </w:numPr>
        <w:rPr>
          <w:rFonts w:ascii="Arial" w:cs="Arial" w:eastAsia="Arial" w:hAnsi="Arial"/>
          <w:sz w:val="13"/>
          <w:szCs w:val="13"/>
          <w:color w:val="auto"/>
        </w:rPr>
      </w:pPr>
      <w:r>
        <w:rPr>
          <w:rFonts w:ascii="Arial" w:cs="Arial" w:eastAsia="Arial" w:hAnsi="Arial"/>
          <w:sz w:val="13"/>
          <w:szCs w:val="13"/>
          <w:color w:val="auto"/>
        </w:rPr>
        <w:t>For each of our named executive officers includes the following:</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4820" w:type="dxa"/>
            <w:vAlign w:val="bottom"/>
          </w:tcPr>
          <w:p>
            <w:pPr>
              <w:spacing w:after="0"/>
              <w:rPr>
                <w:sz w:val="13"/>
                <w:szCs w:val="13"/>
                <w:color w:val="auto"/>
              </w:rPr>
            </w:pPr>
          </w:p>
        </w:tc>
        <w:tc>
          <w:tcPr>
            <w:tcW w:w="51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355889"/>
              </w:rPr>
              <w:t>2019</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355889"/>
              </w:rPr>
              <w:t>Performance-</w:t>
            </w:r>
          </w:p>
        </w:tc>
        <w:tc>
          <w:tcPr>
            <w:tcW w:w="0" w:type="dxa"/>
            <w:vAlign w:val="bottom"/>
          </w:tcPr>
          <w:p>
            <w:pPr>
              <w:spacing w:after="0"/>
              <w:rPr>
                <w:sz w:val="1"/>
                <w:szCs w:val="1"/>
                <w:color w:val="auto"/>
              </w:rPr>
            </w:pPr>
          </w:p>
        </w:tc>
      </w:tr>
      <w:tr>
        <w:trPr>
          <w:trHeight w:val="138"/>
        </w:trPr>
        <w:tc>
          <w:tcPr>
            <w:tcW w:w="4820" w:type="dxa"/>
            <w:vAlign w:val="bottom"/>
          </w:tcPr>
          <w:p>
            <w:pPr>
              <w:spacing w:after="0"/>
              <w:rPr>
                <w:sz w:val="12"/>
                <w:szCs w:val="12"/>
                <w:color w:val="auto"/>
              </w:rPr>
            </w:pPr>
          </w:p>
        </w:tc>
        <w:tc>
          <w:tcPr>
            <w:tcW w:w="5140" w:type="dxa"/>
            <w:vAlign w:val="bottom"/>
            <w:vMerge w:val="continue"/>
          </w:tcPr>
          <w:p>
            <w:pPr>
              <w:spacing w:after="0"/>
              <w:rPr>
                <w:sz w:val="12"/>
                <w:szCs w:val="12"/>
                <w:color w:val="auto"/>
              </w:rPr>
            </w:pPr>
          </w:p>
        </w:tc>
        <w:tc>
          <w:tcPr>
            <w:tcW w:w="960" w:type="dxa"/>
            <w:vAlign w:val="bottom"/>
          </w:tcPr>
          <w:p>
            <w:pPr>
              <w:jc w:val="right"/>
              <w:spacing w:after="0" w:line="138" w:lineRule="exact"/>
              <w:rPr>
                <w:sz w:val="20"/>
                <w:szCs w:val="20"/>
                <w:color w:val="auto"/>
              </w:rPr>
            </w:pPr>
            <w:r>
              <w:rPr>
                <w:rFonts w:ascii="Arial" w:cs="Arial" w:eastAsia="Arial" w:hAnsi="Arial"/>
                <w:sz w:val="13"/>
                <w:szCs w:val="13"/>
                <w:b w:val="1"/>
                <w:bCs w:val="1"/>
                <w:color w:val="355889"/>
              </w:rPr>
              <w:t>Based</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5140" w:type="dxa"/>
            <w:vAlign w:val="bottom"/>
          </w:tcPr>
          <w:p>
            <w:pPr>
              <w:jc w:val="right"/>
              <w:ind w:right="13"/>
              <w:spacing w:after="0"/>
              <w:rPr>
                <w:sz w:val="20"/>
                <w:szCs w:val="20"/>
                <w:color w:val="auto"/>
              </w:rPr>
            </w:pPr>
            <w:r>
              <w:rPr>
                <w:rFonts w:ascii="Arial" w:cs="Arial" w:eastAsia="Arial" w:hAnsi="Arial"/>
                <w:sz w:val="13"/>
                <w:szCs w:val="13"/>
                <w:b w:val="1"/>
                <w:bCs w:val="1"/>
                <w:color w:val="355889"/>
              </w:rPr>
              <w:t>Performance-</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355889"/>
              </w:rPr>
              <w:t>Employment</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5140" w:type="dxa"/>
            <w:vAlign w:val="bottom"/>
          </w:tcPr>
          <w:p>
            <w:pPr>
              <w:jc w:val="right"/>
              <w:ind w:right="13"/>
              <w:spacing w:after="0"/>
              <w:rPr>
                <w:sz w:val="20"/>
                <w:szCs w:val="20"/>
                <w:color w:val="auto"/>
              </w:rPr>
            </w:pPr>
            <w:r>
              <w:rPr>
                <w:rFonts w:ascii="Arial" w:cs="Arial" w:eastAsia="Arial" w:hAnsi="Arial"/>
                <w:sz w:val="13"/>
                <w:szCs w:val="13"/>
                <w:b w:val="1"/>
                <w:bCs w:val="1"/>
                <w:color w:val="355889"/>
              </w:rPr>
              <w:t>Based</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355889"/>
              </w:rPr>
              <w:t>Agreement</w:t>
            </w:r>
          </w:p>
        </w:tc>
        <w:tc>
          <w:tcPr>
            <w:tcW w:w="0" w:type="dxa"/>
            <w:vAlign w:val="bottom"/>
          </w:tcPr>
          <w:p>
            <w:pPr>
              <w:spacing w:after="0"/>
              <w:rPr>
                <w:sz w:val="1"/>
                <w:szCs w:val="1"/>
                <w:color w:val="auto"/>
              </w:rPr>
            </w:pPr>
          </w:p>
        </w:tc>
      </w:tr>
      <w:tr>
        <w:trPr>
          <w:trHeight w:val="246"/>
        </w:trPr>
        <w:tc>
          <w:tcPr>
            <w:tcW w:w="4820" w:type="dxa"/>
            <w:vAlign w:val="bottom"/>
          </w:tcPr>
          <w:p>
            <w:pPr>
              <w:spacing w:after="0"/>
              <w:rPr>
                <w:sz w:val="20"/>
                <w:szCs w:val="20"/>
                <w:color w:val="auto"/>
              </w:rPr>
            </w:pPr>
            <w:r>
              <w:rPr>
                <w:rFonts w:ascii="Arial" w:cs="Arial" w:eastAsia="Arial" w:hAnsi="Arial"/>
                <w:sz w:val="13"/>
                <w:szCs w:val="13"/>
                <w:b w:val="1"/>
                <w:bCs w:val="1"/>
                <w:color w:val="355889"/>
              </w:rPr>
              <w:t>Executive</w:t>
            </w:r>
          </w:p>
        </w:tc>
        <w:tc>
          <w:tcPr>
            <w:tcW w:w="5140" w:type="dxa"/>
            <w:vAlign w:val="bottom"/>
          </w:tcPr>
          <w:p>
            <w:pPr>
              <w:jc w:val="right"/>
              <w:ind w:right="13"/>
              <w:spacing w:after="0" w:line="246" w:lineRule="exact"/>
              <w:rPr>
                <w:sz w:val="20"/>
                <w:szCs w:val="20"/>
                <w:color w:val="auto"/>
              </w:rPr>
            </w:pPr>
            <w:r>
              <w:rPr>
                <w:rFonts w:ascii="Arial" w:cs="Arial" w:eastAsia="Arial" w:hAnsi="Arial"/>
                <w:sz w:val="13"/>
                <w:szCs w:val="13"/>
                <w:b w:val="1"/>
                <w:bCs w:val="1"/>
                <w:color w:val="355889"/>
              </w:rPr>
              <w:t>LTIP Units</w:t>
            </w:r>
            <w:r>
              <w:rPr>
                <w:rFonts w:ascii="Arial" w:cs="Arial" w:eastAsia="Arial" w:hAnsi="Arial"/>
                <w:sz w:val="22"/>
                <w:szCs w:val="22"/>
                <w:b w:val="1"/>
                <w:bCs w:val="1"/>
                <w:color w:val="355889"/>
                <w:vertAlign w:val="superscript"/>
              </w:rPr>
              <w:t>(a)</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355889"/>
              </w:rPr>
              <w:t>LTIP 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-27305</wp:posOffset>
            </wp:positionV>
            <wp:extent cx="693483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3483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320"/>
        <w:spacing w:after="0"/>
        <w:rPr>
          <w:sz w:val="20"/>
          <w:szCs w:val="20"/>
          <w:color w:val="auto"/>
        </w:rPr>
      </w:pPr>
      <w:r>
        <w:rPr>
          <w:rFonts w:ascii="Arial" w:cs="Arial" w:eastAsia="Arial" w:hAnsi="Arial"/>
          <w:sz w:val="18"/>
          <w:szCs w:val="18"/>
          <w:color w:val="auto"/>
        </w:rPr>
        <w:t>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12065</wp:posOffset>
            </wp:positionV>
            <wp:extent cx="56146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14670" cy="8255"/>
                    </a:xfrm>
                    <a:prstGeom prst="rect">
                      <a:avLst/>
                    </a:prstGeom>
                    <a:noFill/>
                  </pic:spPr>
                </pic:pic>
              </a:graphicData>
            </a:graphic>
          </wp:anchor>
        </w:drawing>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Andrew 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12065</wp:posOffset>
            </wp:positionV>
            <wp:extent cx="56146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14670" cy="8255"/>
                    </a:xfrm>
                    <a:prstGeom prst="rect">
                      <a:avLst/>
                    </a:prstGeom>
                    <a:noFill/>
                  </pic:spPr>
                </pic:pic>
              </a:graphicData>
            </a:graphic>
          </wp:anchor>
        </w:drawing>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26670</wp:posOffset>
            </wp:positionV>
            <wp:extent cx="56146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14670" cy="8255"/>
                    </a:xfrm>
                    <a:prstGeom prst="rect">
                      <a:avLst/>
                    </a:prstGeom>
                    <a:noFill/>
                  </pic:spPr>
                </pic:pic>
              </a:graphicData>
            </a:graphic>
          </wp:anchor>
        </w:drawing>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12065</wp:posOffset>
            </wp:positionV>
            <wp:extent cx="561467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1467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380" w:val="left"/>
        </w:tabs>
        <w:rPr>
          <w:sz w:val="20"/>
          <w:szCs w:val="20"/>
          <w:color w:val="auto"/>
        </w:rPr>
      </w:pPr>
      <w:r>
        <w:rPr>
          <w:rFonts w:ascii="Arial" w:cs="Arial" w:eastAsia="Arial" w:hAnsi="Arial"/>
          <w:sz w:val="18"/>
          <w:szCs w:val="18"/>
          <w:color w:val="auto"/>
        </w:rPr>
        <w:t>40,338</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12065</wp:posOffset>
            </wp:positionV>
            <wp:extent cx="12172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3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29,967</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12065</wp:posOffset>
            </wp:positionV>
            <wp:extent cx="12172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55"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6"/>
          <w:szCs w:val="16"/>
          <w:color w:val="auto"/>
        </w:rPr>
        <w:t>2,988</w:t>
      </w:r>
      <w:r>
        <w:rPr>
          <w:sz w:val="20"/>
          <w:szCs w:val="20"/>
          <w:color w:val="auto"/>
        </w:rPr>
        <w:tab/>
      </w:r>
      <w:r>
        <w:rPr>
          <w:rFonts w:ascii="Arial" w:cs="Arial" w:eastAsia="Arial" w:hAnsi="Arial"/>
          <w:sz w:val="16"/>
          <w:szCs w:val="16"/>
          <w:color w:val="auto"/>
        </w:rPr>
        <w:t>5,452</w:t>
      </w:r>
      <w:r>
        <w:rPr>
          <w:rFonts w:ascii="Arial" w:cs="Arial" w:eastAsia="Arial" w:hAnsi="Arial"/>
          <w:sz w:val="26"/>
          <w:szCs w:val="26"/>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-18415</wp:posOffset>
            </wp:positionV>
            <wp:extent cx="12172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100"/>
        <w:spacing w:after="0"/>
        <w:tabs>
          <w:tab w:leader="none" w:pos="1380" w:val="left"/>
        </w:tabs>
        <w:rPr>
          <w:sz w:val="20"/>
          <w:szCs w:val="20"/>
          <w:color w:val="auto"/>
        </w:rPr>
      </w:pPr>
      <w:r>
        <w:rPr>
          <w:rFonts w:ascii="Arial" w:cs="Arial" w:eastAsia="Arial" w:hAnsi="Arial"/>
          <w:sz w:val="18"/>
          <w:szCs w:val="18"/>
          <w:color w:val="auto"/>
        </w:rPr>
        <w:t>2,988</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12065</wp:posOffset>
            </wp:positionV>
            <wp:extent cx="121729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17295" cy="1714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8940" w:space="720"/>
            <w:col w:w="1580"/>
          </w:cols>
          <w:pgMar w:left="320" w:top="121" w:right="339" w:bottom="1440" w:gutter="0" w:footer="0" w:header="0"/>
          <w:type w:val="continuous"/>
        </w:sectPr>
      </w:pPr>
    </w:p>
    <w:p>
      <w:pPr>
        <w:ind w:left="620" w:right="60" w:hanging="302"/>
        <w:spacing w:after="0" w:line="241" w:lineRule="auto"/>
        <w:tabs>
          <w:tab w:leader="none" w:pos="620" w:val="left"/>
        </w:tabs>
        <w:numPr>
          <w:ilvl w:val="1"/>
          <w:numId w:val="99"/>
        </w:numPr>
        <w:rPr>
          <w:rFonts w:ascii="Arial" w:cs="Arial" w:eastAsia="Arial" w:hAnsi="Arial"/>
          <w:sz w:val="13"/>
          <w:szCs w:val="13"/>
          <w:color w:val="auto"/>
        </w:rPr>
      </w:pPr>
      <w:r>
        <w:rPr>
          <w:rFonts w:ascii="Arial" w:cs="Arial" w:eastAsia="Arial" w:hAnsi="Arial"/>
          <w:sz w:val="13"/>
          <w:szCs w:val="13"/>
          <w:color w:val="auto"/>
        </w:rPr>
        <w:t>Represents the sum of (i) the number of LTIP units that would be earned if the “maximum” performance goal was achieved with respect to the portion of the LTIP units eligible to be earned based on absolute TSR and (ii) the number of LTIP units that would be earned if the “threshold” performance goal was achieved with respect to the portion of the LTIP units eligible to be earned based on relative TSR. If our absolute and relative TSR performance for the three-year performance period applicable to these awards continues to be the same as we experienced from the beginning of the performance period through December 31, 2019, our named executive officers will earn all of the LTIP units under these awards eligible to be earned based on the absolute TSR modifier and none of the awards eligible to be earned based on our relative TSR. Earned LTIP units will vest 100% for Messrs. Holliday and Mathias on December 31, 2021, and 50% on each of December 31, 2021 and December 31, 2022 for Messrs. DiLiberto and Levine, subject, in each case, to continued employment. See “ —Compensation Discussion and Analysis —2019 Pay Outcomes --2019 Performance-Based Equity Awards” for a description of these awards.</w:t>
      </w:r>
    </w:p>
    <w:p>
      <w:pPr>
        <w:spacing w:after="0" w:line="56" w:lineRule="exact"/>
        <w:rPr>
          <w:rFonts w:ascii="Arial" w:cs="Arial" w:eastAsia="Arial" w:hAnsi="Arial"/>
          <w:sz w:val="13"/>
          <w:szCs w:val="13"/>
          <w:color w:val="auto"/>
        </w:rPr>
      </w:pPr>
    </w:p>
    <w:p>
      <w:pPr>
        <w:ind w:left="620" w:right="40" w:hanging="302"/>
        <w:spacing w:after="0" w:line="241" w:lineRule="auto"/>
        <w:tabs>
          <w:tab w:leader="none" w:pos="620" w:val="left"/>
        </w:tabs>
        <w:numPr>
          <w:ilvl w:val="1"/>
          <w:numId w:val="99"/>
        </w:numPr>
        <w:rPr>
          <w:rFonts w:ascii="Arial" w:cs="Arial" w:eastAsia="Arial" w:hAnsi="Arial"/>
          <w:sz w:val="13"/>
          <w:szCs w:val="13"/>
          <w:color w:val="auto"/>
        </w:rPr>
      </w:pPr>
      <w:r>
        <w:rPr>
          <w:rFonts w:ascii="Arial" w:cs="Arial" w:eastAsia="Arial" w:hAnsi="Arial"/>
          <w:sz w:val="13"/>
          <w:szCs w:val="13"/>
          <w:color w:val="auto"/>
        </w:rPr>
        <w:t>Represents the unearned portion of a grant of 15,000 LTIP units that was awarded in connection with Mr. DiLiberto’s employment agreement and was subject to the achievement of performance-based vesting hurdles over three years. One-third of the LTIP units were initially eligible to be earned in each of 2019, 2020 and 2021, with 50-100% of such LTIP units earned upon the achievement of either annual FFO growth of 2.5-5.0% per year or TSR in the top 66.7-33.3% of the MSCI US REIT Index, respectively, during the prior year (or on a cumulative basis from 2018 through the end of such year or a subsequent quarter during the term of Mr. DiLiberto’s employment agreement). None of these LTIP units will vest if threshold performance is not achieved. “Threshold” performance equals annual FFO growth of 2.5% per year or TSR in the top 66.7% of the MSCI US REIT Index. “Target” performance equals annual FFO growth of 3.75% per year or TSR in the top 50% of the MSCI US REIT Index. “Maximum” performance equals annual FFO growth of 5.0% per year or TSR in the top 33.3% of the MSCI US REIT Index. Vesting is also subject to Mr. DiLiberto’s continued employment through January 1st of the year following the year in which the performance-based vesting hurdles are achieved.</w:t>
      </w:r>
    </w:p>
    <w:p>
      <w:pPr>
        <w:spacing w:after="0" w:line="54" w:lineRule="exact"/>
        <w:rPr>
          <w:rFonts w:ascii="Arial" w:cs="Arial" w:eastAsia="Arial" w:hAnsi="Arial"/>
          <w:sz w:val="13"/>
          <w:szCs w:val="13"/>
          <w:color w:val="auto"/>
        </w:rPr>
      </w:pPr>
    </w:p>
    <w:p>
      <w:pPr>
        <w:ind w:left="320" w:right="20" w:hanging="312"/>
        <w:spacing w:after="0" w:line="241" w:lineRule="auto"/>
        <w:tabs>
          <w:tab w:leader="none" w:pos="32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Reflects an award of 15,000 Class O LTIP units with a mandatory conversion date that is 5 years after the date of grant and an award of 15,000 Class O LTIP units with a mandatory conversion date that is 10 years after the date of grant, each of which vests pro-rata over a three-year period on January 1, 2018, 2019 and 2020, respectively, subject to continued employment through each vesting date. Accordingly, 5,000 of the Class O LTIP units of each award vested on January 1, 2018 and 2019, respectively, and 5,000 Class O LTIP units of each award remain subject to vesting pursuant to the foregoing terms. The conversion threshold for the Class O LTIP units, which is equivalent to the exercise price for a stock option, was determined by reference to the fair market value under our Fourth Amended and Restated 2005 Stock Option and Incentive Plan of one share of our common stock, meaning, in this instance, the closing stock price of one share of our common stock on the NYSE on January 10, 2017, the last preceding trading date prior to the grant date. See “— Compensation Discussion and Analysis—Other Compensation Policies and Information—Other Matters— LTIP units and Class O LTIP units” for a description of Class O LTIP units.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2019 Option Exercises and Stock Vested</w:t>
      </w:r>
    </w:p>
    <w:p>
      <w:pPr>
        <w:spacing w:after="0" w:line="233"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The following table sets forth certain information with respect to the exercise of stock options and the vesting of stock, including restricted stock, restricted stock units, LTIP units and similar instruments for each named executive officer during the fiscal year ended December 31,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355889"/>
              </w:rPr>
              <w:t>Option Awards</w:t>
            </w: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355889"/>
              </w:rPr>
              <w:t>Stock Awards</w:t>
            </w:r>
          </w:p>
        </w:tc>
      </w:tr>
      <w:tr>
        <w:trPr>
          <w:trHeight w:val="48"/>
        </w:trPr>
        <w:tc>
          <w:tcPr>
            <w:tcW w:w="6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Borders>
              <w:bottom w:val="single" w:sz="8" w:color="355989"/>
            </w:tcBorders>
            <w:gridSpan w:val="2"/>
          </w:tcPr>
          <w:p>
            <w:pPr>
              <w:spacing w:after="0"/>
              <w:rPr>
                <w:sz w:val="4"/>
                <w:szCs w:val="4"/>
                <w:color w:val="auto"/>
              </w:rPr>
            </w:pPr>
          </w:p>
        </w:tc>
        <w:tc>
          <w:tcPr>
            <w:tcW w:w="740" w:type="dxa"/>
            <w:vAlign w:val="bottom"/>
            <w:tcBorders>
              <w:bottom w:val="single" w:sz="8" w:color="355989"/>
            </w:tcBorders>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Borders>
              <w:bottom w:val="single" w:sz="8" w:color="355989"/>
            </w:tcBorders>
            <w:gridSpan w:val="2"/>
          </w:tcPr>
          <w:p>
            <w:pPr>
              <w:spacing w:after="0"/>
              <w:rPr>
                <w:sz w:val="4"/>
                <w:szCs w:val="4"/>
                <w:color w:val="auto"/>
              </w:rPr>
            </w:pPr>
          </w:p>
        </w:tc>
        <w:tc>
          <w:tcPr>
            <w:tcW w:w="160" w:type="dxa"/>
            <w:vAlign w:val="bottom"/>
            <w:tcBorders>
              <w:bottom w:val="single" w:sz="8" w:color="355989"/>
            </w:tcBorders>
          </w:tcPr>
          <w:p>
            <w:pPr>
              <w:spacing w:after="0"/>
              <w:rPr>
                <w:sz w:val="4"/>
                <w:szCs w:val="4"/>
                <w:color w:val="auto"/>
              </w:rPr>
            </w:pPr>
          </w:p>
        </w:tc>
        <w:tc>
          <w:tcPr>
            <w:tcW w:w="980" w:type="dxa"/>
            <w:vAlign w:val="bottom"/>
            <w:tcBorders>
              <w:bottom w:val="single" w:sz="8" w:color="355989"/>
            </w:tcBorders>
          </w:tcPr>
          <w:p>
            <w:pPr>
              <w:spacing w:after="0"/>
              <w:rPr>
                <w:sz w:val="4"/>
                <w:szCs w:val="4"/>
                <w:color w:val="auto"/>
              </w:rPr>
            </w:pPr>
          </w:p>
        </w:tc>
      </w:tr>
      <w:tr>
        <w:trPr>
          <w:trHeight w:val="189"/>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Number of</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355889"/>
              </w:rPr>
              <w:t>Value</w:t>
            </w:r>
          </w:p>
        </w:tc>
        <w:tc>
          <w:tcPr>
            <w:tcW w:w="12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Number of</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355889"/>
              </w:rPr>
              <w:t>Value</w:t>
            </w:r>
          </w:p>
        </w:tc>
      </w:tr>
      <w:tr>
        <w:trPr>
          <w:trHeight w:val="148"/>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Shares Acquired</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355889"/>
                <w:w w:val="99"/>
              </w:rPr>
              <w:t>Realized on</w:t>
            </w:r>
          </w:p>
        </w:tc>
        <w:tc>
          <w:tcPr>
            <w:tcW w:w="12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Shares Acquired</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355889"/>
              </w:rPr>
              <w:t>Realized on</w:t>
            </w:r>
          </w:p>
        </w:tc>
      </w:tr>
      <w:tr>
        <w:trPr>
          <w:trHeight w:val="203"/>
        </w:trPr>
        <w:tc>
          <w:tcPr>
            <w:tcW w:w="6520" w:type="dxa"/>
            <w:vAlign w:val="bottom"/>
          </w:tcPr>
          <w:p>
            <w:pPr>
              <w:spacing w:after="0"/>
              <w:rPr>
                <w:sz w:val="20"/>
                <w:szCs w:val="20"/>
                <w:color w:val="auto"/>
              </w:rPr>
            </w:pPr>
            <w:r>
              <w:rPr>
                <w:rFonts w:ascii="Arial" w:cs="Arial" w:eastAsia="Arial" w:hAnsi="Arial"/>
                <w:sz w:val="13"/>
                <w:szCs w:val="13"/>
                <w:b w:val="1"/>
                <w:bCs w:val="1"/>
                <w:color w:val="355889"/>
              </w:rPr>
              <w:t>Name</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355889"/>
              </w:rPr>
              <w:t>on Exercise (#)</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355889"/>
              </w:rPr>
              <w:t>Vesting ($)</w:t>
            </w:r>
          </w:p>
        </w:tc>
        <w:tc>
          <w:tcPr>
            <w:tcW w:w="12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on Vesting (#)</w:t>
            </w:r>
          </w:p>
        </w:tc>
        <w:tc>
          <w:tcPr>
            <w:tcW w:w="1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3"/>
                <w:szCs w:val="13"/>
                <w:b w:val="1"/>
                <w:bCs w:val="1"/>
                <w:color w:val="355889"/>
              </w:rPr>
              <w:t>Vesting</w:t>
            </w:r>
            <w:r>
              <w:rPr>
                <w:rFonts w:ascii="Arial" w:cs="Arial" w:eastAsia="Arial" w:hAnsi="Arial"/>
                <w:sz w:val="22"/>
                <w:szCs w:val="22"/>
                <w:b w:val="1"/>
                <w:bCs w:val="1"/>
                <w:color w:val="355889"/>
                <w:vertAlign w:val="superscript"/>
              </w:rPr>
              <w:t>(1)</w:t>
            </w:r>
            <w:r>
              <w:rPr>
                <w:rFonts w:ascii="Arial" w:cs="Arial" w:eastAsia="Arial" w:hAnsi="Arial"/>
                <w:sz w:val="13"/>
                <w:szCs w:val="13"/>
                <w:b w:val="1"/>
                <w:bCs w:val="1"/>
                <w:color w:val="355889"/>
              </w:rPr>
              <w:t xml:space="preserve"> ($)</w:t>
            </w:r>
          </w:p>
        </w:tc>
      </w:tr>
      <w:tr>
        <w:trPr>
          <w:trHeight w:val="27"/>
        </w:trPr>
        <w:tc>
          <w:tcPr>
            <w:tcW w:w="6520" w:type="dxa"/>
            <w:vAlign w:val="bottom"/>
            <w:shd w:val="clear" w:color="auto" w:fill="355989"/>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355989"/>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355989"/>
          </w:tcPr>
          <w:p>
            <w:pPr>
              <w:spacing w:after="0"/>
              <w:rPr>
                <w:sz w:val="2"/>
                <w:szCs w:val="2"/>
                <w:color w:val="auto"/>
              </w:rPr>
            </w:pPr>
          </w:p>
        </w:tc>
        <w:tc>
          <w:tcPr>
            <w:tcW w:w="980" w:type="dxa"/>
            <w:vAlign w:val="bottom"/>
            <w:shd w:val="clear" w:color="auto" w:fill="355989"/>
          </w:tcPr>
          <w:p>
            <w:pPr>
              <w:spacing w:after="0"/>
              <w:rPr>
                <w:sz w:val="2"/>
                <w:szCs w:val="2"/>
                <w:color w:val="auto"/>
              </w:rPr>
            </w:pP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Marc Holliday</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119,711</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10,450,461</w:t>
            </w:r>
          </w:p>
        </w:tc>
      </w:tr>
      <w:tr>
        <w:trPr>
          <w:trHeight w:val="21"/>
        </w:trPr>
        <w:tc>
          <w:tcPr>
            <w:tcW w:w="652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980" w:type="dxa"/>
            <w:vAlign w:val="bottom"/>
            <w:shd w:val="clear" w:color="auto" w:fill="355989"/>
          </w:tcPr>
          <w:p>
            <w:pPr>
              <w:spacing w:after="0" w:line="20" w:lineRule="exact"/>
              <w:rPr>
                <w:sz w:val="1"/>
                <w:szCs w:val="1"/>
                <w:color w:val="auto"/>
              </w:rPr>
            </w:pP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Andrew Mathias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62,072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5,409,528</w:t>
            </w:r>
          </w:p>
        </w:tc>
      </w:tr>
      <w:tr>
        <w:trPr>
          <w:trHeight w:val="21"/>
        </w:trPr>
        <w:tc>
          <w:tcPr>
            <w:tcW w:w="652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980" w:type="dxa"/>
            <w:vAlign w:val="bottom"/>
            <w:shd w:val="clear" w:color="auto" w:fill="355989"/>
          </w:tcPr>
          <w:p>
            <w:pPr>
              <w:spacing w:after="0" w:line="20" w:lineRule="exact"/>
              <w:rPr>
                <w:sz w:val="1"/>
                <w:szCs w:val="1"/>
                <w:color w:val="auto"/>
              </w:rPr>
            </w:pP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Matthew J. DiLiberto</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15,039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1,219,115</w:t>
            </w:r>
          </w:p>
        </w:tc>
      </w:tr>
      <w:tr>
        <w:trPr>
          <w:trHeight w:val="21"/>
        </w:trPr>
        <w:tc>
          <w:tcPr>
            <w:tcW w:w="652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980" w:type="dxa"/>
            <w:vAlign w:val="bottom"/>
            <w:shd w:val="clear" w:color="auto" w:fill="355989"/>
          </w:tcPr>
          <w:p>
            <w:pPr>
              <w:spacing w:after="0" w:line="20" w:lineRule="exact"/>
              <w:rPr>
                <w:sz w:val="1"/>
                <w:szCs w:val="1"/>
                <w:color w:val="auto"/>
              </w:rPr>
            </w:pPr>
          </w:p>
        </w:tc>
      </w:tr>
      <w:tr>
        <w:trPr>
          <w:trHeight w:val="235"/>
        </w:trPr>
        <w:tc>
          <w:tcPr>
            <w:tcW w:w="6520" w:type="dxa"/>
            <w:vAlign w:val="bottom"/>
          </w:tcPr>
          <w:p>
            <w:pPr>
              <w:spacing w:after="0"/>
              <w:rPr>
                <w:sz w:val="20"/>
                <w:szCs w:val="20"/>
                <w:color w:val="auto"/>
              </w:rPr>
            </w:pPr>
            <w:r>
              <w:rPr>
                <w:rFonts w:ascii="Arial" w:cs="Arial" w:eastAsia="Arial" w:hAnsi="Arial"/>
                <w:sz w:val="18"/>
                <w:szCs w:val="18"/>
                <w:color w:val="auto"/>
              </w:rPr>
              <w:t>Andrew S. Levine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25,355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2,223,962</w:t>
            </w:r>
          </w:p>
        </w:tc>
      </w:tr>
      <w:tr>
        <w:trPr>
          <w:trHeight w:val="35"/>
        </w:trPr>
        <w:tc>
          <w:tcPr>
            <w:tcW w:w="6520" w:type="dxa"/>
            <w:vAlign w:val="bottom"/>
            <w:shd w:val="clear" w:color="auto" w:fill="355989"/>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shd w:val="clear" w:color="auto" w:fill="355989"/>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shd w:val="clear" w:color="auto" w:fill="355989"/>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shd w:val="clear" w:color="auto" w:fill="355989"/>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shd w:val="clear" w:color="auto" w:fill="355989"/>
          </w:tcPr>
          <w:p>
            <w:pPr>
              <w:spacing w:after="0"/>
              <w:rPr>
                <w:sz w:val="3"/>
                <w:szCs w:val="3"/>
                <w:color w:val="auto"/>
              </w:rPr>
            </w:pPr>
          </w:p>
        </w:tc>
        <w:tc>
          <w:tcPr>
            <w:tcW w:w="980" w:type="dxa"/>
            <w:vAlign w:val="bottom"/>
            <w:shd w:val="clear" w:color="auto" w:fill="355989"/>
          </w:tcPr>
          <w:p>
            <w:pPr>
              <w:spacing w:after="0"/>
              <w:rPr>
                <w:sz w:val="3"/>
                <w:szCs w:val="3"/>
                <w:color w:val="auto"/>
              </w:rPr>
            </w:pPr>
          </w:p>
        </w:tc>
      </w:tr>
    </w:tbl>
    <w:p>
      <w:pPr>
        <w:spacing w:after="0" w:line="107" w:lineRule="exact"/>
        <w:rPr>
          <w:sz w:val="20"/>
          <w:szCs w:val="20"/>
          <w:color w:val="auto"/>
        </w:rPr>
      </w:pPr>
    </w:p>
    <w:p>
      <w:pPr>
        <w:ind w:left="320" w:hanging="312"/>
        <w:spacing w:after="0"/>
        <w:tabs>
          <w:tab w:leader="none" w:pos="32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Amounts reflect the market value of the stock on the day the stock vested.</w:t>
      </w:r>
    </w:p>
    <w:p>
      <w:pPr>
        <w:spacing w:after="0" w:line="219" w:lineRule="exact"/>
        <w:rPr>
          <w:sz w:val="20"/>
          <w:szCs w:val="20"/>
          <w:color w:val="auto"/>
        </w:rPr>
      </w:pPr>
    </w:p>
    <w:p>
      <w:pPr>
        <w:ind w:left="300" w:hanging="292"/>
        <w:spacing w:after="0"/>
        <w:tabs>
          <w:tab w:leader="none" w:pos="300" w:val="left"/>
        </w:tabs>
        <w:numPr>
          <w:ilvl w:val="0"/>
          <w:numId w:val="102"/>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2019 Nonqualified Deferred Compensation</w:t>
      </w:r>
    </w:p>
    <w:p>
      <w:pPr>
        <w:spacing w:after="0" w:line="23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following table sets forth certain information regarding non-tax qualified compensation deferred during the year ended December 31, 2019. All of the information below relates to notional stock units that we granted to certain of our named executive officers pursuant to employment agreements we had entered into with them. Pursuant to these employment agreements, we agreed to grant notional stock units with a specified value to certain of our named executive officers each year, which are subject to vesting based on continued employment for the following year. Once vested, these notional stock units represent a contingent right to receive the value of one share of our common stock. Under the terms of the deferred compensation agreements, each participant is also entitled to dividend equivalent rights, to be paid in cash on a current basis, equal to the amount per share of any cash dividend we declare, multiplied by the total number of notional units held by such participant as of the record date for such dividend. Vested notional stock units are settled in cash no later than 30 days following the earliest of (i) the executive’s death, (ii) the date of the executive’s separation from service with us and (iii) the effective date of a change in control.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Under our new employment agreements with our Named Executive Officers, we eliminated nonqualified deferred compensation.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Executive</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Registrant</w:t>
            </w:r>
          </w:p>
        </w:tc>
        <w:tc>
          <w:tcPr>
            <w:tcW w:w="30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889"/>
              </w:rPr>
              <w:t>Aggregate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Aggregate</w:t>
            </w: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355889"/>
              </w:rPr>
              <w:t>Aggregate</w:t>
            </w:r>
          </w:p>
        </w:tc>
      </w:tr>
      <w:tr>
        <w:trPr>
          <w:trHeight w:val="148"/>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Contributions</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Contributions</w:t>
            </w:r>
          </w:p>
        </w:tc>
        <w:tc>
          <w:tcPr>
            <w:tcW w:w="30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889"/>
              </w:rPr>
              <w:t>Earnings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Withdrawals/</w:t>
            </w:r>
          </w:p>
        </w:tc>
        <w:tc>
          <w:tcPr>
            <w:tcW w:w="2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355889"/>
              </w:rPr>
              <w:t>Balance</w:t>
            </w:r>
          </w:p>
        </w:tc>
      </w:tr>
      <w:tr>
        <w:trPr>
          <w:trHeight w:val="203"/>
        </w:trPr>
        <w:tc>
          <w:tcPr>
            <w:tcW w:w="4240" w:type="dxa"/>
            <w:vAlign w:val="bottom"/>
          </w:tcPr>
          <w:p>
            <w:pPr>
              <w:spacing w:after="0"/>
              <w:rPr>
                <w:sz w:val="20"/>
                <w:szCs w:val="20"/>
                <w:color w:val="auto"/>
              </w:rPr>
            </w:pPr>
            <w:r>
              <w:rPr>
                <w:rFonts w:ascii="Arial" w:cs="Arial" w:eastAsia="Arial" w:hAnsi="Arial"/>
                <w:sz w:val="13"/>
                <w:szCs w:val="13"/>
                <w:b w:val="1"/>
                <w:bCs w:val="1"/>
                <w:color w:val="355889"/>
              </w:rPr>
              <w:t>Executive</w:t>
            </w:r>
          </w:p>
        </w:tc>
        <w:tc>
          <w:tcPr>
            <w:tcW w:w="16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Arial" w:cs="Arial" w:eastAsia="Arial" w:hAnsi="Arial"/>
                <w:sz w:val="13"/>
                <w:szCs w:val="13"/>
                <w:b w:val="1"/>
                <w:bCs w:val="1"/>
                <w:color w:val="355889"/>
              </w:rPr>
              <w:t>in Last FY ($)</w:t>
            </w:r>
            <w:r>
              <w:rPr>
                <w:rFonts w:ascii="Arial" w:cs="Arial" w:eastAsia="Arial" w:hAnsi="Arial"/>
                <w:sz w:val="22"/>
                <w:szCs w:val="22"/>
                <w:b w:val="1"/>
                <w:bCs w:val="1"/>
                <w:color w:val="355889"/>
                <w:vertAlign w:val="superscript"/>
              </w:rPr>
              <w:t>(1)(2)</w:t>
            </w: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in Last FY ($)</w:t>
            </w:r>
          </w:p>
        </w:tc>
        <w:tc>
          <w:tcPr>
            <w:tcW w:w="1280" w:type="dxa"/>
            <w:vAlign w:val="bottom"/>
            <w:gridSpan w:val="3"/>
          </w:tcPr>
          <w:p>
            <w:pPr>
              <w:jc w:val="right"/>
              <w:ind w:right="80"/>
              <w:spacing w:after="0" w:line="203" w:lineRule="exact"/>
              <w:rPr>
                <w:sz w:val="20"/>
                <w:szCs w:val="20"/>
                <w:color w:val="auto"/>
              </w:rPr>
            </w:pPr>
            <w:r>
              <w:rPr>
                <w:rFonts w:ascii="Arial" w:cs="Arial" w:eastAsia="Arial" w:hAnsi="Arial"/>
                <w:sz w:val="13"/>
                <w:szCs w:val="13"/>
                <w:b w:val="1"/>
                <w:bCs w:val="1"/>
                <w:color w:val="355889"/>
              </w:rPr>
              <w:t>in Last FY ($)</w:t>
            </w:r>
            <w:r>
              <w:rPr>
                <w:rFonts w:ascii="Arial" w:cs="Arial" w:eastAsia="Arial" w:hAnsi="Arial"/>
                <w:sz w:val="22"/>
                <w:szCs w:val="22"/>
                <w:b w:val="1"/>
                <w:bCs w:val="1"/>
                <w:color w:val="355889"/>
                <w:vertAlign w:val="superscript"/>
              </w:rPr>
              <w:t>(2)(3)</w:t>
            </w:r>
          </w:p>
        </w:tc>
        <w:tc>
          <w:tcPr>
            <w:tcW w:w="80" w:type="dxa"/>
            <w:vAlign w:val="bottom"/>
          </w:tcPr>
          <w:p>
            <w:pPr>
              <w:spacing w:after="0"/>
              <w:rPr>
                <w:sz w:val="17"/>
                <w:szCs w:val="17"/>
                <w:color w:val="auto"/>
              </w:rPr>
            </w:pPr>
          </w:p>
        </w:tc>
        <w:tc>
          <w:tcPr>
            <w:tcW w:w="1380" w:type="dxa"/>
            <w:vAlign w:val="bottom"/>
            <w:gridSpan w:val="3"/>
          </w:tcPr>
          <w:p>
            <w:pPr>
              <w:jc w:val="right"/>
              <w:ind w:right="160"/>
              <w:spacing w:after="0" w:line="203" w:lineRule="exact"/>
              <w:rPr>
                <w:sz w:val="20"/>
                <w:szCs w:val="20"/>
                <w:color w:val="auto"/>
              </w:rPr>
            </w:pPr>
            <w:r>
              <w:rPr>
                <w:rFonts w:ascii="Arial" w:cs="Arial" w:eastAsia="Arial" w:hAnsi="Arial"/>
                <w:sz w:val="13"/>
                <w:szCs w:val="13"/>
                <w:b w:val="1"/>
                <w:bCs w:val="1"/>
                <w:color w:val="355889"/>
              </w:rPr>
              <w:t>Distributions ($)</w:t>
            </w:r>
            <w:r>
              <w:rPr>
                <w:rFonts w:ascii="Arial" w:cs="Arial" w:eastAsia="Arial" w:hAnsi="Arial"/>
                <w:sz w:val="22"/>
                <w:szCs w:val="22"/>
                <w:b w:val="1"/>
                <w:bCs w:val="1"/>
                <w:color w:val="355889"/>
                <w:vertAlign w:val="superscript"/>
              </w:rPr>
              <w:t>(4)</w:t>
            </w:r>
          </w:p>
        </w:tc>
        <w:tc>
          <w:tcPr>
            <w:tcW w:w="28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13"/>
                <w:szCs w:val="13"/>
                <w:b w:val="1"/>
                <w:bCs w:val="1"/>
                <w:color w:val="355889"/>
              </w:rPr>
              <w:t>at Last FYE ($)</w:t>
            </w:r>
            <w:r>
              <w:rPr>
                <w:rFonts w:ascii="Arial" w:cs="Arial" w:eastAsia="Arial" w:hAnsi="Arial"/>
                <w:sz w:val="22"/>
                <w:szCs w:val="22"/>
                <w:b w:val="1"/>
                <w:bCs w:val="1"/>
                <w:color w:val="355889"/>
                <w:vertAlign w:val="superscript"/>
              </w:rPr>
              <w:t>(2)(5)</w:t>
            </w:r>
          </w:p>
        </w:tc>
      </w:tr>
      <w:tr>
        <w:trPr>
          <w:trHeight w:val="27"/>
        </w:trPr>
        <w:tc>
          <w:tcPr>
            <w:tcW w:w="424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355989"/>
          </w:tcPr>
          <w:p>
            <w:pPr>
              <w:spacing w:after="0"/>
              <w:rPr>
                <w:sz w:val="2"/>
                <w:szCs w:val="2"/>
                <w:color w:val="auto"/>
              </w:rPr>
            </w:pPr>
          </w:p>
        </w:tc>
        <w:tc>
          <w:tcPr>
            <w:tcW w:w="100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355989"/>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355989"/>
          </w:tcPr>
          <w:p>
            <w:pPr>
              <w:spacing w:after="0"/>
              <w:rPr>
                <w:sz w:val="2"/>
                <w:szCs w:val="2"/>
                <w:color w:val="auto"/>
              </w:rPr>
            </w:pPr>
          </w:p>
        </w:tc>
        <w:tc>
          <w:tcPr>
            <w:tcW w:w="90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355989"/>
          </w:tcPr>
          <w:p>
            <w:pPr>
              <w:spacing w:after="0"/>
              <w:rPr>
                <w:sz w:val="2"/>
                <w:szCs w:val="2"/>
                <w:color w:val="auto"/>
              </w:rPr>
            </w:pPr>
          </w:p>
        </w:tc>
        <w:tc>
          <w:tcPr>
            <w:tcW w:w="98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355989"/>
          </w:tcPr>
          <w:p>
            <w:pPr>
              <w:spacing w:after="0"/>
              <w:rPr>
                <w:sz w:val="2"/>
                <w:szCs w:val="2"/>
                <w:color w:val="auto"/>
              </w:rPr>
            </w:pPr>
          </w:p>
        </w:tc>
        <w:tc>
          <w:tcPr>
            <w:tcW w:w="1400" w:type="dxa"/>
            <w:vAlign w:val="bottom"/>
            <w:shd w:val="clear" w:color="auto" w:fill="355989"/>
          </w:tcPr>
          <w:p>
            <w:pPr>
              <w:spacing w:after="0"/>
              <w:rPr>
                <w:sz w:val="2"/>
                <w:szCs w:val="2"/>
                <w:color w:val="auto"/>
              </w:rPr>
            </w:pPr>
          </w:p>
        </w:tc>
      </w:tr>
      <w:tr>
        <w:trPr>
          <w:trHeight w:val="235"/>
        </w:trPr>
        <w:tc>
          <w:tcPr>
            <w:tcW w:w="4240" w:type="dxa"/>
            <w:vAlign w:val="bottom"/>
          </w:tcPr>
          <w:p>
            <w:pPr>
              <w:spacing w:after="0"/>
              <w:rPr>
                <w:sz w:val="20"/>
                <w:szCs w:val="20"/>
                <w:color w:val="auto"/>
              </w:rPr>
            </w:pPr>
            <w:r>
              <w:rPr>
                <w:rFonts w:ascii="Arial" w:cs="Arial" w:eastAsia="Arial" w:hAnsi="Arial"/>
                <w:sz w:val="18"/>
                <w:szCs w:val="18"/>
                <w:color w:val="auto"/>
              </w:rPr>
              <w:t>Marc Holliday</w:t>
            </w:r>
          </w:p>
        </w:tc>
        <w:tc>
          <w:tcPr>
            <w:tcW w:w="36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684,357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918,833</w:t>
            </w:r>
          </w:p>
        </w:tc>
        <w:tc>
          <w:tcPr>
            <w:tcW w:w="80" w:type="dxa"/>
            <w:vAlign w:val="bottom"/>
          </w:tcPr>
          <w:p>
            <w:pPr>
              <w:spacing w:after="0"/>
              <w:rPr>
                <w:sz w:val="20"/>
                <w:szCs w:val="20"/>
                <w:color w:val="auto"/>
              </w:rPr>
            </w:pPr>
          </w:p>
        </w:tc>
        <w:tc>
          <w:tcPr>
            <w:tcW w:w="320" w:type="dxa"/>
            <w:vAlign w:val="bottom"/>
            <w:gridSpan w:val="2"/>
          </w:tcPr>
          <w:p>
            <w:pPr>
              <w:jc w:val="right"/>
              <w:ind w:right="73"/>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208,808</w:t>
            </w:r>
          </w:p>
        </w:tc>
        <w:tc>
          <w:tcPr>
            <w:tcW w:w="16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5,642,718</w:t>
            </w:r>
          </w:p>
        </w:tc>
      </w:tr>
      <w:tr>
        <w:trPr>
          <w:trHeight w:val="21"/>
        </w:trPr>
        <w:tc>
          <w:tcPr>
            <w:tcW w:w="424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100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355989"/>
          </w:tcPr>
          <w:p>
            <w:pPr>
              <w:spacing w:after="0" w:line="20" w:lineRule="exact"/>
              <w:rPr>
                <w:sz w:val="1"/>
                <w:szCs w:val="1"/>
                <w:color w:val="auto"/>
              </w:rPr>
            </w:pPr>
          </w:p>
        </w:tc>
        <w:tc>
          <w:tcPr>
            <w:tcW w:w="900" w:type="dxa"/>
            <w:vAlign w:val="bottom"/>
            <w:shd w:val="clear" w:color="auto" w:fill="35598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355989"/>
          </w:tcPr>
          <w:p>
            <w:pPr>
              <w:spacing w:after="0" w:line="20" w:lineRule="exact"/>
              <w:rPr>
                <w:sz w:val="1"/>
                <w:szCs w:val="1"/>
                <w:color w:val="auto"/>
              </w:rPr>
            </w:pPr>
          </w:p>
        </w:tc>
        <w:tc>
          <w:tcPr>
            <w:tcW w:w="98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r>
      <w:tr>
        <w:trPr>
          <w:trHeight w:val="235"/>
        </w:trPr>
        <w:tc>
          <w:tcPr>
            <w:tcW w:w="424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620,023</w:t>
            </w:r>
          </w:p>
        </w:tc>
        <w:tc>
          <w:tcPr>
            <w:tcW w:w="80" w:type="dxa"/>
            <w:vAlign w:val="bottom"/>
          </w:tcPr>
          <w:p>
            <w:pPr>
              <w:spacing w:after="0"/>
              <w:rPr>
                <w:sz w:val="20"/>
                <w:szCs w:val="20"/>
                <w:color w:val="auto"/>
              </w:rPr>
            </w:pPr>
          </w:p>
        </w:tc>
        <w:tc>
          <w:tcPr>
            <w:tcW w:w="320" w:type="dxa"/>
            <w:vAlign w:val="bottom"/>
            <w:gridSpan w:val="2"/>
          </w:tcPr>
          <w:p>
            <w:pPr>
              <w:jc w:val="right"/>
              <w:ind w:right="73"/>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130,128</w:t>
            </w:r>
          </w:p>
        </w:tc>
        <w:tc>
          <w:tcPr>
            <w:tcW w:w="16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3,516,523</w:t>
            </w:r>
          </w:p>
        </w:tc>
      </w:tr>
      <w:tr>
        <w:trPr>
          <w:trHeight w:val="21"/>
        </w:trPr>
        <w:tc>
          <w:tcPr>
            <w:tcW w:w="424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100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355989"/>
          </w:tcPr>
          <w:p>
            <w:pPr>
              <w:spacing w:after="0" w:line="20" w:lineRule="exact"/>
              <w:rPr>
                <w:sz w:val="1"/>
                <w:szCs w:val="1"/>
                <w:color w:val="auto"/>
              </w:rPr>
            </w:pPr>
          </w:p>
        </w:tc>
        <w:tc>
          <w:tcPr>
            <w:tcW w:w="900" w:type="dxa"/>
            <w:vAlign w:val="bottom"/>
            <w:shd w:val="clear" w:color="auto" w:fill="35598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355989"/>
          </w:tcPr>
          <w:p>
            <w:pPr>
              <w:spacing w:after="0" w:line="20" w:lineRule="exact"/>
              <w:rPr>
                <w:sz w:val="1"/>
                <w:szCs w:val="1"/>
                <w:color w:val="auto"/>
              </w:rPr>
            </w:pPr>
          </w:p>
        </w:tc>
        <w:tc>
          <w:tcPr>
            <w:tcW w:w="98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r>
      <w:tr>
        <w:trPr>
          <w:trHeight w:val="235"/>
        </w:trPr>
        <w:tc>
          <w:tcPr>
            <w:tcW w:w="4240" w:type="dxa"/>
            <w:vAlign w:val="bottom"/>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424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100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355989"/>
          </w:tcPr>
          <w:p>
            <w:pPr>
              <w:spacing w:after="0" w:line="20" w:lineRule="exact"/>
              <w:rPr>
                <w:sz w:val="1"/>
                <w:szCs w:val="1"/>
                <w:color w:val="auto"/>
              </w:rPr>
            </w:pPr>
          </w:p>
        </w:tc>
        <w:tc>
          <w:tcPr>
            <w:tcW w:w="900" w:type="dxa"/>
            <w:vAlign w:val="bottom"/>
            <w:shd w:val="clear" w:color="auto" w:fill="35598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355989"/>
          </w:tcPr>
          <w:p>
            <w:pPr>
              <w:spacing w:after="0" w:line="20" w:lineRule="exact"/>
              <w:rPr>
                <w:sz w:val="1"/>
                <w:szCs w:val="1"/>
                <w:color w:val="auto"/>
              </w:rPr>
            </w:pPr>
          </w:p>
        </w:tc>
        <w:tc>
          <w:tcPr>
            <w:tcW w:w="98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r>
      <w:tr>
        <w:trPr>
          <w:trHeight w:val="235"/>
        </w:trPr>
        <w:tc>
          <w:tcPr>
            <w:tcW w:w="4240" w:type="dxa"/>
            <w:vAlign w:val="bottom"/>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
        </w:trPr>
        <w:tc>
          <w:tcPr>
            <w:tcW w:w="4240" w:type="dxa"/>
            <w:vAlign w:val="bottom"/>
            <w:shd w:val="clear" w:color="auto" w:fill="355989"/>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shd w:val="clear" w:color="auto" w:fill="355989"/>
          </w:tcPr>
          <w:p>
            <w:pPr>
              <w:spacing w:after="0"/>
              <w:rPr>
                <w:sz w:val="3"/>
                <w:szCs w:val="3"/>
                <w:color w:val="auto"/>
              </w:rPr>
            </w:pPr>
          </w:p>
        </w:tc>
        <w:tc>
          <w:tcPr>
            <w:tcW w:w="1000" w:type="dxa"/>
            <w:vAlign w:val="bottom"/>
            <w:shd w:val="clear" w:color="auto" w:fill="355989"/>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shd w:val="clear" w:color="auto" w:fill="355989"/>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shd w:val="clear" w:color="auto" w:fill="355989"/>
          </w:tcPr>
          <w:p>
            <w:pPr>
              <w:spacing w:after="0"/>
              <w:rPr>
                <w:sz w:val="3"/>
                <w:szCs w:val="3"/>
                <w:color w:val="auto"/>
              </w:rPr>
            </w:pPr>
          </w:p>
        </w:tc>
        <w:tc>
          <w:tcPr>
            <w:tcW w:w="900" w:type="dxa"/>
            <w:vAlign w:val="bottom"/>
            <w:shd w:val="clear" w:color="auto" w:fill="355989"/>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shd w:val="clear" w:color="auto" w:fill="355989"/>
          </w:tcPr>
          <w:p>
            <w:pPr>
              <w:spacing w:after="0"/>
              <w:rPr>
                <w:sz w:val="3"/>
                <w:szCs w:val="3"/>
                <w:color w:val="auto"/>
              </w:rPr>
            </w:pPr>
          </w:p>
        </w:tc>
        <w:tc>
          <w:tcPr>
            <w:tcW w:w="980" w:type="dxa"/>
            <w:vAlign w:val="bottom"/>
            <w:shd w:val="clear" w:color="auto" w:fill="355989"/>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shd w:val="clear" w:color="auto" w:fill="355989"/>
          </w:tcPr>
          <w:p>
            <w:pPr>
              <w:spacing w:after="0"/>
              <w:rPr>
                <w:sz w:val="3"/>
                <w:szCs w:val="3"/>
                <w:color w:val="auto"/>
              </w:rPr>
            </w:pPr>
          </w:p>
        </w:tc>
        <w:tc>
          <w:tcPr>
            <w:tcW w:w="1400" w:type="dxa"/>
            <w:vAlign w:val="bottom"/>
            <w:shd w:val="clear" w:color="auto" w:fill="355989"/>
          </w:tcPr>
          <w:p>
            <w:pPr>
              <w:spacing w:after="0"/>
              <w:rPr>
                <w:sz w:val="3"/>
                <w:szCs w:val="3"/>
                <w:color w:val="auto"/>
              </w:rPr>
            </w:pPr>
          </w:p>
        </w:tc>
      </w:tr>
    </w:tbl>
    <w:p>
      <w:pPr>
        <w:spacing w:after="0" w:line="107" w:lineRule="exact"/>
        <w:rPr>
          <w:sz w:val="20"/>
          <w:szCs w:val="20"/>
          <w:color w:val="auto"/>
        </w:rPr>
      </w:pPr>
    </w:p>
    <w:p>
      <w:pPr>
        <w:ind w:left="320" w:hanging="312"/>
        <w:spacing w:after="0"/>
        <w:tabs>
          <w:tab w:leader="none" w:pos="32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Represents values as of the vesting dates for notional units that vested during 2019, which are reported in the 2019 Option Exercises and Stock Vested table.</w:t>
      </w:r>
    </w:p>
    <w:p>
      <w:pPr>
        <w:spacing w:after="0" w:line="66" w:lineRule="exact"/>
        <w:rPr>
          <w:rFonts w:ascii="Arial" w:cs="Arial" w:eastAsia="Arial" w:hAnsi="Arial"/>
          <w:sz w:val="13"/>
          <w:szCs w:val="13"/>
          <w:color w:val="auto"/>
        </w:rPr>
      </w:pPr>
    </w:p>
    <w:p>
      <w:pPr>
        <w:ind w:left="320" w:right="200" w:hanging="312"/>
        <w:spacing w:after="0" w:line="245" w:lineRule="auto"/>
        <w:tabs>
          <w:tab w:leader="none" w:pos="32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Awards of notional units constitute “Stock Awards” for purposes of the Summary Compensation Table, and, as a result, the full grant date fair value of these awards computed in accordance with ASC 718, as of the grant date of such awards, are included in the “Stock Awards” column of the Summary Compensation Table for the year in which they were granted. The right to receive dividend equivalents was factored into the determination of the grant date fair value, which means that the value of the dividend equivalents included in “Aggregate Earnings in Last FY” was effectively already included in the Summary Compensation Table.</w:t>
      </w:r>
    </w:p>
    <w:p>
      <w:pPr>
        <w:spacing w:after="0" w:line="51" w:lineRule="exact"/>
        <w:rPr>
          <w:rFonts w:ascii="Arial" w:cs="Arial" w:eastAsia="Arial" w:hAnsi="Arial"/>
          <w:sz w:val="13"/>
          <w:szCs w:val="13"/>
          <w:color w:val="auto"/>
        </w:rPr>
      </w:pPr>
    </w:p>
    <w:p>
      <w:pPr>
        <w:ind w:left="320" w:right="180" w:hanging="312"/>
        <w:spacing w:after="0" w:line="245" w:lineRule="auto"/>
        <w:tabs>
          <w:tab w:leader="none" w:pos="32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The amounts in this column represent the increase or decrease in value of vested notional units from December 31, 2018 through December 31, 2019, as calculated based on the closing stock price on the NYSE of one share of our common stock on December 31, 2018, or, for notional units that vested during 2019, the closing stock price on the NYSE of one share of our common stock on such vesting date, compared to the closing stock price on the NYSE of one share of our common stock on December 31, 2019, plus the aggregate value of dividend equivalent rights paid with respect to all vested and unvested notional units held by each executive during 2019.</w:t>
      </w:r>
    </w:p>
    <w:p>
      <w:pPr>
        <w:spacing w:after="0" w:line="51" w:lineRule="exact"/>
        <w:rPr>
          <w:rFonts w:ascii="Arial" w:cs="Arial" w:eastAsia="Arial" w:hAnsi="Arial"/>
          <w:sz w:val="13"/>
          <w:szCs w:val="13"/>
          <w:color w:val="auto"/>
        </w:rPr>
      </w:pPr>
    </w:p>
    <w:p>
      <w:pPr>
        <w:ind w:left="320" w:hanging="312"/>
        <w:spacing w:after="0"/>
        <w:tabs>
          <w:tab w:leader="none" w:pos="32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Represents the aggregate value of dividend equivalent rights paid with respect to all vested and unvested notional units held by each executive during 2019.</w:t>
      </w:r>
    </w:p>
    <w:p>
      <w:pPr>
        <w:spacing w:after="0" w:line="66" w:lineRule="exact"/>
        <w:rPr>
          <w:rFonts w:ascii="Arial" w:cs="Arial" w:eastAsia="Arial" w:hAnsi="Arial"/>
          <w:sz w:val="13"/>
          <w:szCs w:val="13"/>
          <w:color w:val="auto"/>
        </w:rPr>
      </w:pPr>
    </w:p>
    <w:p>
      <w:pPr>
        <w:ind w:left="320" w:hanging="312"/>
        <w:spacing w:after="0"/>
        <w:tabs>
          <w:tab w:leader="none" w:pos="32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Based on a per share price of $91.88, which was the closing stock price on the NYSE of one share of our common stock on December 31, 2019.</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Potential Payments Upon Termination or Change in Control</w:t>
      </w:r>
    </w:p>
    <w:p>
      <w:pPr>
        <w:spacing w:after="0" w:line="23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have contractual arrangements with our named executive officers that provide for payments, acceleration of vesting or other benefits to our named executive officers upon a termination of employment in certain circumstances or upon a change in control. These include our employment agreements with our named executive officers, our performance-based equity awards and our stock options and Class O LTIP Units. The discussion below describes these contractual arrangements in greater detail.</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2018, we entered into new employment agreements with each of Messrs. Holliday, Mathias and Levine that became effective in 2019 upon the expiration of the terms of each of their then current employment agreements. These agreements reflect the Compensation Committee’s significant restructuring of our named executive officers’ compensation that was established in response to feedback that we received during stockholder engagement meetings. Mr. DiLiberto’s current employment agreement was entered into in early 2018 before we had completed the restructuring of our named executive officers’ compensation and, accordingly, it includes certain elements that we have removed from our other executives’ current employment agreements.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Employment Agreements</w:t>
      </w:r>
    </w:p>
    <w:p>
      <w:pPr>
        <w:spacing w:after="0" w:line="23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During 2019, we had employment agreements with all of our named executive officers. All of the employment agreements with our named executive officers provided for, among other things, severance payments and benefits and acceleration of equity awards in connection with the termination of employment in certain circumstances. In return, each of our named executive officers agreed to non-compete, non-solicitation, non-interference and confidentiality provisions. The table below summarizes the material terms of our employment agreements with our named executive officers, as in effect during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ind w:left="360"/>
              <w:spacing w:after="0"/>
              <w:rPr>
                <w:sz w:val="20"/>
                <w:szCs w:val="20"/>
                <w:color w:val="auto"/>
              </w:rPr>
            </w:pPr>
            <w:r>
              <w:rPr>
                <w:rFonts w:ascii="Arial" w:cs="Arial" w:eastAsia="Arial" w:hAnsi="Arial"/>
                <w:sz w:val="13"/>
                <w:szCs w:val="13"/>
                <w:b w:val="1"/>
                <w:bCs w:val="1"/>
                <w:color w:val="355889"/>
              </w:rPr>
              <w:t>Marc Holliday</w:t>
            </w:r>
          </w:p>
        </w:tc>
        <w:tc>
          <w:tcPr>
            <w:tcW w:w="17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355889"/>
              </w:rPr>
              <w:t>Andrew Mathias</w:t>
            </w:r>
          </w:p>
        </w:tc>
        <w:tc>
          <w:tcPr>
            <w:tcW w:w="15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355889"/>
              </w:rPr>
              <w:t>Matthew J. DiLberto</w:t>
            </w:r>
          </w:p>
        </w:tc>
        <w:tc>
          <w:tcPr>
            <w:tcW w:w="1420" w:type="dxa"/>
            <w:vAlign w:val="bottom"/>
          </w:tcPr>
          <w:p>
            <w:pPr>
              <w:jc w:val="right"/>
              <w:ind w:right="55"/>
              <w:spacing w:after="0"/>
              <w:rPr>
                <w:sz w:val="20"/>
                <w:szCs w:val="20"/>
                <w:color w:val="auto"/>
              </w:rPr>
            </w:pPr>
            <w:r>
              <w:rPr>
                <w:rFonts w:ascii="Arial" w:cs="Arial" w:eastAsia="Arial" w:hAnsi="Arial"/>
                <w:sz w:val="13"/>
                <w:szCs w:val="13"/>
                <w:b w:val="1"/>
                <w:bCs w:val="1"/>
                <w:color w:val="355889"/>
              </w:rPr>
              <w:t>Andrew S. Levine</w:t>
            </w:r>
          </w:p>
        </w:tc>
        <w:tc>
          <w:tcPr>
            <w:tcW w:w="0" w:type="dxa"/>
            <w:vAlign w:val="bottom"/>
          </w:tcPr>
          <w:p>
            <w:pPr>
              <w:spacing w:after="0"/>
              <w:rPr>
                <w:sz w:val="1"/>
                <w:szCs w:val="1"/>
                <w:color w:val="auto"/>
              </w:rPr>
            </w:pPr>
          </w:p>
        </w:tc>
      </w:tr>
      <w:tr>
        <w:trPr>
          <w:trHeight w:val="48"/>
        </w:trPr>
        <w:tc>
          <w:tcPr>
            <w:tcW w:w="462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Borders>
              <w:bottom w:val="single" w:sz="8" w:color="355989"/>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620" w:type="dxa"/>
            <w:vAlign w:val="bottom"/>
          </w:tcPr>
          <w:p>
            <w:pPr>
              <w:spacing w:after="0" w:line="310" w:lineRule="exact"/>
              <w:rPr>
                <w:sz w:val="20"/>
                <w:szCs w:val="20"/>
                <w:color w:val="auto"/>
              </w:rPr>
            </w:pPr>
            <w:r>
              <w:rPr>
                <w:rFonts w:ascii="Arial" w:cs="Arial" w:eastAsia="Arial" w:hAnsi="Arial"/>
                <w:sz w:val="18"/>
                <w:szCs w:val="18"/>
                <w:b w:val="1"/>
                <w:bCs w:val="1"/>
                <w:color w:val="auto"/>
              </w:rPr>
              <w:t>Term</w:t>
            </w:r>
            <w:r>
              <w:rPr>
                <w:rFonts w:ascii="Arial" w:cs="Arial" w:eastAsia="Arial" w:hAnsi="Arial"/>
                <w:sz w:val="29"/>
                <w:szCs w:val="29"/>
                <w:b w:val="1"/>
                <w:bCs w:val="1"/>
                <w:color w:val="auto"/>
                <w:vertAlign w:val="superscript"/>
              </w:rPr>
              <w:t>(1)</w:t>
            </w:r>
          </w:p>
        </w:tc>
        <w:tc>
          <w:tcPr>
            <w:tcW w:w="1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1/18/19 – 1/17/22</w:t>
            </w:r>
          </w:p>
        </w:tc>
        <w:tc>
          <w:tcPr>
            <w:tcW w:w="160" w:type="dxa"/>
            <w:vAlign w:val="bottom"/>
          </w:tcPr>
          <w:p>
            <w:pPr>
              <w:spacing w:after="0"/>
              <w:rPr>
                <w:sz w:val="24"/>
                <w:szCs w:val="24"/>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1/1/19 – 12/31/21</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1/1/18 – 1/1/21</w:t>
            </w:r>
          </w:p>
        </w:tc>
        <w:tc>
          <w:tcPr>
            <w:tcW w:w="1420" w:type="dxa"/>
            <w:vAlign w:val="bottom"/>
          </w:tcPr>
          <w:p>
            <w:pPr>
              <w:jc w:val="right"/>
              <w:spacing w:after="0"/>
              <w:rPr>
                <w:sz w:val="20"/>
                <w:szCs w:val="20"/>
                <w:color w:val="auto"/>
              </w:rPr>
            </w:pPr>
            <w:r>
              <w:rPr>
                <w:rFonts w:ascii="Arial" w:cs="Arial" w:eastAsia="Arial" w:hAnsi="Arial"/>
                <w:sz w:val="18"/>
                <w:szCs w:val="18"/>
                <w:color w:val="auto"/>
              </w:rPr>
              <w:t>1/1/19 – 1/1/22</w:t>
            </w:r>
          </w:p>
        </w:tc>
        <w:tc>
          <w:tcPr>
            <w:tcW w:w="0" w:type="dxa"/>
            <w:vAlign w:val="bottom"/>
          </w:tcPr>
          <w:p>
            <w:pPr>
              <w:spacing w:after="0"/>
              <w:rPr>
                <w:sz w:val="1"/>
                <w:szCs w:val="1"/>
                <w:color w:val="auto"/>
              </w:rPr>
            </w:pPr>
          </w:p>
        </w:tc>
      </w:tr>
      <w:tr>
        <w:trPr>
          <w:trHeight w:val="20"/>
        </w:trPr>
        <w:tc>
          <w:tcPr>
            <w:tcW w:w="4620" w:type="dxa"/>
            <w:vAlign w:val="bottom"/>
            <w:shd w:val="clear" w:color="auto" w:fill="355989"/>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58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620" w:type="dxa"/>
            <w:vAlign w:val="bottom"/>
          </w:tcPr>
          <w:p>
            <w:pPr>
              <w:spacing w:after="0"/>
              <w:rPr>
                <w:sz w:val="20"/>
                <w:szCs w:val="20"/>
                <w:color w:val="auto"/>
              </w:rPr>
            </w:pPr>
            <w:r>
              <w:rPr>
                <w:rFonts w:ascii="Arial" w:cs="Arial" w:eastAsia="Arial" w:hAnsi="Arial"/>
                <w:sz w:val="18"/>
                <w:szCs w:val="18"/>
                <w:b w:val="1"/>
                <w:bCs w:val="1"/>
                <w:color w:val="auto"/>
              </w:rPr>
              <w:t>Annual Salary</w:t>
            </w:r>
          </w:p>
        </w:tc>
        <w:tc>
          <w:tcPr>
            <w:tcW w:w="160" w:type="dxa"/>
            <w:vAlign w:val="bottom"/>
            <w:vMerge w:val="continue"/>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$1.25M</w:t>
            </w:r>
          </w:p>
        </w:tc>
        <w:tc>
          <w:tcPr>
            <w:tcW w:w="160" w:type="dxa"/>
            <w:vAlign w:val="bottom"/>
          </w:tcPr>
          <w:p>
            <w:pPr>
              <w:spacing w:after="0"/>
              <w:rPr>
                <w:sz w:val="20"/>
                <w:szCs w:val="20"/>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$950K</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$550K</w:t>
            </w:r>
          </w:p>
        </w:tc>
        <w:tc>
          <w:tcPr>
            <w:tcW w:w="1420" w:type="dxa"/>
            <w:vAlign w:val="bottom"/>
          </w:tcPr>
          <w:p>
            <w:pPr>
              <w:jc w:val="right"/>
              <w:spacing w:after="0"/>
              <w:rPr>
                <w:sz w:val="20"/>
                <w:szCs w:val="20"/>
                <w:color w:val="auto"/>
              </w:rPr>
            </w:pPr>
            <w:r>
              <w:rPr>
                <w:rFonts w:ascii="Arial" w:cs="Arial" w:eastAsia="Arial" w:hAnsi="Arial"/>
                <w:sz w:val="18"/>
                <w:szCs w:val="18"/>
                <w:color w:val="auto"/>
              </w:rPr>
              <w:t>$580K</w:t>
            </w:r>
          </w:p>
        </w:tc>
        <w:tc>
          <w:tcPr>
            <w:tcW w:w="0" w:type="dxa"/>
            <w:vAlign w:val="bottom"/>
          </w:tcPr>
          <w:p>
            <w:pPr>
              <w:spacing w:after="0"/>
              <w:rPr>
                <w:sz w:val="1"/>
                <w:szCs w:val="1"/>
                <w:color w:val="auto"/>
              </w:rPr>
            </w:pPr>
          </w:p>
        </w:tc>
      </w:tr>
      <w:tr>
        <w:trPr>
          <w:trHeight w:val="20"/>
        </w:trPr>
        <w:tc>
          <w:tcPr>
            <w:tcW w:w="462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620" w:type="dxa"/>
            <w:vAlign w:val="bottom"/>
          </w:tcPr>
          <w:p>
            <w:pPr>
              <w:spacing w:after="0" w:line="326" w:lineRule="exact"/>
              <w:rPr>
                <w:sz w:val="20"/>
                <w:szCs w:val="20"/>
                <w:color w:val="auto"/>
              </w:rPr>
            </w:pPr>
            <w:r>
              <w:rPr>
                <w:rFonts w:ascii="Arial" w:cs="Arial" w:eastAsia="Arial" w:hAnsi="Arial"/>
                <w:sz w:val="18"/>
                <w:szCs w:val="18"/>
                <w:b w:val="1"/>
                <w:bCs w:val="1"/>
                <w:color w:val="auto"/>
              </w:rPr>
              <w:t>Formulaic Annual Cash Bonus</w:t>
            </w:r>
            <w:r>
              <w:rPr>
                <w:rFonts w:ascii="Arial" w:cs="Arial" w:eastAsia="Arial" w:hAnsi="Arial"/>
                <w:sz w:val="29"/>
                <w:szCs w:val="29"/>
                <w:b w:val="1"/>
                <w:bCs w:val="1"/>
                <w:color w:val="auto"/>
                <w:vertAlign w:val="superscript"/>
              </w:rPr>
              <w:t>(2)</w:t>
            </w:r>
          </w:p>
        </w:tc>
        <w:tc>
          <w:tcPr>
            <w:tcW w:w="1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50-300%</w:t>
            </w:r>
          </w:p>
        </w:tc>
        <w:tc>
          <w:tcPr>
            <w:tcW w:w="160" w:type="dxa"/>
            <w:vAlign w:val="bottom"/>
          </w:tcPr>
          <w:p>
            <w:pPr>
              <w:spacing w:after="0"/>
              <w:rPr>
                <w:sz w:val="24"/>
                <w:szCs w:val="24"/>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50-250%</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42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9"/>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base salary</w:t>
            </w: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base salary</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2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620" w:type="dxa"/>
            <w:vAlign w:val="bottom"/>
          </w:tcPr>
          <w:p>
            <w:pPr>
              <w:spacing w:after="0"/>
              <w:rPr>
                <w:sz w:val="20"/>
                <w:szCs w:val="20"/>
                <w:color w:val="auto"/>
              </w:rPr>
            </w:pPr>
            <w:r>
              <w:rPr>
                <w:rFonts w:ascii="Arial" w:cs="Arial" w:eastAsia="Arial" w:hAnsi="Arial"/>
                <w:sz w:val="18"/>
                <w:szCs w:val="18"/>
                <w:b w:val="1"/>
                <w:bCs w:val="1"/>
                <w:color w:val="auto"/>
              </w:rPr>
              <w:t>Performance-Based LTIP Units</w:t>
            </w:r>
          </w:p>
        </w:tc>
        <w:tc>
          <w:tcPr>
            <w:tcW w:w="160" w:type="dxa"/>
            <w:vAlign w:val="bottom"/>
          </w:tcPr>
          <w:p>
            <w:pPr>
              <w:spacing w:after="0"/>
              <w:rPr>
                <w:sz w:val="24"/>
                <w:szCs w:val="24"/>
                <w:color w:val="auto"/>
              </w:rPr>
            </w:pPr>
          </w:p>
        </w:tc>
        <w:tc>
          <w:tcPr>
            <w:tcW w:w="1580" w:type="dxa"/>
            <w:vAlign w:val="bottom"/>
          </w:tcPr>
          <w:p>
            <w:pPr>
              <w:jc w:val="right"/>
              <w:spacing w:after="0" w:line="310" w:lineRule="exact"/>
              <w:rPr>
                <w:sz w:val="20"/>
                <w:szCs w:val="20"/>
                <w:color w:val="auto"/>
              </w:rPr>
            </w:pPr>
            <w:r>
              <w:rPr>
                <w:rFonts w:ascii="Arial" w:cs="Arial" w:eastAsia="Arial" w:hAnsi="Arial"/>
                <w:sz w:val="18"/>
                <w:szCs w:val="18"/>
                <w:color w:val="auto"/>
              </w:rPr>
              <w:t>$7.5M (Target)</w:t>
            </w:r>
            <w:r>
              <w:rPr>
                <w:rFonts w:ascii="Arial" w:cs="Arial" w:eastAsia="Arial" w:hAnsi="Arial"/>
                <w:sz w:val="29"/>
                <w:szCs w:val="29"/>
                <w:color w:val="auto"/>
                <w:vertAlign w:val="superscript"/>
              </w:rPr>
              <w:t>(3)</w:t>
            </w:r>
          </w:p>
        </w:tc>
        <w:tc>
          <w:tcPr>
            <w:tcW w:w="160" w:type="dxa"/>
            <w:vAlign w:val="bottom"/>
          </w:tcPr>
          <w:p>
            <w:pPr>
              <w:spacing w:after="0"/>
              <w:rPr>
                <w:sz w:val="24"/>
                <w:szCs w:val="24"/>
                <w:color w:val="auto"/>
              </w:rPr>
            </w:pPr>
          </w:p>
        </w:tc>
        <w:tc>
          <w:tcPr>
            <w:tcW w:w="1720" w:type="dxa"/>
            <w:vAlign w:val="bottom"/>
            <w:gridSpan w:val="2"/>
          </w:tcPr>
          <w:p>
            <w:pPr>
              <w:jc w:val="right"/>
              <w:ind w:right="160"/>
              <w:spacing w:after="0" w:line="310" w:lineRule="exact"/>
              <w:rPr>
                <w:sz w:val="20"/>
                <w:szCs w:val="20"/>
                <w:color w:val="auto"/>
              </w:rPr>
            </w:pPr>
            <w:r>
              <w:rPr>
                <w:rFonts w:ascii="Arial" w:cs="Arial" w:eastAsia="Arial" w:hAnsi="Arial"/>
                <w:sz w:val="18"/>
                <w:szCs w:val="18"/>
                <w:color w:val="auto"/>
              </w:rPr>
              <w:t>$6.0M (Target)</w:t>
            </w:r>
            <w:r>
              <w:rPr>
                <w:rFonts w:ascii="Arial" w:cs="Arial" w:eastAsia="Arial" w:hAnsi="Arial"/>
                <w:sz w:val="29"/>
                <w:szCs w:val="29"/>
                <w:color w:val="auto"/>
                <w:vertAlign w:val="superscript"/>
              </w:rPr>
              <w:t>(3)</w:t>
            </w:r>
          </w:p>
        </w:tc>
        <w:tc>
          <w:tcPr>
            <w:tcW w:w="1580" w:type="dxa"/>
            <w:vAlign w:val="bottom"/>
            <w:gridSpan w:val="2"/>
          </w:tcPr>
          <w:p>
            <w:pPr>
              <w:jc w:val="right"/>
              <w:ind w:right="160"/>
              <w:spacing w:after="0" w:line="310" w:lineRule="exact"/>
              <w:rPr>
                <w:sz w:val="20"/>
                <w:szCs w:val="20"/>
                <w:color w:val="auto"/>
              </w:rPr>
            </w:pPr>
            <w:r>
              <w:rPr>
                <w:rFonts w:ascii="Arial" w:cs="Arial" w:eastAsia="Arial" w:hAnsi="Arial"/>
                <w:sz w:val="18"/>
                <w:szCs w:val="18"/>
                <w:color w:val="auto"/>
              </w:rPr>
              <w:t>15,000</w:t>
            </w:r>
            <w:r>
              <w:rPr>
                <w:rFonts w:ascii="Arial" w:cs="Arial" w:eastAsia="Arial" w:hAnsi="Arial"/>
                <w:sz w:val="29"/>
                <w:szCs w:val="29"/>
                <w:color w:val="auto"/>
                <w:vertAlign w:val="superscript"/>
              </w:rPr>
              <w:t>(5)</w:t>
            </w:r>
          </w:p>
        </w:tc>
        <w:tc>
          <w:tcPr>
            <w:tcW w:w="142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
        </w:trPr>
        <w:tc>
          <w:tcPr>
            <w:tcW w:w="462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20" w:type="dxa"/>
            <w:vAlign w:val="bottom"/>
          </w:tcPr>
          <w:p>
            <w:pPr>
              <w:spacing w:after="0"/>
              <w:rPr>
                <w:sz w:val="20"/>
                <w:szCs w:val="20"/>
                <w:color w:val="auto"/>
              </w:rPr>
            </w:pPr>
            <w:r>
              <w:rPr>
                <w:rFonts w:ascii="Arial" w:cs="Arial" w:eastAsia="Arial" w:hAnsi="Arial"/>
                <w:sz w:val="18"/>
                <w:szCs w:val="18"/>
                <w:b w:val="1"/>
                <w:bCs w:val="1"/>
                <w:color w:val="auto"/>
              </w:rPr>
              <w:t>Time-Based LTIP Units</w:t>
            </w:r>
          </w:p>
        </w:tc>
        <w:tc>
          <w:tcPr>
            <w:tcW w:w="160" w:type="dxa"/>
            <w:vAlign w:val="bottom"/>
          </w:tcPr>
          <w:p>
            <w:pPr>
              <w:spacing w:after="0"/>
              <w:rPr>
                <w:sz w:val="24"/>
                <w:szCs w:val="24"/>
                <w:color w:val="auto"/>
              </w:rPr>
            </w:pPr>
          </w:p>
        </w:tc>
        <w:tc>
          <w:tcPr>
            <w:tcW w:w="1580" w:type="dxa"/>
            <w:vAlign w:val="bottom"/>
          </w:tcPr>
          <w:p>
            <w:pPr>
              <w:jc w:val="right"/>
              <w:spacing w:after="0" w:line="303" w:lineRule="exact"/>
              <w:rPr>
                <w:sz w:val="20"/>
                <w:szCs w:val="20"/>
                <w:color w:val="auto"/>
              </w:rPr>
            </w:pPr>
            <w:r>
              <w:rPr>
                <w:rFonts w:ascii="Arial" w:cs="Arial" w:eastAsia="Arial" w:hAnsi="Arial"/>
                <w:sz w:val="18"/>
                <w:szCs w:val="18"/>
                <w:color w:val="auto"/>
              </w:rPr>
              <w:t>$4.5M (Target)</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1720" w:type="dxa"/>
            <w:vAlign w:val="bottom"/>
            <w:gridSpan w:val="2"/>
          </w:tcPr>
          <w:p>
            <w:pPr>
              <w:jc w:val="right"/>
              <w:ind w:right="160"/>
              <w:spacing w:after="0" w:line="303" w:lineRule="exact"/>
              <w:rPr>
                <w:sz w:val="20"/>
                <w:szCs w:val="20"/>
                <w:color w:val="auto"/>
              </w:rPr>
            </w:pPr>
            <w:r>
              <w:rPr>
                <w:rFonts w:ascii="Arial" w:cs="Arial" w:eastAsia="Arial" w:hAnsi="Arial"/>
                <w:sz w:val="18"/>
                <w:szCs w:val="18"/>
                <w:color w:val="auto"/>
              </w:rPr>
              <w:t>$3.5M (Target)</w:t>
            </w:r>
            <w:r>
              <w:rPr>
                <w:rFonts w:ascii="Arial" w:cs="Arial" w:eastAsia="Arial" w:hAnsi="Arial"/>
                <w:sz w:val="29"/>
                <w:szCs w:val="29"/>
                <w:color w:val="auto"/>
                <w:vertAlign w:val="superscript"/>
              </w:rPr>
              <w:t>(4)</w:t>
            </w:r>
          </w:p>
        </w:tc>
        <w:tc>
          <w:tcPr>
            <w:tcW w:w="1580" w:type="dxa"/>
            <w:vAlign w:val="bottom"/>
            <w:gridSpan w:val="2"/>
          </w:tcPr>
          <w:p>
            <w:pPr>
              <w:jc w:val="right"/>
              <w:ind w:right="160"/>
              <w:spacing w:after="0" w:line="303" w:lineRule="exact"/>
              <w:rPr>
                <w:sz w:val="20"/>
                <w:szCs w:val="20"/>
                <w:color w:val="auto"/>
              </w:rPr>
            </w:pPr>
            <w:r>
              <w:rPr>
                <w:rFonts w:ascii="Arial" w:cs="Arial" w:eastAsia="Arial" w:hAnsi="Arial"/>
                <w:sz w:val="18"/>
                <w:szCs w:val="18"/>
                <w:color w:val="auto"/>
              </w:rPr>
              <w:t>15,000</w:t>
            </w:r>
            <w:r>
              <w:rPr>
                <w:rFonts w:ascii="Arial" w:cs="Arial" w:eastAsia="Arial" w:hAnsi="Arial"/>
                <w:sz w:val="29"/>
                <w:szCs w:val="29"/>
                <w:color w:val="auto"/>
                <w:vertAlign w:val="superscript"/>
              </w:rPr>
              <w:t>(5)</w:t>
            </w:r>
          </w:p>
        </w:tc>
        <w:tc>
          <w:tcPr>
            <w:tcW w:w="1420" w:type="dxa"/>
            <w:vAlign w:val="bottom"/>
          </w:tcPr>
          <w:p>
            <w:pPr>
              <w:jc w:val="right"/>
              <w:spacing w:after="0" w:line="303" w:lineRule="exact"/>
              <w:rPr>
                <w:sz w:val="20"/>
                <w:szCs w:val="20"/>
                <w:color w:val="auto"/>
              </w:rPr>
            </w:pPr>
            <w:r>
              <w:rPr>
                <w:rFonts w:ascii="Arial" w:cs="Arial" w:eastAsia="Arial" w:hAnsi="Arial"/>
                <w:sz w:val="18"/>
                <w:szCs w:val="18"/>
                <w:color w:val="auto"/>
                <w:w w:val="98"/>
              </w:rPr>
              <w:t>$1.3M (Target)</w:t>
            </w:r>
            <w:r>
              <w:rPr>
                <w:rFonts w:ascii="Arial" w:cs="Arial" w:eastAsia="Arial" w:hAnsi="Arial"/>
                <w:sz w:val="29"/>
                <w:szCs w:val="29"/>
                <w:color w:val="auto"/>
                <w:w w:val="98"/>
                <w:vertAlign w:val="superscript"/>
              </w:rPr>
              <w:t>(4)</w:t>
            </w:r>
          </w:p>
        </w:tc>
        <w:tc>
          <w:tcPr>
            <w:tcW w:w="0" w:type="dxa"/>
            <w:vAlign w:val="bottom"/>
          </w:tcPr>
          <w:p>
            <w:pPr>
              <w:spacing w:after="0"/>
              <w:rPr>
                <w:sz w:val="1"/>
                <w:szCs w:val="1"/>
                <w:color w:val="auto"/>
              </w:rPr>
            </w:pPr>
          </w:p>
        </w:tc>
      </w:tr>
      <w:tr>
        <w:trPr>
          <w:trHeight w:val="20"/>
        </w:trPr>
        <w:tc>
          <w:tcPr>
            <w:tcW w:w="4620" w:type="dxa"/>
            <w:vAlign w:val="bottom"/>
            <w:shd w:val="clear" w:color="auto" w:fill="355989"/>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58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620" w:type="dxa"/>
            <w:vAlign w:val="bottom"/>
          </w:tcPr>
          <w:p>
            <w:pPr>
              <w:spacing w:after="0"/>
              <w:rPr>
                <w:sz w:val="20"/>
                <w:szCs w:val="20"/>
                <w:color w:val="auto"/>
              </w:rPr>
            </w:pPr>
            <w:r>
              <w:rPr>
                <w:rFonts w:ascii="Arial" w:cs="Arial" w:eastAsia="Arial" w:hAnsi="Arial"/>
                <w:sz w:val="18"/>
                <w:szCs w:val="18"/>
                <w:b w:val="1"/>
                <w:bCs w:val="1"/>
                <w:color w:val="auto"/>
              </w:rPr>
              <w:t>Other Benefits</w:t>
            </w:r>
          </w:p>
        </w:tc>
        <w:tc>
          <w:tcPr>
            <w:tcW w:w="160" w:type="dxa"/>
            <w:vAlign w:val="bottom"/>
            <w:vMerge w:val="continue"/>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$10M of</w:t>
            </w: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42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life insurance</w:t>
            </w: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Benefits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(without Change-in-Control)</w:t>
      </w:r>
      <w:r>
        <w:rPr>
          <w:rFonts w:ascii="Arial" w:cs="Arial" w:eastAsia="Arial" w:hAnsi="Arial"/>
          <w:sz w:val="28"/>
          <w:szCs w:val="28"/>
          <w:b w:val="1"/>
          <w:bCs w:val="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293179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341" w:lineRule="exact"/>
        <w:rPr>
          <w:sz w:val="20"/>
          <w:szCs w:val="20"/>
          <w:color w:val="auto"/>
        </w:rPr>
      </w:pPr>
    </w:p>
    <w:p>
      <w:pPr>
        <w:ind w:left="1300"/>
        <w:spacing w:after="0"/>
        <w:rPr>
          <w:sz w:val="20"/>
          <w:szCs w:val="20"/>
          <w:color w:val="auto"/>
        </w:rPr>
      </w:pPr>
      <w:r>
        <w:rPr>
          <w:rFonts w:ascii="Arial" w:cs="Arial" w:eastAsia="Arial" w:hAnsi="Arial"/>
          <w:sz w:val="13"/>
          <w:szCs w:val="13"/>
          <w:b w:val="1"/>
          <w:bCs w:val="1"/>
          <w:color w:val="355889"/>
        </w:rPr>
        <w:t>Holliday/Mathias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32283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3228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If the executive’s employment is terminated by us without Cause or by the executive for Good Reason during the term, the executive will be entitled to the following payments or benefits, subject to the effectiveness of a mutual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409765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097655" cy="17145"/>
                    </a:xfrm>
                    <a:prstGeom prst="rect">
                      <a:avLst/>
                    </a:prstGeom>
                    <a:noFill/>
                  </pic:spPr>
                </pic:pic>
              </a:graphicData>
            </a:graphic>
          </wp:anchor>
        </w:drawing>
      </w:r>
    </w:p>
    <w:p>
      <w:pPr>
        <w:spacing w:after="0" w:line="218" w:lineRule="exact"/>
        <w:rPr>
          <w:sz w:val="20"/>
          <w:szCs w:val="20"/>
          <w:color w:val="auto"/>
        </w:rPr>
      </w:pPr>
    </w:p>
    <w:p>
      <w:pPr>
        <w:ind w:left="580"/>
        <w:spacing w:after="0"/>
        <w:tabs>
          <w:tab w:leader="none" w:pos="4440" w:val="left"/>
        </w:tabs>
        <w:rPr>
          <w:sz w:val="20"/>
          <w:szCs w:val="20"/>
          <w:color w:val="auto"/>
        </w:rPr>
      </w:pPr>
      <w:r>
        <w:rPr>
          <w:rFonts w:ascii="Arial" w:cs="Arial" w:eastAsia="Arial" w:hAnsi="Arial"/>
          <w:sz w:val="13"/>
          <w:szCs w:val="13"/>
          <w:b w:val="1"/>
          <w:bCs w:val="1"/>
          <w:color w:val="355889"/>
        </w:rPr>
        <w:t>DiLiberto</w:t>
      </w:r>
      <w:r>
        <w:rPr>
          <w:sz w:val="20"/>
          <w:szCs w:val="20"/>
          <w:color w:val="auto"/>
        </w:rPr>
        <w:tab/>
      </w:r>
      <w:r>
        <w:rPr>
          <w:rFonts w:ascii="Arial" w:cs="Arial" w:eastAsia="Arial" w:hAnsi="Arial"/>
          <w:sz w:val="13"/>
          <w:szCs w:val="13"/>
          <w:b w:val="1"/>
          <w:bCs w:val="1"/>
          <w:color w:val="355889"/>
        </w:rPr>
        <w:t>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27305</wp:posOffset>
            </wp:positionV>
            <wp:extent cx="470598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05985" cy="17145"/>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4060" w:space="720"/>
            <w:col w:w="6460"/>
          </w:cols>
          <w:pgMar w:left="320" w:top="121" w:right="339" w:bottom="1440" w:gutter="0" w:footer="0" w:header="0"/>
          <w:type w:val="continuous"/>
        </w:sectPr>
      </w:pPr>
    </w:p>
    <w:p>
      <w:pPr>
        <w:ind w:left="540" w:right="220" w:hanging="253"/>
        <w:spacing w:after="0" w:line="241" w:lineRule="auto"/>
        <w:tabs>
          <w:tab w:leader="none" w:pos="517" w:val="left"/>
        </w:tabs>
        <w:numPr>
          <w:ilvl w:val="0"/>
          <w:numId w:val="104"/>
        </w:numPr>
        <w:rPr>
          <w:rFonts w:ascii="Arial" w:cs="Arial" w:eastAsia="Arial" w:hAnsi="Arial"/>
          <w:sz w:val="17"/>
          <w:szCs w:val="17"/>
          <w:color w:val="355889"/>
        </w:rPr>
      </w:pPr>
      <w:r>
        <w:rPr>
          <w:rFonts w:ascii="Arial" w:cs="Arial" w:eastAsia="Arial" w:hAnsi="Arial"/>
          <w:sz w:val="18"/>
          <w:szCs w:val="18"/>
          <w:color w:val="auto"/>
        </w:rPr>
        <w:t>2.0x / 1.5x the sum of base salary, maximum formulaic bonus and target value of annual time-based equity award</w:t>
      </w:r>
    </w:p>
    <w:p>
      <w:pPr>
        <w:spacing w:after="0" w:line="59" w:lineRule="exact"/>
        <w:rPr>
          <w:rFonts w:ascii="Arial" w:cs="Arial" w:eastAsia="Arial" w:hAnsi="Arial"/>
          <w:sz w:val="17"/>
          <w:szCs w:val="17"/>
          <w:color w:val="355889"/>
        </w:rPr>
      </w:pPr>
    </w:p>
    <w:p>
      <w:pPr>
        <w:ind w:left="540" w:right="180" w:hanging="253"/>
        <w:spacing w:after="0" w:line="244" w:lineRule="auto"/>
        <w:tabs>
          <w:tab w:leader="none" w:pos="517" w:val="left"/>
        </w:tabs>
        <w:numPr>
          <w:ilvl w:val="0"/>
          <w:numId w:val="104"/>
        </w:numPr>
        <w:rPr>
          <w:rFonts w:ascii="Arial" w:cs="Arial" w:eastAsia="Arial" w:hAnsi="Arial"/>
          <w:sz w:val="17"/>
          <w:szCs w:val="17"/>
          <w:color w:val="355889"/>
        </w:rPr>
      </w:pPr>
      <w:r>
        <w:rPr>
          <w:rFonts w:ascii="Arial" w:cs="Arial" w:eastAsia="Arial" w:hAnsi="Arial"/>
          <w:sz w:val="18"/>
          <w:szCs w:val="18"/>
          <w:color w:val="auto"/>
        </w:rPr>
        <w:t>Pro-rata bonus and pro-rata portion of target value of annual time-based award for partial year</w:t>
      </w:r>
    </w:p>
    <w:p>
      <w:pPr>
        <w:spacing w:after="0" w:line="70" w:lineRule="exact"/>
        <w:rPr>
          <w:rFonts w:ascii="Arial" w:cs="Arial" w:eastAsia="Arial" w:hAnsi="Arial"/>
          <w:sz w:val="17"/>
          <w:szCs w:val="17"/>
          <w:color w:val="355889"/>
        </w:rPr>
      </w:pPr>
    </w:p>
    <w:p>
      <w:pPr>
        <w:ind w:left="540" w:right="80" w:hanging="253"/>
        <w:spacing w:after="0" w:line="254" w:lineRule="auto"/>
        <w:tabs>
          <w:tab w:leader="none" w:pos="517" w:val="left"/>
        </w:tabs>
        <w:numPr>
          <w:ilvl w:val="0"/>
          <w:numId w:val="104"/>
        </w:numPr>
        <w:rPr>
          <w:rFonts w:ascii="Arial" w:cs="Arial" w:eastAsia="Arial" w:hAnsi="Arial"/>
          <w:sz w:val="17"/>
          <w:szCs w:val="17"/>
          <w:color w:val="355889"/>
        </w:rPr>
      </w:pPr>
      <w:r>
        <w:rPr>
          <w:rFonts w:ascii="Arial" w:cs="Arial" w:eastAsia="Arial" w:hAnsi="Arial"/>
          <w:sz w:val="18"/>
          <w:szCs w:val="18"/>
          <w:color w:val="auto"/>
        </w:rPr>
        <w:t>Acceleration of all unvested time-based equity awards</w:t>
      </w:r>
    </w:p>
    <w:p>
      <w:pPr>
        <w:spacing w:after="0" w:line="47" w:lineRule="exact"/>
        <w:rPr>
          <w:rFonts w:ascii="Arial" w:cs="Arial" w:eastAsia="Arial" w:hAnsi="Arial"/>
          <w:sz w:val="17"/>
          <w:szCs w:val="17"/>
          <w:color w:val="355889"/>
        </w:rPr>
      </w:pPr>
    </w:p>
    <w:p>
      <w:pPr>
        <w:ind w:left="520" w:hanging="233"/>
        <w:spacing w:after="0"/>
        <w:tabs>
          <w:tab w:leader="none" w:pos="520" w:val="left"/>
        </w:tabs>
        <w:numPr>
          <w:ilvl w:val="0"/>
          <w:numId w:val="104"/>
        </w:numPr>
        <w:rPr>
          <w:rFonts w:ascii="Arial" w:cs="Arial" w:eastAsia="Arial" w:hAnsi="Arial"/>
          <w:sz w:val="16"/>
          <w:szCs w:val="16"/>
          <w:color w:val="355889"/>
        </w:rPr>
      </w:pPr>
      <w:r>
        <w:rPr>
          <w:rFonts w:ascii="Arial" w:cs="Arial" w:eastAsia="Arial" w:hAnsi="Arial"/>
          <w:sz w:val="16"/>
          <w:szCs w:val="16"/>
          <w:color w:val="auto"/>
        </w:rPr>
        <w:t>Class O LTIP unit/option exercise period</w:t>
      </w:r>
    </w:p>
    <w:p>
      <w:pPr>
        <w:spacing w:after="0" w:line="32" w:lineRule="exact"/>
        <w:rPr>
          <w:sz w:val="20"/>
          <w:szCs w:val="20"/>
          <w:color w:val="auto"/>
        </w:rPr>
      </w:pPr>
    </w:p>
    <w:p>
      <w:pPr>
        <w:ind w:left="540" w:right="640"/>
        <w:spacing w:after="0" w:line="201" w:lineRule="auto"/>
        <w:rPr>
          <w:sz w:val="20"/>
          <w:szCs w:val="20"/>
          <w:color w:val="auto"/>
        </w:rPr>
      </w:pPr>
      <w:r>
        <w:rPr>
          <w:rFonts w:ascii="Arial" w:cs="Arial" w:eastAsia="Arial" w:hAnsi="Arial"/>
          <w:sz w:val="18"/>
          <w:szCs w:val="18"/>
          <w:color w:val="auto"/>
        </w:rPr>
        <w:t>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61" w:lineRule="exact"/>
        <w:rPr>
          <w:sz w:val="20"/>
          <w:szCs w:val="20"/>
          <w:color w:val="auto"/>
        </w:rPr>
      </w:pPr>
    </w:p>
    <w:p>
      <w:pPr>
        <w:ind w:left="540" w:right="200" w:hanging="253"/>
        <w:spacing w:after="0" w:line="254" w:lineRule="auto"/>
        <w:tabs>
          <w:tab w:leader="none" w:pos="517" w:val="left"/>
        </w:tabs>
        <w:numPr>
          <w:ilvl w:val="0"/>
          <w:numId w:val="105"/>
        </w:numPr>
        <w:rPr>
          <w:rFonts w:ascii="Arial" w:cs="Arial" w:eastAsia="Arial" w:hAnsi="Arial"/>
          <w:sz w:val="17"/>
          <w:szCs w:val="17"/>
          <w:color w:val="355889"/>
        </w:rPr>
      </w:pPr>
      <w:r>
        <w:rPr>
          <w:rFonts w:ascii="Arial" w:cs="Arial" w:eastAsia="Arial" w:hAnsi="Arial"/>
          <w:sz w:val="18"/>
          <w:szCs w:val="18"/>
          <w:color w:val="auto"/>
        </w:rPr>
        <w:t>24 / 18 months of benefit continuation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32283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52" w:right="420" w:hanging="252"/>
        <w:spacing w:after="0" w:line="251" w:lineRule="auto"/>
        <w:tabs>
          <w:tab w:leader="none" w:pos="230" w:val="left"/>
        </w:tabs>
        <w:numPr>
          <w:ilvl w:val="0"/>
          <w:numId w:val="106"/>
        </w:numPr>
        <w:rPr>
          <w:rFonts w:ascii="Arial" w:cs="Arial" w:eastAsia="Arial" w:hAnsi="Arial"/>
          <w:sz w:val="17"/>
          <w:szCs w:val="17"/>
          <w:color w:val="355889"/>
        </w:rPr>
      </w:pPr>
      <w:r>
        <w:rPr>
          <w:rFonts w:ascii="Arial" w:cs="Arial" w:eastAsia="Arial" w:hAnsi="Arial"/>
          <w:sz w:val="18"/>
          <w:szCs w:val="18"/>
          <w:color w:val="auto"/>
        </w:rPr>
        <w:t>1x average annual base salary and bonus</w:t>
      </w:r>
      <w:r>
        <w:rPr>
          <w:rFonts w:ascii="Arial" w:cs="Arial" w:eastAsia="Arial" w:hAnsi="Arial"/>
          <w:sz w:val="29"/>
          <w:szCs w:val="29"/>
          <w:color w:val="auto"/>
          <w:vertAlign w:val="superscript"/>
        </w:rPr>
        <w:t>(7)</w:t>
      </w:r>
    </w:p>
    <w:p>
      <w:pPr>
        <w:spacing w:after="0" w:line="1" w:lineRule="exact"/>
        <w:rPr>
          <w:rFonts w:ascii="Arial" w:cs="Arial" w:eastAsia="Arial" w:hAnsi="Arial"/>
          <w:sz w:val="17"/>
          <w:szCs w:val="17"/>
          <w:color w:val="355889"/>
        </w:rPr>
      </w:pPr>
    </w:p>
    <w:p>
      <w:pPr>
        <w:ind w:left="232" w:hanging="232"/>
        <w:spacing w:after="0" w:line="213" w:lineRule="auto"/>
        <w:tabs>
          <w:tab w:leader="none" w:pos="232" w:val="left"/>
        </w:tabs>
        <w:numPr>
          <w:ilvl w:val="0"/>
          <w:numId w:val="106"/>
        </w:numPr>
        <w:rPr>
          <w:rFonts w:ascii="Arial" w:cs="Arial" w:eastAsia="Arial" w:hAnsi="Arial"/>
          <w:sz w:val="17"/>
          <w:szCs w:val="17"/>
          <w:color w:val="355889"/>
        </w:rPr>
      </w:pPr>
      <w:r>
        <w:rPr>
          <w:rFonts w:ascii="Arial" w:cs="Arial" w:eastAsia="Arial" w:hAnsi="Arial"/>
          <w:sz w:val="18"/>
          <w:szCs w:val="18"/>
          <w:color w:val="auto"/>
        </w:rPr>
        <w:t>Pro-rata bonus for partial year</w:t>
      </w:r>
      <w:r>
        <w:rPr>
          <w:rFonts w:ascii="Arial" w:cs="Arial" w:eastAsia="Arial" w:hAnsi="Arial"/>
          <w:sz w:val="29"/>
          <w:szCs w:val="29"/>
          <w:color w:val="auto"/>
          <w:vertAlign w:val="superscript"/>
        </w:rPr>
        <w:t>(8)</w:t>
      </w:r>
    </w:p>
    <w:p>
      <w:pPr>
        <w:spacing w:after="0" w:line="1" w:lineRule="exact"/>
        <w:rPr>
          <w:rFonts w:ascii="Arial" w:cs="Arial" w:eastAsia="Arial" w:hAnsi="Arial"/>
          <w:sz w:val="17"/>
          <w:szCs w:val="17"/>
          <w:color w:val="355889"/>
        </w:rPr>
      </w:pPr>
    </w:p>
    <w:p>
      <w:pPr>
        <w:ind w:left="252" w:hanging="252"/>
        <w:spacing w:after="0" w:line="244" w:lineRule="auto"/>
        <w:tabs>
          <w:tab w:leader="none" w:pos="230" w:val="left"/>
        </w:tabs>
        <w:numPr>
          <w:ilvl w:val="0"/>
          <w:numId w:val="106"/>
        </w:numPr>
        <w:rPr>
          <w:rFonts w:ascii="Arial" w:cs="Arial" w:eastAsia="Arial" w:hAnsi="Arial"/>
          <w:sz w:val="17"/>
          <w:szCs w:val="17"/>
          <w:color w:val="355889"/>
        </w:rPr>
      </w:pPr>
      <w:r>
        <w:rPr>
          <w:rFonts w:ascii="Arial" w:cs="Arial" w:eastAsia="Arial" w:hAnsi="Arial"/>
          <w:sz w:val="18"/>
          <w:szCs w:val="18"/>
          <w:color w:val="auto"/>
        </w:rPr>
        <w:t>Acceleration of all unvested equity awards (other than annual performance-based awards)</w:t>
      </w:r>
    </w:p>
    <w:p>
      <w:pPr>
        <w:spacing w:after="0" w:line="57" w:lineRule="exact"/>
        <w:rPr>
          <w:rFonts w:ascii="Arial" w:cs="Arial" w:eastAsia="Arial" w:hAnsi="Arial"/>
          <w:sz w:val="17"/>
          <w:szCs w:val="17"/>
          <w:color w:val="355889"/>
        </w:rPr>
      </w:pPr>
    </w:p>
    <w:p>
      <w:pPr>
        <w:ind w:left="232" w:hanging="232"/>
        <w:spacing w:after="0"/>
        <w:tabs>
          <w:tab w:leader="none" w:pos="232" w:val="left"/>
        </w:tabs>
        <w:numPr>
          <w:ilvl w:val="0"/>
          <w:numId w:val="106"/>
        </w:numPr>
        <w:rPr>
          <w:rFonts w:ascii="Arial" w:cs="Arial" w:eastAsia="Arial" w:hAnsi="Arial"/>
          <w:sz w:val="17"/>
          <w:szCs w:val="17"/>
          <w:color w:val="355889"/>
        </w:rPr>
      </w:pPr>
      <w:r>
        <w:rPr>
          <w:rFonts w:ascii="Arial" w:cs="Arial" w:eastAsia="Arial" w:hAnsi="Arial"/>
          <w:sz w:val="18"/>
          <w:szCs w:val="18"/>
          <w:color w:val="auto"/>
        </w:rPr>
        <w:t>Option exercise period extended to</w:t>
      </w:r>
    </w:p>
    <w:p>
      <w:pPr>
        <w:spacing w:after="0" w:line="9" w:lineRule="exact"/>
        <w:rPr>
          <w:sz w:val="20"/>
          <w:szCs w:val="20"/>
          <w:color w:val="auto"/>
        </w:rPr>
      </w:pPr>
    </w:p>
    <w:p>
      <w:pPr>
        <w:ind w:left="252" w:right="900"/>
        <w:spacing w:after="0" w:line="201" w:lineRule="auto"/>
        <w:rPr>
          <w:sz w:val="20"/>
          <w:szCs w:val="20"/>
          <w:color w:val="auto"/>
        </w:rPr>
      </w:pPr>
      <w:r>
        <w:rPr>
          <w:rFonts w:ascii="Arial" w:cs="Arial" w:eastAsia="Arial" w:hAnsi="Arial"/>
          <w:sz w:val="18"/>
          <w:szCs w:val="18"/>
          <w:color w:val="auto"/>
        </w:rPr>
        <w:t>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61" w:lineRule="exact"/>
        <w:rPr>
          <w:sz w:val="20"/>
          <w:szCs w:val="20"/>
          <w:color w:val="auto"/>
        </w:rPr>
      </w:pPr>
    </w:p>
    <w:p>
      <w:pPr>
        <w:ind w:left="252" w:right="480" w:hanging="252"/>
        <w:spacing w:after="0" w:line="254" w:lineRule="auto"/>
        <w:tabs>
          <w:tab w:leader="none" w:pos="230" w:val="left"/>
        </w:tabs>
        <w:numPr>
          <w:ilvl w:val="0"/>
          <w:numId w:val="107"/>
        </w:numPr>
        <w:rPr>
          <w:rFonts w:ascii="Arial" w:cs="Arial" w:eastAsia="Arial" w:hAnsi="Arial"/>
          <w:sz w:val="17"/>
          <w:szCs w:val="17"/>
          <w:color w:val="355889"/>
        </w:rPr>
      </w:pPr>
      <w:r>
        <w:rPr>
          <w:rFonts w:ascii="Arial" w:cs="Arial" w:eastAsia="Arial" w:hAnsi="Arial"/>
          <w:sz w:val="18"/>
          <w:szCs w:val="18"/>
          <w:color w:val="auto"/>
        </w:rPr>
        <w:t>12 months of benefit continuation /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396875</wp:posOffset>
            </wp:positionV>
            <wp:extent cx="23317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58" w:right="220" w:hanging="258"/>
        <w:spacing w:after="0" w:line="312" w:lineRule="auto"/>
        <w:tabs>
          <w:tab w:leader="none" w:pos="236" w:val="left"/>
        </w:tabs>
        <w:numPr>
          <w:ilvl w:val="0"/>
          <w:numId w:val="108"/>
        </w:numPr>
        <w:rPr>
          <w:rFonts w:ascii="Arial" w:cs="Arial" w:eastAsia="Arial" w:hAnsi="Arial"/>
          <w:sz w:val="16"/>
          <w:szCs w:val="16"/>
          <w:color w:val="355889"/>
        </w:rPr>
      </w:pPr>
      <w:r>
        <w:rPr>
          <w:rFonts w:ascii="Arial" w:cs="Arial" w:eastAsia="Arial" w:hAnsi="Arial"/>
          <w:sz w:val="16"/>
          <w:szCs w:val="16"/>
          <w:color w:val="auto"/>
        </w:rPr>
        <w:t>The sum of base salary and average annual bonus for prior two years</w:t>
      </w:r>
    </w:p>
    <w:p>
      <w:pPr>
        <w:spacing w:after="0" w:line="7" w:lineRule="exact"/>
        <w:rPr>
          <w:rFonts w:ascii="Arial" w:cs="Arial" w:eastAsia="Arial" w:hAnsi="Arial"/>
          <w:sz w:val="16"/>
          <w:szCs w:val="16"/>
          <w:color w:val="355889"/>
        </w:rPr>
      </w:pPr>
    </w:p>
    <w:p>
      <w:pPr>
        <w:ind w:left="258" w:right="120" w:hanging="258"/>
        <w:spacing w:after="0" w:line="241" w:lineRule="auto"/>
        <w:tabs>
          <w:tab w:leader="none" w:pos="236" w:val="left"/>
        </w:tabs>
        <w:numPr>
          <w:ilvl w:val="0"/>
          <w:numId w:val="108"/>
        </w:numPr>
        <w:rPr>
          <w:rFonts w:ascii="Arial" w:cs="Arial" w:eastAsia="Arial" w:hAnsi="Arial"/>
          <w:sz w:val="17"/>
          <w:szCs w:val="17"/>
          <w:color w:val="355889"/>
        </w:rPr>
      </w:pPr>
      <w:r>
        <w:rPr>
          <w:rFonts w:ascii="Arial" w:cs="Arial" w:eastAsia="Arial" w:hAnsi="Arial"/>
          <w:sz w:val="18"/>
          <w:szCs w:val="18"/>
          <w:color w:val="auto"/>
        </w:rPr>
        <w:t>The target value of the annual time-based equity awards to be granted in January 2020 and 2021, to the extent not yet granted</w:t>
      </w:r>
    </w:p>
    <w:p>
      <w:pPr>
        <w:spacing w:after="0" w:line="73" w:lineRule="exact"/>
        <w:rPr>
          <w:rFonts w:ascii="Arial" w:cs="Arial" w:eastAsia="Arial" w:hAnsi="Arial"/>
          <w:sz w:val="17"/>
          <w:szCs w:val="17"/>
          <w:color w:val="355889"/>
        </w:rPr>
      </w:pPr>
    </w:p>
    <w:p>
      <w:pPr>
        <w:ind w:left="238" w:hanging="238"/>
        <w:spacing w:after="0"/>
        <w:tabs>
          <w:tab w:leader="none" w:pos="238" w:val="left"/>
        </w:tabs>
        <w:numPr>
          <w:ilvl w:val="0"/>
          <w:numId w:val="108"/>
        </w:numPr>
        <w:rPr>
          <w:rFonts w:ascii="Arial" w:cs="Arial" w:eastAsia="Arial" w:hAnsi="Arial"/>
          <w:sz w:val="17"/>
          <w:szCs w:val="17"/>
          <w:color w:val="355889"/>
        </w:rPr>
      </w:pPr>
      <w:r>
        <w:rPr>
          <w:rFonts w:ascii="Arial" w:cs="Arial" w:eastAsia="Arial" w:hAnsi="Arial"/>
          <w:sz w:val="18"/>
          <w:szCs w:val="18"/>
          <w:color w:val="auto"/>
        </w:rPr>
        <w:t>Pro-rata bonus for partial year</w:t>
      </w:r>
    </w:p>
    <w:p>
      <w:pPr>
        <w:spacing w:after="0" w:line="76" w:lineRule="exact"/>
        <w:rPr>
          <w:rFonts w:ascii="Arial" w:cs="Arial" w:eastAsia="Arial" w:hAnsi="Arial"/>
          <w:sz w:val="17"/>
          <w:szCs w:val="17"/>
          <w:color w:val="355889"/>
        </w:rPr>
      </w:pPr>
    </w:p>
    <w:p>
      <w:pPr>
        <w:ind w:left="258" w:right="480" w:hanging="258"/>
        <w:spacing w:after="0" w:line="254" w:lineRule="auto"/>
        <w:tabs>
          <w:tab w:leader="none" w:pos="236" w:val="left"/>
        </w:tabs>
        <w:numPr>
          <w:ilvl w:val="0"/>
          <w:numId w:val="108"/>
        </w:numPr>
        <w:rPr>
          <w:rFonts w:ascii="Arial" w:cs="Arial" w:eastAsia="Arial" w:hAnsi="Arial"/>
          <w:sz w:val="17"/>
          <w:szCs w:val="17"/>
          <w:color w:val="355889"/>
        </w:rPr>
      </w:pPr>
      <w:r>
        <w:rPr>
          <w:rFonts w:ascii="Arial" w:cs="Arial" w:eastAsia="Arial" w:hAnsi="Arial"/>
          <w:sz w:val="18"/>
          <w:szCs w:val="18"/>
          <w:color w:val="auto"/>
        </w:rPr>
        <w:t>Acceleration of all unvested time-based equity awards</w:t>
      </w:r>
    </w:p>
    <w:p>
      <w:pPr>
        <w:spacing w:after="0" w:line="47" w:lineRule="exact"/>
        <w:rPr>
          <w:rFonts w:ascii="Arial" w:cs="Arial" w:eastAsia="Arial" w:hAnsi="Arial"/>
          <w:sz w:val="17"/>
          <w:szCs w:val="17"/>
          <w:color w:val="355889"/>
        </w:rPr>
      </w:pPr>
    </w:p>
    <w:p>
      <w:pPr>
        <w:ind w:left="238" w:hanging="238"/>
        <w:spacing w:after="0"/>
        <w:tabs>
          <w:tab w:leader="none" w:pos="238" w:val="left"/>
        </w:tabs>
        <w:numPr>
          <w:ilvl w:val="0"/>
          <w:numId w:val="108"/>
        </w:numPr>
        <w:rPr>
          <w:rFonts w:ascii="Arial" w:cs="Arial" w:eastAsia="Arial" w:hAnsi="Arial"/>
          <w:sz w:val="17"/>
          <w:szCs w:val="17"/>
          <w:color w:val="355889"/>
        </w:rPr>
      </w:pPr>
      <w:r>
        <w:rPr>
          <w:rFonts w:ascii="Arial" w:cs="Arial" w:eastAsia="Arial" w:hAnsi="Arial"/>
          <w:sz w:val="18"/>
          <w:szCs w:val="18"/>
          <w:color w:val="auto"/>
        </w:rPr>
        <w:t>Class O LTIP unit/option exercise</w:t>
      </w:r>
    </w:p>
    <w:p>
      <w:pPr>
        <w:spacing w:after="0" w:line="9" w:lineRule="exact"/>
        <w:rPr>
          <w:sz w:val="20"/>
          <w:szCs w:val="20"/>
          <w:color w:val="auto"/>
        </w:rPr>
      </w:pPr>
    </w:p>
    <w:p>
      <w:pPr>
        <w:ind w:left="258" w:right="40"/>
        <w:spacing w:after="0" w:line="201" w:lineRule="auto"/>
        <w:rPr>
          <w:sz w:val="20"/>
          <w:szCs w:val="20"/>
          <w:color w:val="auto"/>
        </w:rPr>
      </w:pPr>
      <w:r>
        <w:rPr>
          <w:rFonts w:ascii="Arial" w:cs="Arial" w:eastAsia="Arial" w:hAnsi="Arial"/>
          <w:sz w:val="18"/>
          <w:szCs w:val="18"/>
          <w:color w:val="auto"/>
        </w:rPr>
        <w:t>period 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74" w:lineRule="exact"/>
        <w:rPr>
          <w:sz w:val="20"/>
          <w:szCs w:val="20"/>
          <w:color w:val="auto"/>
        </w:rPr>
      </w:pPr>
    </w:p>
    <w:p>
      <w:pPr>
        <w:ind w:left="258" w:right="480" w:hanging="258"/>
        <w:spacing w:after="0" w:line="254" w:lineRule="auto"/>
        <w:tabs>
          <w:tab w:leader="none" w:pos="236" w:val="left"/>
        </w:tabs>
        <w:numPr>
          <w:ilvl w:val="0"/>
          <w:numId w:val="109"/>
        </w:numPr>
        <w:rPr>
          <w:rFonts w:ascii="Arial" w:cs="Arial" w:eastAsia="Arial" w:hAnsi="Arial"/>
          <w:sz w:val="17"/>
          <w:szCs w:val="17"/>
          <w:color w:val="355889"/>
        </w:rPr>
      </w:pPr>
      <w:r>
        <w:rPr>
          <w:rFonts w:ascii="Arial" w:cs="Arial" w:eastAsia="Arial" w:hAnsi="Arial"/>
          <w:sz w:val="18"/>
          <w:szCs w:val="18"/>
          <w:color w:val="auto"/>
        </w:rPr>
        <w:t>12 months of benefit continuation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2540</wp:posOffset>
            </wp:positionV>
            <wp:extent cx="22713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3">
            <w:col w:w="3660" w:space="448"/>
            <w:col w:w="3392" w:space="442"/>
            <w:col w:w="3298"/>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Severance Benefits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(Change-in-Control)</w:t>
      </w:r>
      <w:r>
        <w:rPr>
          <w:rFonts w:ascii="Arial" w:cs="Arial" w:eastAsia="Arial" w:hAnsi="Arial"/>
          <w:sz w:val="28"/>
          <w:szCs w:val="28"/>
          <w:b w:val="1"/>
          <w:bCs w:val="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232283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3228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If the executive’s employment is terminated by us without Cause or by the executive for Good Reason in connection with or within 18 months after a Change-in-Control during the term, the executive will be entitled to the following payments 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70598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70598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720"/>
            <w:col w:w="7420"/>
          </w:cols>
          <w:pgMar w:left="320" w:top="121" w:right="339" w:bottom="1440" w:gutter="0" w:footer="0" w:header="0"/>
          <w:type w:val="continuous"/>
        </w:sectPr>
      </w:pPr>
    </w:p>
    <w:p>
      <w:pPr>
        <w:spacing w:after="0" w:line="69" w:lineRule="exact"/>
        <w:rPr>
          <w:sz w:val="20"/>
          <w:szCs w:val="20"/>
          <w:color w:val="auto"/>
        </w:rPr>
      </w:pPr>
    </w:p>
    <w:p>
      <w:pPr>
        <w:ind w:left="1300"/>
        <w:spacing w:after="0"/>
        <w:tabs>
          <w:tab w:leader="none" w:pos="5340" w:val="left"/>
          <w:tab w:leader="none" w:pos="9220" w:val="left"/>
        </w:tabs>
        <w:rPr>
          <w:sz w:val="20"/>
          <w:szCs w:val="20"/>
          <w:color w:val="auto"/>
        </w:rPr>
      </w:pPr>
      <w:r>
        <w:rPr>
          <w:rFonts w:ascii="Arial" w:cs="Arial" w:eastAsia="Arial" w:hAnsi="Arial"/>
          <w:sz w:val="13"/>
          <w:szCs w:val="13"/>
          <w:b w:val="1"/>
          <w:bCs w:val="1"/>
          <w:color w:val="355889"/>
        </w:rPr>
        <w:t>Holliday/Mathias</w:t>
      </w:r>
      <w:r>
        <w:rPr>
          <w:sz w:val="20"/>
          <w:szCs w:val="20"/>
          <w:color w:val="auto"/>
        </w:rPr>
        <w:tab/>
      </w:r>
      <w:r>
        <w:rPr>
          <w:rFonts w:ascii="Arial" w:cs="Arial" w:eastAsia="Arial" w:hAnsi="Arial"/>
          <w:sz w:val="13"/>
          <w:szCs w:val="13"/>
          <w:b w:val="1"/>
          <w:bCs w:val="1"/>
          <w:color w:val="355889"/>
        </w:rPr>
        <w:t>DiLiberto</w:t>
      </w:r>
      <w:r>
        <w:rPr>
          <w:sz w:val="20"/>
          <w:szCs w:val="20"/>
          <w:color w:val="auto"/>
        </w:rPr>
        <w:tab/>
      </w:r>
      <w:r>
        <w:rPr>
          <w:rFonts w:ascii="Arial" w:cs="Arial" w:eastAsia="Arial" w:hAnsi="Arial"/>
          <w:sz w:val="13"/>
          <w:szCs w:val="13"/>
          <w:b w:val="1"/>
          <w:bCs w:val="1"/>
          <w:color w:val="355889"/>
        </w:rPr>
        <w:t>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100" w:lineRule="exact"/>
        <w:rPr>
          <w:sz w:val="20"/>
          <w:szCs w:val="20"/>
          <w:color w:val="auto"/>
        </w:rPr>
      </w:pPr>
    </w:p>
    <w:p>
      <w:pPr>
        <w:ind w:left="540" w:right="160" w:hanging="253"/>
        <w:spacing w:after="0" w:line="241" w:lineRule="auto"/>
        <w:tabs>
          <w:tab w:leader="none" w:pos="517" w:val="left"/>
        </w:tabs>
        <w:numPr>
          <w:ilvl w:val="0"/>
          <w:numId w:val="110"/>
        </w:numPr>
        <w:rPr>
          <w:rFonts w:ascii="Arial" w:cs="Arial" w:eastAsia="Arial" w:hAnsi="Arial"/>
          <w:sz w:val="17"/>
          <w:szCs w:val="17"/>
          <w:color w:val="355889"/>
        </w:rPr>
      </w:pPr>
      <w:r>
        <w:rPr>
          <w:rFonts w:ascii="Arial" w:cs="Arial" w:eastAsia="Arial" w:hAnsi="Arial"/>
          <w:sz w:val="18"/>
          <w:szCs w:val="18"/>
          <w:color w:val="auto"/>
        </w:rPr>
        <w:t>3.0x / 2.5x the sum of base salary, average annual bonus for prior two years and target value of annual time-based award</w:t>
      </w:r>
    </w:p>
    <w:p>
      <w:pPr>
        <w:spacing w:after="0" w:line="59" w:lineRule="exact"/>
        <w:rPr>
          <w:rFonts w:ascii="Arial" w:cs="Arial" w:eastAsia="Arial" w:hAnsi="Arial"/>
          <w:sz w:val="17"/>
          <w:szCs w:val="17"/>
          <w:color w:val="355889"/>
        </w:rPr>
      </w:pPr>
    </w:p>
    <w:p>
      <w:pPr>
        <w:ind w:left="540" w:right="180" w:hanging="253"/>
        <w:spacing w:after="0" w:line="244" w:lineRule="auto"/>
        <w:tabs>
          <w:tab w:leader="none" w:pos="517" w:val="left"/>
        </w:tabs>
        <w:numPr>
          <w:ilvl w:val="0"/>
          <w:numId w:val="110"/>
        </w:numPr>
        <w:rPr>
          <w:rFonts w:ascii="Arial" w:cs="Arial" w:eastAsia="Arial" w:hAnsi="Arial"/>
          <w:sz w:val="17"/>
          <w:szCs w:val="17"/>
          <w:color w:val="355889"/>
        </w:rPr>
      </w:pPr>
      <w:r>
        <w:rPr>
          <w:rFonts w:ascii="Arial" w:cs="Arial" w:eastAsia="Arial" w:hAnsi="Arial"/>
          <w:sz w:val="18"/>
          <w:szCs w:val="18"/>
          <w:color w:val="auto"/>
        </w:rPr>
        <w:t>Pro-rata bonus and pro-rata portion of target value of annual time-based award for partial year</w:t>
      </w:r>
    </w:p>
    <w:p>
      <w:pPr>
        <w:spacing w:after="0" w:line="70" w:lineRule="exact"/>
        <w:rPr>
          <w:rFonts w:ascii="Arial" w:cs="Arial" w:eastAsia="Arial" w:hAnsi="Arial"/>
          <w:sz w:val="17"/>
          <w:szCs w:val="17"/>
          <w:color w:val="355889"/>
        </w:rPr>
      </w:pPr>
    </w:p>
    <w:p>
      <w:pPr>
        <w:ind w:left="540" w:right="80" w:hanging="253"/>
        <w:spacing w:after="0" w:line="254" w:lineRule="auto"/>
        <w:tabs>
          <w:tab w:leader="none" w:pos="517" w:val="left"/>
        </w:tabs>
        <w:numPr>
          <w:ilvl w:val="0"/>
          <w:numId w:val="110"/>
        </w:numPr>
        <w:rPr>
          <w:rFonts w:ascii="Arial" w:cs="Arial" w:eastAsia="Arial" w:hAnsi="Arial"/>
          <w:sz w:val="17"/>
          <w:szCs w:val="17"/>
          <w:color w:val="355889"/>
        </w:rPr>
      </w:pPr>
      <w:r>
        <w:rPr>
          <w:rFonts w:ascii="Arial" w:cs="Arial" w:eastAsia="Arial" w:hAnsi="Arial"/>
          <w:sz w:val="18"/>
          <w:szCs w:val="18"/>
          <w:color w:val="auto"/>
        </w:rPr>
        <w:t>Acceleration of all unvested time-based equity awards</w:t>
      </w:r>
    </w:p>
    <w:p>
      <w:pPr>
        <w:spacing w:after="0" w:line="47" w:lineRule="exact"/>
        <w:rPr>
          <w:rFonts w:ascii="Arial" w:cs="Arial" w:eastAsia="Arial" w:hAnsi="Arial"/>
          <w:sz w:val="17"/>
          <w:szCs w:val="17"/>
          <w:color w:val="355889"/>
        </w:rPr>
      </w:pPr>
    </w:p>
    <w:p>
      <w:pPr>
        <w:ind w:left="520" w:hanging="233"/>
        <w:spacing w:after="0"/>
        <w:tabs>
          <w:tab w:leader="none" w:pos="520" w:val="left"/>
        </w:tabs>
        <w:numPr>
          <w:ilvl w:val="0"/>
          <w:numId w:val="110"/>
        </w:numPr>
        <w:rPr>
          <w:rFonts w:ascii="Arial" w:cs="Arial" w:eastAsia="Arial" w:hAnsi="Arial"/>
          <w:sz w:val="16"/>
          <w:szCs w:val="16"/>
          <w:color w:val="355889"/>
        </w:rPr>
      </w:pPr>
      <w:r>
        <w:rPr>
          <w:rFonts w:ascii="Arial" w:cs="Arial" w:eastAsia="Arial" w:hAnsi="Arial"/>
          <w:sz w:val="16"/>
          <w:szCs w:val="16"/>
          <w:color w:val="auto"/>
        </w:rPr>
        <w:t>Class O LTIP unit/option exercise period</w:t>
      </w:r>
    </w:p>
    <w:p>
      <w:pPr>
        <w:spacing w:after="0" w:line="32" w:lineRule="exact"/>
        <w:rPr>
          <w:sz w:val="20"/>
          <w:szCs w:val="20"/>
          <w:color w:val="auto"/>
        </w:rPr>
      </w:pPr>
    </w:p>
    <w:p>
      <w:pPr>
        <w:ind w:left="540" w:right="640"/>
        <w:spacing w:after="0" w:line="201" w:lineRule="auto"/>
        <w:rPr>
          <w:sz w:val="20"/>
          <w:szCs w:val="20"/>
          <w:color w:val="auto"/>
        </w:rPr>
      </w:pPr>
      <w:r>
        <w:rPr>
          <w:rFonts w:ascii="Arial" w:cs="Arial" w:eastAsia="Arial" w:hAnsi="Arial"/>
          <w:sz w:val="18"/>
          <w:szCs w:val="18"/>
          <w:color w:val="auto"/>
        </w:rPr>
        <w:t>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61" w:lineRule="exact"/>
        <w:rPr>
          <w:sz w:val="20"/>
          <w:szCs w:val="20"/>
          <w:color w:val="auto"/>
        </w:rPr>
      </w:pPr>
    </w:p>
    <w:p>
      <w:pPr>
        <w:ind w:left="540" w:right="200" w:hanging="253"/>
        <w:spacing w:after="0" w:line="254" w:lineRule="auto"/>
        <w:tabs>
          <w:tab w:leader="none" w:pos="517" w:val="left"/>
        </w:tabs>
        <w:numPr>
          <w:ilvl w:val="0"/>
          <w:numId w:val="111"/>
        </w:numPr>
        <w:rPr>
          <w:rFonts w:ascii="Arial" w:cs="Arial" w:eastAsia="Arial" w:hAnsi="Arial"/>
          <w:sz w:val="17"/>
          <w:szCs w:val="17"/>
          <w:color w:val="355889"/>
        </w:rPr>
      </w:pPr>
      <w:r>
        <w:rPr>
          <w:rFonts w:ascii="Arial" w:cs="Arial" w:eastAsia="Arial" w:hAnsi="Arial"/>
          <w:sz w:val="18"/>
          <w:szCs w:val="18"/>
          <w:color w:val="auto"/>
        </w:rPr>
        <w:t>36 / 30 months of benefit continuation payments</w:t>
      </w:r>
    </w:p>
    <w:p>
      <w:pPr>
        <w:spacing w:after="0" w:line="60" w:lineRule="exact"/>
        <w:rPr>
          <w:rFonts w:ascii="Arial" w:cs="Arial" w:eastAsia="Arial" w:hAnsi="Arial"/>
          <w:sz w:val="17"/>
          <w:szCs w:val="17"/>
          <w:color w:val="355889"/>
        </w:rPr>
      </w:pPr>
    </w:p>
    <w:p>
      <w:pPr>
        <w:ind w:left="520" w:hanging="233"/>
        <w:spacing w:after="0"/>
        <w:tabs>
          <w:tab w:leader="none" w:pos="520" w:val="left"/>
        </w:tabs>
        <w:numPr>
          <w:ilvl w:val="0"/>
          <w:numId w:val="111"/>
        </w:numPr>
        <w:rPr>
          <w:rFonts w:ascii="Arial" w:cs="Arial" w:eastAsia="Arial" w:hAnsi="Arial"/>
          <w:sz w:val="17"/>
          <w:szCs w:val="17"/>
          <w:color w:val="355889"/>
        </w:rPr>
      </w:pPr>
      <w:r>
        <w:rPr>
          <w:rFonts w:ascii="Arial" w:cs="Arial" w:eastAsia="Arial" w:hAnsi="Arial"/>
          <w:sz w:val="18"/>
          <w:szCs w:val="18"/>
          <w:color w:val="auto"/>
        </w:rPr>
        <w:t>Section 280G modified cut-back</w:t>
      </w:r>
      <w:r>
        <w:rPr>
          <w:rFonts w:ascii="Arial" w:cs="Arial" w:eastAsia="Arial" w:hAnsi="Arial"/>
          <w:sz w:val="29"/>
          <w:szCs w:val="29"/>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2283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3228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252" w:right="420" w:hanging="252"/>
        <w:spacing w:after="0" w:line="251" w:lineRule="auto"/>
        <w:tabs>
          <w:tab w:leader="none" w:pos="230" w:val="left"/>
        </w:tabs>
        <w:numPr>
          <w:ilvl w:val="0"/>
          <w:numId w:val="112"/>
        </w:numPr>
        <w:rPr>
          <w:rFonts w:ascii="Arial" w:cs="Arial" w:eastAsia="Arial" w:hAnsi="Arial"/>
          <w:sz w:val="17"/>
          <w:szCs w:val="17"/>
          <w:color w:val="355889"/>
        </w:rPr>
      </w:pPr>
      <w:r>
        <w:rPr>
          <w:rFonts w:ascii="Arial" w:cs="Arial" w:eastAsia="Arial" w:hAnsi="Arial"/>
          <w:sz w:val="18"/>
          <w:szCs w:val="18"/>
          <w:color w:val="auto"/>
        </w:rPr>
        <w:t>2x average annual base salary and bonus</w:t>
      </w:r>
      <w:r>
        <w:rPr>
          <w:rFonts w:ascii="Arial" w:cs="Arial" w:eastAsia="Arial" w:hAnsi="Arial"/>
          <w:sz w:val="29"/>
          <w:szCs w:val="29"/>
          <w:color w:val="auto"/>
          <w:vertAlign w:val="superscript"/>
        </w:rPr>
        <w:t>(7)</w:t>
      </w:r>
    </w:p>
    <w:p>
      <w:pPr>
        <w:spacing w:after="0" w:line="1" w:lineRule="exact"/>
        <w:rPr>
          <w:rFonts w:ascii="Arial" w:cs="Arial" w:eastAsia="Arial" w:hAnsi="Arial"/>
          <w:sz w:val="17"/>
          <w:szCs w:val="17"/>
          <w:color w:val="355889"/>
        </w:rPr>
      </w:pPr>
    </w:p>
    <w:p>
      <w:pPr>
        <w:ind w:left="232" w:hanging="232"/>
        <w:spacing w:after="0" w:line="213" w:lineRule="auto"/>
        <w:tabs>
          <w:tab w:leader="none" w:pos="232" w:val="left"/>
        </w:tabs>
        <w:numPr>
          <w:ilvl w:val="0"/>
          <w:numId w:val="112"/>
        </w:numPr>
        <w:rPr>
          <w:rFonts w:ascii="Arial" w:cs="Arial" w:eastAsia="Arial" w:hAnsi="Arial"/>
          <w:sz w:val="17"/>
          <w:szCs w:val="17"/>
          <w:color w:val="355889"/>
        </w:rPr>
      </w:pPr>
      <w:r>
        <w:rPr>
          <w:rFonts w:ascii="Arial" w:cs="Arial" w:eastAsia="Arial" w:hAnsi="Arial"/>
          <w:sz w:val="18"/>
          <w:szCs w:val="18"/>
          <w:color w:val="auto"/>
        </w:rPr>
        <w:t>Pro-rata bonus for partial year</w:t>
      </w:r>
      <w:r>
        <w:rPr>
          <w:rFonts w:ascii="Arial" w:cs="Arial" w:eastAsia="Arial" w:hAnsi="Arial"/>
          <w:sz w:val="29"/>
          <w:szCs w:val="29"/>
          <w:color w:val="auto"/>
          <w:vertAlign w:val="superscript"/>
        </w:rPr>
        <w:t>(8)</w:t>
      </w:r>
    </w:p>
    <w:p>
      <w:pPr>
        <w:spacing w:after="0" w:line="1" w:lineRule="exact"/>
        <w:rPr>
          <w:rFonts w:ascii="Arial" w:cs="Arial" w:eastAsia="Arial" w:hAnsi="Arial"/>
          <w:sz w:val="17"/>
          <w:szCs w:val="17"/>
          <w:color w:val="355889"/>
        </w:rPr>
      </w:pPr>
    </w:p>
    <w:p>
      <w:pPr>
        <w:ind w:left="252" w:hanging="252"/>
        <w:spacing w:after="0" w:line="244" w:lineRule="auto"/>
        <w:tabs>
          <w:tab w:leader="none" w:pos="230" w:val="left"/>
        </w:tabs>
        <w:numPr>
          <w:ilvl w:val="0"/>
          <w:numId w:val="112"/>
        </w:numPr>
        <w:rPr>
          <w:rFonts w:ascii="Arial" w:cs="Arial" w:eastAsia="Arial" w:hAnsi="Arial"/>
          <w:sz w:val="17"/>
          <w:szCs w:val="17"/>
          <w:color w:val="355889"/>
        </w:rPr>
      </w:pPr>
      <w:r>
        <w:rPr>
          <w:rFonts w:ascii="Arial" w:cs="Arial" w:eastAsia="Arial" w:hAnsi="Arial"/>
          <w:sz w:val="18"/>
          <w:szCs w:val="18"/>
          <w:color w:val="auto"/>
        </w:rPr>
        <w:t>Acceleration of all unvested equity awards (other than annual performance-based awards)</w:t>
      </w:r>
    </w:p>
    <w:p>
      <w:pPr>
        <w:spacing w:after="0" w:line="57" w:lineRule="exact"/>
        <w:rPr>
          <w:rFonts w:ascii="Arial" w:cs="Arial" w:eastAsia="Arial" w:hAnsi="Arial"/>
          <w:sz w:val="17"/>
          <w:szCs w:val="17"/>
          <w:color w:val="355889"/>
        </w:rPr>
      </w:pPr>
    </w:p>
    <w:p>
      <w:pPr>
        <w:ind w:left="232" w:hanging="232"/>
        <w:spacing w:after="0"/>
        <w:tabs>
          <w:tab w:leader="none" w:pos="232" w:val="left"/>
        </w:tabs>
        <w:numPr>
          <w:ilvl w:val="0"/>
          <w:numId w:val="112"/>
        </w:numPr>
        <w:rPr>
          <w:rFonts w:ascii="Arial" w:cs="Arial" w:eastAsia="Arial" w:hAnsi="Arial"/>
          <w:sz w:val="17"/>
          <w:szCs w:val="17"/>
          <w:color w:val="355889"/>
        </w:rPr>
      </w:pPr>
      <w:r>
        <w:rPr>
          <w:rFonts w:ascii="Arial" w:cs="Arial" w:eastAsia="Arial" w:hAnsi="Arial"/>
          <w:sz w:val="18"/>
          <w:szCs w:val="18"/>
          <w:color w:val="auto"/>
        </w:rPr>
        <w:t>Option exercise period extended to</w:t>
      </w:r>
    </w:p>
    <w:p>
      <w:pPr>
        <w:spacing w:after="0" w:line="9" w:lineRule="exact"/>
        <w:rPr>
          <w:sz w:val="20"/>
          <w:szCs w:val="20"/>
          <w:color w:val="auto"/>
        </w:rPr>
      </w:pPr>
    </w:p>
    <w:p>
      <w:pPr>
        <w:ind w:left="252" w:right="900"/>
        <w:spacing w:after="0" w:line="201" w:lineRule="auto"/>
        <w:rPr>
          <w:sz w:val="20"/>
          <w:szCs w:val="20"/>
          <w:color w:val="auto"/>
        </w:rPr>
      </w:pPr>
      <w:r>
        <w:rPr>
          <w:rFonts w:ascii="Arial" w:cs="Arial" w:eastAsia="Arial" w:hAnsi="Arial"/>
          <w:sz w:val="18"/>
          <w:szCs w:val="18"/>
          <w:color w:val="auto"/>
        </w:rPr>
        <w:t>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61" w:lineRule="exact"/>
        <w:rPr>
          <w:sz w:val="20"/>
          <w:szCs w:val="20"/>
          <w:color w:val="auto"/>
        </w:rPr>
      </w:pPr>
    </w:p>
    <w:p>
      <w:pPr>
        <w:ind w:left="252" w:right="480" w:hanging="252"/>
        <w:spacing w:after="0" w:line="254" w:lineRule="auto"/>
        <w:tabs>
          <w:tab w:leader="none" w:pos="230" w:val="left"/>
        </w:tabs>
        <w:numPr>
          <w:ilvl w:val="0"/>
          <w:numId w:val="113"/>
        </w:numPr>
        <w:rPr>
          <w:rFonts w:ascii="Arial" w:cs="Arial" w:eastAsia="Arial" w:hAnsi="Arial"/>
          <w:sz w:val="17"/>
          <w:szCs w:val="17"/>
          <w:color w:val="355889"/>
        </w:rPr>
      </w:pPr>
      <w:r>
        <w:rPr>
          <w:rFonts w:ascii="Arial" w:cs="Arial" w:eastAsia="Arial" w:hAnsi="Arial"/>
          <w:sz w:val="18"/>
          <w:szCs w:val="18"/>
          <w:color w:val="auto"/>
        </w:rPr>
        <w:t>24 months of benefit continuation / payments</w:t>
      </w:r>
    </w:p>
    <w:p>
      <w:pPr>
        <w:spacing w:after="0" w:line="60" w:lineRule="exact"/>
        <w:rPr>
          <w:rFonts w:ascii="Arial" w:cs="Arial" w:eastAsia="Arial" w:hAnsi="Arial"/>
          <w:sz w:val="17"/>
          <w:szCs w:val="17"/>
          <w:color w:val="355889"/>
        </w:rPr>
      </w:pPr>
    </w:p>
    <w:p>
      <w:pPr>
        <w:ind w:left="232" w:hanging="232"/>
        <w:spacing w:after="0"/>
        <w:tabs>
          <w:tab w:leader="none" w:pos="232" w:val="left"/>
        </w:tabs>
        <w:numPr>
          <w:ilvl w:val="0"/>
          <w:numId w:val="113"/>
        </w:numPr>
        <w:rPr>
          <w:rFonts w:ascii="Arial" w:cs="Arial" w:eastAsia="Arial" w:hAnsi="Arial"/>
          <w:sz w:val="17"/>
          <w:szCs w:val="17"/>
          <w:color w:val="355889"/>
        </w:rPr>
      </w:pPr>
      <w:r>
        <w:rPr>
          <w:rFonts w:ascii="Arial" w:cs="Arial" w:eastAsia="Arial" w:hAnsi="Arial"/>
          <w:sz w:val="18"/>
          <w:szCs w:val="18"/>
          <w:color w:val="auto"/>
        </w:rPr>
        <w:t>Section 280G modified cut-back</w:t>
      </w:r>
      <w:r>
        <w:rPr>
          <w:rFonts w:ascii="Arial" w:cs="Arial" w:eastAsia="Arial" w:hAnsi="Arial"/>
          <w:sz w:val="29"/>
          <w:szCs w:val="29"/>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352425</wp:posOffset>
            </wp:positionV>
            <wp:extent cx="23317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3317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258" w:right="40" w:hanging="258"/>
        <w:spacing w:after="0" w:line="312" w:lineRule="auto"/>
        <w:tabs>
          <w:tab w:leader="none" w:pos="236" w:val="left"/>
        </w:tabs>
        <w:numPr>
          <w:ilvl w:val="0"/>
          <w:numId w:val="114"/>
        </w:numPr>
        <w:rPr>
          <w:rFonts w:ascii="Arial" w:cs="Arial" w:eastAsia="Arial" w:hAnsi="Arial"/>
          <w:sz w:val="16"/>
          <w:szCs w:val="16"/>
          <w:color w:val="355889"/>
        </w:rPr>
      </w:pPr>
      <w:r>
        <w:rPr>
          <w:rFonts w:ascii="Arial" w:cs="Arial" w:eastAsia="Arial" w:hAnsi="Arial"/>
          <w:sz w:val="16"/>
          <w:szCs w:val="16"/>
          <w:color w:val="auto"/>
        </w:rPr>
        <w:t>2x the sum of base salary and average annual bonus for prior two years</w:t>
      </w:r>
    </w:p>
    <w:p>
      <w:pPr>
        <w:spacing w:after="0" w:line="7" w:lineRule="exact"/>
        <w:rPr>
          <w:rFonts w:ascii="Arial" w:cs="Arial" w:eastAsia="Arial" w:hAnsi="Arial"/>
          <w:sz w:val="16"/>
          <w:szCs w:val="16"/>
          <w:color w:val="355889"/>
        </w:rPr>
      </w:pPr>
    </w:p>
    <w:p>
      <w:pPr>
        <w:ind w:left="258" w:right="120" w:hanging="258"/>
        <w:spacing w:after="0" w:line="241" w:lineRule="auto"/>
        <w:tabs>
          <w:tab w:leader="none" w:pos="236" w:val="left"/>
        </w:tabs>
        <w:numPr>
          <w:ilvl w:val="0"/>
          <w:numId w:val="114"/>
        </w:numPr>
        <w:rPr>
          <w:rFonts w:ascii="Arial" w:cs="Arial" w:eastAsia="Arial" w:hAnsi="Arial"/>
          <w:sz w:val="17"/>
          <w:szCs w:val="17"/>
          <w:color w:val="355889"/>
        </w:rPr>
      </w:pPr>
      <w:r>
        <w:rPr>
          <w:rFonts w:ascii="Arial" w:cs="Arial" w:eastAsia="Arial" w:hAnsi="Arial"/>
          <w:sz w:val="18"/>
          <w:szCs w:val="18"/>
          <w:color w:val="auto"/>
        </w:rPr>
        <w:t>The target value of the annual time-based equity awards to be granted in January 2020 and 2021, to the extent not yet granted</w:t>
      </w:r>
    </w:p>
    <w:p>
      <w:pPr>
        <w:spacing w:after="0" w:line="73" w:lineRule="exact"/>
        <w:rPr>
          <w:rFonts w:ascii="Arial" w:cs="Arial" w:eastAsia="Arial" w:hAnsi="Arial"/>
          <w:sz w:val="17"/>
          <w:szCs w:val="17"/>
          <w:color w:val="355889"/>
        </w:rPr>
      </w:pPr>
    </w:p>
    <w:p>
      <w:pPr>
        <w:ind w:left="238" w:hanging="238"/>
        <w:spacing w:after="0"/>
        <w:tabs>
          <w:tab w:leader="none" w:pos="238" w:val="left"/>
        </w:tabs>
        <w:numPr>
          <w:ilvl w:val="0"/>
          <w:numId w:val="114"/>
        </w:numPr>
        <w:rPr>
          <w:rFonts w:ascii="Arial" w:cs="Arial" w:eastAsia="Arial" w:hAnsi="Arial"/>
          <w:sz w:val="17"/>
          <w:szCs w:val="17"/>
          <w:color w:val="355889"/>
        </w:rPr>
      </w:pPr>
      <w:r>
        <w:rPr>
          <w:rFonts w:ascii="Arial" w:cs="Arial" w:eastAsia="Arial" w:hAnsi="Arial"/>
          <w:sz w:val="18"/>
          <w:szCs w:val="18"/>
          <w:color w:val="auto"/>
        </w:rPr>
        <w:t>Pro-rata bonus for partial year</w:t>
      </w:r>
    </w:p>
    <w:p>
      <w:pPr>
        <w:spacing w:after="0" w:line="76" w:lineRule="exact"/>
        <w:rPr>
          <w:rFonts w:ascii="Arial" w:cs="Arial" w:eastAsia="Arial" w:hAnsi="Arial"/>
          <w:sz w:val="17"/>
          <w:szCs w:val="17"/>
          <w:color w:val="355889"/>
        </w:rPr>
      </w:pPr>
    </w:p>
    <w:p>
      <w:pPr>
        <w:ind w:left="258" w:right="480" w:hanging="258"/>
        <w:spacing w:after="0" w:line="254" w:lineRule="auto"/>
        <w:tabs>
          <w:tab w:leader="none" w:pos="236" w:val="left"/>
        </w:tabs>
        <w:numPr>
          <w:ilvl w:val="0"/>
          <w:numId w:val="114"/>
        </w:numPr>
        <w:rPr>
          <w:rFonts w:ascii="Arial" w:cs="Arial" w:eastAsia="Arial" w:hAnsi="Arial"/>
          <w:sz w:val="17"/>
          <w:szCs w:val="17"/>
          <w:color w:val="355889"/>
        </w:rPr>
      </w:pPr>
      <w:r>
        <w:rPr>
          <w:rFonts w:ascii="Arial" w:cs="Arial" w:eastAsia="Arial" w:hAnsi="Arial"/>
          <w:sz w:val="18"/>
          <w:szCs w:val="18"/>
          <w:color w:val="auto"/>
        </w:rPr>
        <w:t>Acceleration of all unvested time-based equity awards</w:t>
      </w:r>
    </w:p>
    <w:p>
      <w:pPr>
        <w:spacing w:after="0" w:line="47" w:lineRule="exact"/>
        <w:rPr>
          <w:rFonts w:ascii="Arial" w:cs="Arial" w:eastAsia="Arial" w:hAnsi="Arial"/>
          <w:sz w:val="17"/>
          <w:szCs w:val="17"/>
          <w:color w:val="355889"/>
        </w:rPr>
      </w:pPr>
    </w:p>
    <w:p>
      <w:pPr>
        <w:ind w:left="238" w:hanging="238"/>
        <w:spacing w:after="0"/>
        <w:tabs>
          <w:tab w:leader="none" w:pos="238" w:val="left"/>
        </w:tabs>
        <w:numPr>
          <w:ilvl w:val="0"/>
          <w:numId w:val="114"/>
        </w:numPr>
        <w:rPr>
          <w:rFonts w:ascii="Arial" w:cs="Arial" w:eastAsia="Arial" w:hAnsi="Arial"/>
          <w:sz w:val="17"/>
          <w:szCs w:val="17"/>
          <w:color w:val="355889"/>
        </w:rPr>
      </w:pPr>
      <w:r>
        <w:rPr>
          <w:rFonts w:ascii="Arial" w:cs="Arial" w:eastAsia="Arial" w:hAnsi="Arial"/>
          <w:sz w:val="18"/>
          <w:szCs w:val="18"/>
          <w:color w:val="auto"/>
        </w:rPr>
        <w:t>Class O LTIP unit/option exercise</w:t>
      </w:r>
    </w:p>
    <w:p>
      <w:pPr>
        <w:spacing w:after="0" w:line="9" w:lineRule="exact"/>
        <w:rPr>
          <w:sz w:val="20"/>
          <w:szCs w:val="20"/>
          <w:color w:val="auto"/>
        </w:rPr>
      </w:pPr>
    </w:p>
    <w:p>
      <w:pPr>
        <w:ind w:left="258" w:right="40"/>
        <w:spacing w:after="0" w:line="201" w:lineRule="auto"/>
        <w:rPr>
          <w:sz w:val="20"/>
          <w:szCs w:val="20"/>
          <w:color w:val="auto"/>
        </w:rPr>
      </w:pPr>
      <w:r>
        <w:rPr>
          <w:rFonts w:ascii="Arial" w:cs="Arial" w:eastAsia="Arial" w:hAnsi="Arial"/>
          <w:sz w:val="18"/>
          <w:szCs w:val="18"/>
          <w:color w:val="auto"/>
        </w:rPr>
        <w:t>period 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74" w:lineRule="exact"/>
        <w:rPr>
          <w:sz w:val="20"/>
          <w:szCs w:val="20"/>
          <w:color w:val="auto"/>
        </w:rPr>
      </w:pPr>
    </w:p>
    <w:p>
      <w:pPr>
        <w:ind w:left="258" w:right="480" w:hanging="258"/>
        <w:spacing w:after="0" w:line="254" w:lineRule="auto"/>
        <w:tabs>
          <w:tab w:leader="none" w:pos="236" w:val="left"/>
        </w:tabs>
        <w:numPr>
          <w:ilvl w:val="0"/>
          <w:numId w:val="115"/>
        </w:numPr>
        <w:rPr>
          <w:rFonts w:ascii="Arial" w:cs="Arial" w:eastAsia="Arial" w:hAnsi="Arial"/>
          <w:sz w:val="17"/>
          <w:szCs w:val="17"/>
          <w:color w:val="355889"/>
        </w:rPr>
      </w:pPr>
      <w:r>
        <w:rPr>
          <w:rFonts w:ascii="Arial" w:cs="Arial" w:eastAsia="Arial" w:hAnsi="Arial"/>
          <w:sz w:val="18"/>
          <w:szCs w:val="18"/>
          <w:color w:val="auto"/>
        </w:rPr>
        <w:t>24 months of benefit continuation payments</w:t>
      </w:r>
    </w:p>
    <w:p>
      <w:pPr>
        <w:spacing w:after="0" w:line="47" w:lineRule="exact"/>
        <w:rPr>
          <w:rFonts w:ascii="Arial" w:cs="Arial" w:eastAsia="Arial" w:hAnsi="Arial"/>
          <w:sz w:val="17"/>
          <w:szCs w:val="17"/>
          <w:color w:val="355889"/>
        </w:rPr>
      </w:pPr>
    </w:p>
    <w:p>
      <w:pPr>
        <w:ind w:left="238" w:hanging="238"/>
        <w:spacing w:after="0"/>
        <w:tabs>
          <w:tab w:leader="none" w:pos="238" w:val="left"/>
        </w:tabs>
        <w:numPr>
          <w:ilvl w:val="0"/>
          <w:numId w:val="115"/>
        </w:numPr>
        <w:rPr>
          <w:rFonts w:ascii="Arial" w:cs="Arial" w:eastAsia="Arial" w:hAnsi="Arial"/>
          <w:sz w:val="17"/>
          <w:szCs w:val="17"/>
          <w:color w:val="355889"/>
        </w:rPr>
      </w:pPr>
      <w:r>
        <w:rPr>
          <w:rFonts w:ascii="Arial" w:cs="Arial" w:eastAsia="Arial" w:hAnsi="Arial"/>
          <w:sz w:val="18"/>
          <w:szCs w:val="18"/>
          <w:color w:val="auto"/>
        </w:rPr>
        <w:t>Section 280G modified cut-back</w:t>
      </w:r>
      <w:r>
        <w:rPr>
          <w:rFonts w:ascii="Arial" w:cs="Arial" w:eastAsia="Arial" w:hAnsi="Arial"/>
          <w:sz w:val="29"/>
          <w:szCs w:val="29"/>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-33020</wp:posOffset>
            </wp:positionV>
            <wp:extent cx="227139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271395" cy="1714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3">
            <w:col w:w="3660" w:space="448"/>
            <w:col w:w="3392" w:space="442"/>
            <w:col w:w="3298"/>
          </w:cols>
          <w:pgMar w:left="320" w:top="121" w:right="339" w:bottom="1440" w:gutter="0" w:footer="0" w:header="0"/>
          <w:type w:val="continuous"/>
        </w:sectPr>
      </w:pPr>
    </w:p>
    <w:p>
      <w:pPr>
        <w:ind w:left="300" w:hanging="292"/>
        <w:spacing w:after="0"/>
        <w:tabs>
          <w:tab w:leader="none" w:pos="300" w:val="left"/>
        </w:tabs>
        <w:numPr>
          <w:ilvl w:val="0"/>
          <w:numId w:val="116"/>
        </w:numPr>
        <w:rPr>
          <w:rFonts w:ascii="Arial" w:cs="Arial" w:eastAsia="Arial" w:hAnsi="Arial"/>
          <w:sz w:val="16"/>
          <w:szCs w:val="16"/>
          <w:color w:val="3558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rFonts w:ascii="Arial" w:cs="Arial" w:eastAsia="Arial" w:hAnsi="Arial"/>
          <w:sz w:val="16"/>
          <w:szCs w:val="16"/>
          <w:b w:val="1"/>
          <w:bCs w:val="1"/>
          <w:u w:val="single" w:color="auto"/>
          <w:color w:val="0000EE"/>
        </w:rPr>
      </w:pPr>
      <w:hyperlink w:anchor="page10">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175704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570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Death/Disability</w:t>
      </w:r>
      <w:r>
        <w:rPr>
          <w:rFonts w:ascii="Arial" w:cs="Arial" w:eastAsia="Arial" w:hAnsi="Arial"/>
          <w:sz w:val="27"/>
          <w:szCs w:val="27"/>
          <w:b w:val="1"/>
          <w:bCs w:val="1"/>
          <w:color w:val="auto"/>
          <w:vertAlign w:val="superscript"/>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EXECUTIVE COMPENSATION</w:t>
      </w:r>
    </w:p>
    <w:p>
      <w:pPr>
        <w:spacing w:after="0" w:line="286" w:lineRule="exact"/>
        <w:rPr>
          <w:sz w:val="20"/>
          <w:szCs w:val="20"/>
          <w:color w:val="auto"/>
        </w:rPr>
      </w:pPr>
    </w:p>
    <w:p>
      <w:pPr>
        <w:ind w:left="880"/>
        <w:spacing w:after="0"/>
        <w:tabs>
          <w:tab w:leader="none" w:pos="3620" w:val="left"/>
          <w:tab w:leader="none" w:pos="6380" w:val="left"/>
        </w:tabs>
        <w:rPr>
          <w:sz w:val="20"/>
          <w:szCs w:val="20"/>
          <w:color w:val="auto"/>
        </w:rPr>
      </w:pPr>
      <w:r>
        <w:rPr>
          <w:rFonts w:ascii="Arial" w:cs="Arial" w:eastAsia="Arial" w:hAnsi="Arial"/>
          <w:sz w:val="13"/>
          <w:szCs w:val="13"/>
          <w:b w:val="1"/>
          <w:bCs w:val="1"/>
          <w:color w:val="355889"/>
        </w:rPr>
        <w:t>Marc Holliday</w:t>
      </w:r>
      <w:r>
        <w:rPr>
          <w:sz w:val="20"/>
          <w:szCs w:val="20"/>
          <w:color w:val="auto"/>
        </w:rPr>
        <w:tab/>
      </w:r>
      <w:r>
        <w:rPr>
          <w:rFonts w:ascii="Arial" w:cs="Arial" w:eastAsia="Arial" w:hAnsi="Arial"/>
          <w:sz w:val="13"/>
          <w:szCs w:val="13"/>
          <w:b w:val="1"/>
          <w:bCs w:val="1"/>
          <w:color w:val="355889"/>
        </w:rPr>
        <w:t>Andrew Mathias</w:t>
      </w:r>
      <w:r>
        <w:rPr>
          <w:sz w:val="20"/>
          <w:szCs w:val="20"/>
          <w:color w:val="auto"/>
        </w:rPr>
        <w:tab/>
      </w:r>
      <w:r>
        <w:rPr>
          <w:rFonts w:ascii="Arial" w:cs="Arial" w:eastAsia="Arial" w:hAnsi="Arial"/>
          <w:sz w:val="13"/>
          <w:szCs w:val="13"/>
          <w:b w:val="1"/>
          <w:bCs w:val="1"/>
          <w:color w:val="355889"/>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527177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71770" cy="17145"/>
                    </a:xfrm>
                    <a:prstGeom prst="rect">
                      <a:avLst/>
                    </a:prstGeom>
                    <a:noFill/>
                  </pic:spPr>
                </pic:pic>
              </a:graphicData>
            </a:graphic>
          </wp:anchor>
        </w:drawing>
      </w:r>
    </w:p>
    <w:p>
      <w:pPr>
        <w:spacing w:after="0" w:line="8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If the executive’s employment is terminated by us upon death or disability during the term, the executive will be entitled to the following payments or benefits, subject (in the case of disability) to the effectiveness of a mutual release:</w:t>
      </w:r>
    </w:p>
    <w:p>
      <w:pPr>
        <w:spacing w:after="0" w:line="215" w:lineRule="exact"/>
        <w:rPr>
          <w:sz w:val="20"/>
          <w:szCs w:val="20"/>
          <w:color w:val="auto"/>
        </w:rPr>
      </w:pPr>
    </w:p>
    <w:p>
      <w:pPr>
        <w:ind w:left="1860"/>
        <w:spacing w:after="0"/>
        <w:tabs>
          <w:tab w:leader="none" w:pos="5960" w:val="left"/>
        </w:tabs>
        <w:rPr>
          <w:sz w:val="20"/>
          <w:szCs w:val="20"/>
          <w:color w:val="auto"/>
        </w:rPr>
      </w:pPr>
      <w:r>
        <w:rPr>
          <w:rFonts w:ascii="Arial" w:cs="Arial" w:eastAsia="Arial" w:hAnsi="Arial"/>
          <w:sz w:val="13"/>
          <w:szCs w:val="13"/>
          <w:b w:val="1"/>
          <w:bCs w:val="1"/>
          <w:color w:val="355889"/>
        </w:rPr>
        <w:t>Death</w:t>
      </w:r>
      <w:r>
        <w:rPr>
          <w:sz w:val="20"/>
          <w:szCs w:val="20"/>
          <w:color w:val="auto"/>
        </w:rPr>
        <w:tab/>
      </w:r>
      <w:r>
        <w:rPr>
          <w:rFonts w:ascii="Arial" w:cs="Arial" w:eastAsia="Arial" w:hAnsi="Arial"/>
          <w:sz w:val="13"/>
          <w:szCs w:val="13"/>
          <w:b w:val="1"/>
          <w:bCs w:val="1"/>
          <w:color w:val="355889"/>
        </w:rPr>
        <w:t>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527177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71770" cy="17145"/>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2220" w:space="720"/>
            <w:col w:w="8300"/>
          </w:cols>
          <w:pgMar w:left="320" w:top="121" w:right="339" w:bottom="1440" w:gutter="0" w:footer="0" w:header="0"/>
        </w:sectPr>
      </w:pPr>
    </w:p>
    <w:p>
      <w:pPr>
        <w:ind w:left="3460" w:hanging="243"/>
        <w:spacing w:after="0"/>
        <w:tabs>
          <w:tab w:leader="none" w:pos="3460" w:val="left"/>
        </w:tabs>
        <w:numPr>
          <w:ilvl w:val="0"/>
          <w:numId w:val="117"/>
        </w:numPr>
        <w:rPr>
          <w:rFonts w:ascii="Arial" w:cs="Arial" w:eastAsia="Arial" w:hAnsi="Arial"/>
          <w:sz w:val="17"/>
          <w:szCs w:val="17"/>
          <w:color w:val="355889"/>
        </w:rPr>
      </w:pPr>
      <w:r>
        <w:rPr>
          <w:rFonts w:ascii="Arial" w:cs="Arial" w:eastAsia="Arial" w:hAnsi="Arial"/>
          <w:sz w:val="18"/>
          <w:szCs w:val="18"/>
          <w:color w:val="auto"/>
        </w:rPr>
        <w:t>Pro-rata bonus for partial year</w:t>
      </w:r>
    </w:p>
    <w:p>
      <w:pPr>
        <w:spacing w:after="0" w:line="76" w:lineRule="exact"/>
        <w:rPr>
          <w:rFonts w:ascii="Arial" w:cs="Arial" w:eastAsia="Arial" w:hAnsi="Arial"/>
          <w:sz w:val="17"/>
          <w:szCs w:val="17"/>
          <w:color w:val="355889"/>
        </w:rPr>
      </w:pPr>
    </w:p>
    <w:p>
      <w:pPr>
        <w:ind w:left="3480" w:right="380" w:hanging="263"/>
        <w:spacing w:after="0" w:line="290" w:lineRule="auto"/>
        <w:tabs>
          <w:tab w:leader="none" w:pos="3457" w:val="left"/>
        </w:tabs>
        <w:numPr>
          <w:ilvl w:val="0"/>
          <w:numId w:val="117"/>
        </w:numPr>
        <w:rPr>
          <w:rFonts w:ascii="Arial" w:cs="Arial" w:eastAsia="Arial" w:hAnsi="Arial"/>
          <w:sz w:val="16"/>
          <w:szCs w:val="16"/>
          <w:color w:val="355889"/>
        </w:rPr>
      </w:pPr>
      <w:r>
        <w:rPr>
          <w:rFonts w:ascii="Arial" w:cs="Arial" w:eastAsia="Arial" w:hAnsi="Arial"/>
          <w:sz w:val="16"/>
          <w:szCs w:val="16"/>
          <w:color w:val="auto"/>
        </w:rPr>
        <w:t>Pro-rated target value of the annual time-based equity awards (for Levine upon termination prior to January 2021 grant)</w:t>
      </w:r>
    </w:p>
    <w:p>
      <w:pPr>
        <w:spacing w:after="0" w:line="35" w:lineRule="exact"/>
        <w:rPr>
          <w:rFonts w:ascii="Arial" w:cs="Arial" w:eastAsia="Arial" w:hAnsi="Arial"/>
          <w:sz w:val="16"/>
          <w:szCs w:val="16"/>
          <w:color w:val="355889"/>
        </w:rPr>
      </w:pPr>
    </w:p>
    <w:p>
      <w:pPr>
        <w:ind w:left="3480" w:hanging="263"/>
        <w:spacing w:after="0" w:line="254" w:lineRule="auto"/>
        <w:tabs>
          <w:tab w:leader="none" w:pos="3457" w:val="left"/>
        </w:tabs>
        <w:numPr>
          <w:ilvl w:val="0"/>
          <w:numId w:val="117"/>
        </w:numPr>
        <w:rPr>
          <w:rFonts w:ascii="Arial" w:cs="Arial" w:eastAsia="Arial" w:hAnsi="Arial"/>
          <w:sz w:val="17"/>
          <w:szCs w:val="17"/>
          <w:color w:val="355889"/>
        </w:rPr>
      </w:pPr>
      <w:r>
        <w:rPr>
          <w:rFonts w:ascii="Arial" w:cs="Arial" w:eastAsia="Arial" w:hAnsi="Arial"/>
          <w:sz w:val="18"/>
          <w:szCs w:val="18"/>
          <w:color w:val="auto"/>
        </w:rPr>
        <w:t>Acceleration of all unvested time-based equity awards</w:t>
      </w:r>
    </w:p>
    <w:p>
      <w:pPr>
        <w:spacing w:after="0" w:line="47" w:lineRule="exact"/>
        <w:rPr>
          <w:rFonts w:ascii="Arial" w:cs="Arial" w:eastAsia="Arial" w:hAnsi="Arial"/>
          <w:sz w:val="17"/>
          <w:szCs w:val="17"/>
          <w:color w:val="355889"/>
        </w:rPr>
      </w:pPr>
    </w:p>
    <w:p>
      <w:pPr>
        <w:ind w:left="3460" w:hanging="243"/>
        <w:spacing w:after="0"/>
        <w:tabs>
          <w:tab w:leader="none" w:pos="3460" w:val="left"/>
        </w:tabs>
        <w:numPr>
          <w:ilvl w:val="0"/>
          <w:numId w:val="117"/>
        </w:numPr>
        <w:rPr>
          <w:rFonts w:ascii="Arial" w:cs="Arial" w:eastAsia="Arial" w:hAnsi="Arial"/>
          <w:sz w:val="17"/>
          <w:szCs w:val="17"/>
          <w:color w:val="355889"/>
        </w:rPr>
      </w:pPr>
      <w:r>
        <w:rPr>
          <w:rFonts w:ascii="Arial" w:cs="Arial" w:eastAsia="Arial" w:hAnsi="Arial"/>
          <w:sz w:val="18"/>
          <w:szCs w:val="18"/>
          <w:color w:val="auto"/>
        </w:rPr>
        <w:t>Class O LTIP unit/option exercise period</w:t>
      </w:r>
    </w:p>
    <w:p>
      <w:pPr>
        <w:ind w:left="3480"/>
        <w:spacing w:after="0" w:line="181" w:lineRule="auto"/>
        <w:rPr>
          <w:sz w:val="20"/>
          <w:szCs w:val="20"/>
          <w:color w:val="auto"/>
        </w:rPr>
      </w:pPr>
      <w:r>
        <w:rPr>
          <w:rFonts w:ascii="Arial" w:cs="Arial" w:eastAsia="Arial" w:hAnsi="Arial"/>
          <w:sz w:val="18"/>
          <w:szCs w:val="18"/>
          <w:color w:val="auto"/>
        </w:rPr>
        <w:t>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termination</w:t>
      </w:r>
    </w:p>
    <w:p>
      <w:pPr>
        <w:spacing w:after="0" w:line="63" w:lineRule="exact"/>
        <w:rPr>
          <w:sz w:val="20"/>
          <w:szCs w:val="20"/>
          <w:color w:val="auto"/>
        </w:rPr>
      </w:pPr>
    </w:p>
    <w:p>
      <w:pPr>
        <w:ind w:left="3480" w:hanging="263"/>
        <w:spacing w:after="0" w:line="254" w:lineRule="auto"/>
        <w:tabs>
          <w:tab w:leader="none" w:pos="3457" w:val="left"/>
        </w:tabs>
        <w:numPr>
          <w:ilvl w:val="0"/>
          <w:numId w:val="118"/>
        </w:numPr>
        <w:rPr>
          <w:rFonts w:ascii="Arial" w:cs="Arial" w:eastAsia="Arial" w:hAnsi="Arial"/>
          <w:sz w:val="17"/>
          <w:szCs w:val="17"/>
          <w:color w:val="355889"/>
        </w:rPr>
      </w:pPr>
      <w:r>
        <w:rPr>
          <w:rFonts w:ascii="Arial" w:cs="Arial" w:eastAsia="Arial" w:hAnsi="Arial"/>
          <w:sz w:val="18"/>
          <w:szCs w:val="18"/>
          <w:color w:val="auto"/>
        </w:rPr>
        <w:t>Payments/benefits to Mr. Holliday are reduced by life insurance benefit</w:t>
      </w:r>
    </w:p>
    <w:p>
      <w:pPr>
        <w:spacing w:after="0" w:line="20" w:lineRule="exact"/>
        <w:rPr>
          <w:sz w:val="20"/>
          <w:szCs w:val="20"/>
          <w:color w:val="auto"/>
        </w:rPr>
      </w:pPr>
      <w:r>
        <w:rPr>
          <w:sz w:val="20"/>
          <w:szCs w:val="20"/>
          <w:color w:val="auto"/>
        </w:rPr>
        <w:br w:type="column"/>
      </w:r>
    </w:p>
    <w:p>
      <w:pPr>
        <w:ind w:left="264" w:right="160" w:hanging="264"/>
        <w:spacing w:after="0" w:line="241" w:lineRule="auto"/>
        <w:tabs>
          <w:tab w:leader="none" w:pos="241" w:val="left"/>
        </w:tabs>
        <w:numPr>
          <w:ilvl w:val="0"/>
          <w:numId w:val="119"/>
        </w:numPr>
        <w:rPr>
          <w:rFonts w:ascii="Arial" w:cs="Arial" w:eastAsia="Arial" w:hAnsi="Arial"/>
          <w:sz w:val="17"/>
          <w:szCs w:val="17"/>
          <w:color w:val="355889"/>
        </w:rPr>
      </w:pPr>
      <w:r>
        <w:rPr>
          <w:rFonts w:ascii="Arial" w:cs="Arial" w:eastAsia="Arial" w:hAnsi="Arial"/>
          <w:sz w:val="18"/>
          <w:szCs w:val="18"/>
          <w:color w:val="auto"/>
        </w:rPr>
        <w:t>1x the sum of base salary, maximum formulaic bonus and target value of annual time-based equity award (for Holliday and Mathias)</w:t>
      </w:r>
    </w:p>
    <w:p>
      <w:pPr>
        <w:spacing w:after="0" w:line="59" w:lineRule="exact"/>
        <w:rPr>
          <w:rFonts w:ascii="Arial" w:cs="Arial" w:eastAsia="Arial" w:hAnsi="Arial"/>
          <w:sz w:val="17"/>
          <w:szCs w:val="17"/>
          <w:color w:val="355889"/>
        </w:rPr>
      </w:pPr>
    </w:p>
    <w:p>
      <w:pPr>
        <w:ind w:left="264" w:right="40" w:hanging="264"/>
        <w:spacing w:after="0" w:line="316" w:lineRule="auto"/>
        <w:tabs>
          <w:tab w:leader="none" w:pos="241" w:val="left"/>
        </w:tabs>
        <w:numPr>
          <w:ilvl w:val="0"/>
          <w:numId w:val="119"/>
        </w:numPr>
        <w:rPr>
          <w:rFonts w:ascii="Arial" w:cs="Arial" w:eastAsia="Arial" w:hAnsi="Arial"/>
          <w:sz w:val="16"/>
          <w:szCs w:val="16"/>
          <w:color w:val="355889"/>
        </w:rPr>
      </w:pPr>
      <w:r>
        <w:rPr>
          <w:rFonts w:ascii="Arial" w:cs="Arial" w:eastAsia="Arial" w:hAnsi="Arial"/>
          <w:sz w:val="16"/>
          <w:szCs w:val="16"/>
          <w:color w:val="auto"/>
        </w:rPr>
        <w:t>1x the sum of base salary and average annual bonus for prior two years (for Levine)</w:t>
      </w:r>
    </w:p>
    <w:p>
      <w:pPr>
        <w:spacing w:after="0" w:line="15" w:lineRule="exact"/>
        <w:rPr>
          <w:rFonts w:ascii="Arial" w:cs="Arial" w:eastAsia="Arial" w:hAnsi="Arial"/>
          <w:sz w:val="16"/>
          <w:szCs w:val="16"/>
          <w:color w:val="355889"/>
        </w:rPr>
      </w:pPr>
    </w:p>
    <w:p>
      <w:pPr>
        <w:ind w:left="244" w:hanging="244"/>
        <w:spacing w:after="0"/>
        <w:tabs>
          <w:tab w:leader="none" w:pos="244" w:val="left"/>
        </w:tabs>
        <w:numPr>
          <w:ilvl w:val="0"/>
          <w:numId w:val="119"/>
        </w:numPr>
        <w:rPr>
          <w:rFonts w:ascii="Arial" w:cs="Arial" w:eastAsia="Arial" w:hAnsi="Arial"/>
          <w:sz w:val="17"/>
          <w:szCs w:val="17"/>
          <w:color w:val="355889"/>
        </w:rPr>
      </w:pPr>
      <w:r>
        <w:rPr>
          <w:rFonts w:ascii="Arial" w:cs="Arial" w:eastAsia="Arial" w:hAnsi="Arial"/>
          <w:sz w:val="18"/>
          <w:szCs w:val="18"/>
          <w:color w:val="auto"/>
        </w:rPr>
        <w:t>Pro-rata bonus for partial year</w:t>
      </w:r>
    </w:p>
    <w:p>
      <w:pPr>
        <w:spacing w:after="0" w:line="76" w:lineRule="exact"/>
        <w:rPr>
          <w:rFonts w:ascii="Arial" w:cs="Arial" w:eastAsia="Arial" w:hAnsi="Arial"/>
          <w:sz w:val="17"/>
          <w:szCs w:val="17"/>
          <w:color w:val="355889"/>
        </w:rPr>
      </w:pPr>
    </w:p>
    <w:p>
      <w:pPr>
        <w:ind w:left="264" w:right="300" w:hanging="264"/>
        <w:spacing w:after="0" w:line="290" w:lineRule="auto"/>
        <w:tabs>
          <w:tab w:leader="none" w:pos="241" w:val="left"/>
        </w:tabs>
        <w:numPr>
          <w:ilvl w:val="0"/>
          <w:numId w:val="119"/>
        </w:numPr>
        <w:rPr>
          <w:rFonts w:ascii="Arial" w:cs="Arial" w:eastAsia="Arial" w:hAnsi="Arial"/>
          <w:sz w:val="16"/>
          <w:szCs w:val="16"/>
          <w:color w:val="355889"/>
        </w:rPr>
      </w:pPr>
      <w:r>
        <w:rPr>
          <w:rFonts w:ascii="Arial" w:cs="Arial" w:eastAsia="Arial" w:hAnsi="Arial"/>
          <w:sz w:val="16"/>
          <w:szCs w:val="16"/>
          <w:color w:val="auto"/>
        </w:rPr>
        <w:t>Pro-rated target value of the annual time-based equity awards (for Levine upon termination prior to January 2021 grant)</w:t>
      </w:r>
    </w:p>
    <w:p>
      <w:pPr>
        <w:spacing w:after="0" w:line="21" w:lineRule="exact"/>
        <w:rPr>
          <w:rFonts w:ascii="Arial" w:cs="Arial" w:eastAsia="Arial" w:hAnsi="Arial"/>
          <w:sz w:val="16"/>
          <w:szCs w:val="16"/>
          <w:color w:val="355889"/>
        </w:rPr>
      </w:pPr>
    </w:p>
    <w:p>
      <w:pPr>
        <w:ind w:left="264" w:right="220" w:hanging="264"/>
        <w:spacing w:after="0" w:line="316" w:lineRule="auto"/>
        <w:tabs>
          <w:tab w:leader="none" w:pos="241" w:val="left"/>
        </w:tabs>
        <w:numPr>
          <w:ilvl w:val="0"/>
          <w:numId w:val="119"/>
        </w:numPr>
        <w:rPr>
          <w:rFonts w:ascii="Arial" w:cs="Arial" w:eastAsia="Arial" w:hAnsi="Arial"/>
          <w:sz w:val="16"/>
          <w:szCs w:val="16"/>
          <w:color w:val="355889"/>
        </w:rPr>
      </w:pPr>
      <w:r>
        <w:rPr>
          <w:rFonts w:ascii="Arial" w:cs="Arial" w:eastAsia="Arial" w:hAnsi="Arial"/>
          <w:sz w:val="16"/>
          <w:szCs w:val="16"/>
          <w:color w:val="auto"/>
        </w:rPr>
        <w:t>Acceleration of all unvested equity awards (other than performance-based awards)</w:t>
      </w:r>
    </w:p>
    <w:p>
      <w:pPr>
        <w:spacing w:after="0" w:line="15" w:lineRule="exact"/>
        <w:rPr>
          <w:rFonts w:ascii="Arial" w:cs="Arial" w:eastAsia="Arial" w:hAnsi="Arial"/>
          <w:sz w:val="16"/>
          <w:szCs w:val="16"/>
          <w:color w:val="355889"/>
        </w:rPr>
      </w:pPr>
    </w:p>
    <w:p>
      <w:pPr>
        <w:ind w:left="244" w:hanging="244"/>
        <w:spacing w:after="0"/>
        <w:tabs>
          <w:tab w:leader="none" w:pos="244" w:val="left"/>
        </w:tabs>
        <w:numPr>
          <w:ilvl w:val="0"/>
          <w:numId w:val="119"/>
        </w:numPr>
        <w:rPr>
          <w:rFonts w:ascii="Arial" w:cs="Arial" w:eastAsia="Arial" w:hAnsi="Arial"/>
          <w:sz w:val="17"/>
          <w:szCs w:val="17"/>
          <w:color w:val="355889"/>
        </w:rPr>
      </w:pPr>
      <w:r>
        <w:rPr>
          <w:rFonts w:ascii="Arial" w:cs="Arial" w:eastAsia="Arial" w:hAnsi="Arial"/>
          <w:sz w:val="18"/>
          <w:szCs w:val="18"/>
          <w:color w:val="auto"/>
        </w:rPr>
        <w:t>Class O LTIP unit / option exercise period</w:t>
      </w:r>
    </w:p>
    <w:p>
      <w:pPr>
        <w:spacing w:after="0" w:line="9" w:lineRule="exact"/>
        <w:rPr>
          <w:sz w:val="20"/>
          <w:szCs w:val="20"/>
          <w:color w:val="auto"/>
        </w:rPr>
      </w:pPr>
    </w:p>
    <w:p>
      <w:pPr>
        <w:ind w:left="264" w:right="300"/>
        <w:spacing w:after="0" w:line="201" w:lineRule="auto"/>
        <w:rPr>
          <w:sz w:val="20"/>
          <w:szCs w:val="20"/>
          <w:color w:val="auto"/>
        </w:rPr>
      </w:pPr>
      <w:r>
        <w:rPr>
          <w:rFonts w:ascii="Arial" w:cs="Arial" w:eastAsia="Arial" w:hAnsi="Arial"/>
          <w:sz w:val="18"/>
          <w:szCs w:val="18"/>
          <w:color w:val="auto"/>
        </w:rPr>
        <w:t>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61" w:lineRule="exact"/>
        <w:rPr>
          <w:sz w:val="20"/>
          <w:szCs w:val="20"/>
          <w:color w:val="auto"/>
        </w:rPr>
      </w:pPr>
    </w:p>
    <w:p>
      <w:pPr>
        <w:sectPr>
          <w:pgSz w:w="11900" w:h="16838" w:orient="portrait"/>
          <w:cols w:equalWidth="0" w:num="2">
            <w:col w:w="7040" w:space="456"/>
            <w:col w:w="3744"/>
          </w:cols>
          <w:pgMar w:left="320" w:top="121" w:right="339" w:bottom="1440" w:gutter="0" w:footer="0" w:header="0"/>
          <w:type w:val="continuous"/>
        </w:sectPr>
      </w:pPr>
    </w:p>
    <w:p>
      <w:pPr>
        <w:ind w:left="7740" w:hanging="244"/>
        <w:spacing w:after="0"/>
        <w:tabs>
          <w:tab w:leader="none" w:pos="7740" w:val="left"/>
        </w:tabs>
        <w:numPr>
          <w:ilvl w:val="0"/>
          <w:numId w:val="120"/>
        </w:numPr>
        <w:rPr>
          <w:rFonts w:ascii="Arial" w:cs="Arial" w:eastAsia="Arial" w:hAnsi="Arial"/>
          <w:sz w:val="16"/>
          <w:szCs w:val="16"/>
          <w:color w:val="355889"/>
        </w:rPr>
      </w:pPr>
      <w:r>
        <w:rPr>
          <w:rFonts w:ascii="Arial" w:cs="Arial" w:eastAsia="Arial" w:hAnsi="Arial"/>
          <w:sz w:val="16"/>
          <w:szCs w:val="16"/>
          <w:color w:val="auto"/>
        </w:rPr>
        <w:t>36 months of benefit continuation/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35560</wp:posOffset>
            </wp:positionV>
            <wp:extent cx="527177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71770" cy="17145"/>
                    </a:xfrm>
                    <a:prstGeom prst="rect">
                      <a:avLst/>
                    </a:prstGeom>
                    <a:noFill/>
                  </pic:spPr>
                </pic:pic>
              </a:graphicData>
            </a:graphic>
          </wp:anchor>
        </w:drawing>
      </w:r>
    </w:p>
    <w:p>
      <w:pPr>
        <w:spacing w:after="0" w:line="289" w:lineRule="exact"/>
        <w:rPr>
          <w:sz w:val="20"/>
          <w:szCs w:val="20"/>
          <w:color w:val="auto"/>
        </w:rPr>
      </w:pPr>
    </w:p>
    <w:p>
      <w:pPr>
        <w:jc w:val="center"/>
        <w:ind w:left="2900"/>
        <w:spacing w:after="0"/>
        <w:rPr>
          <w:sz w:val="20"/>
          <w:szCs w:val="20"/>
          <w:color w:val="auto"/>
        </w:rPr>
      </w:pPr>
      <w:r>
        <w:rPr>
          <w:rFonts w:ascii="Arial" w:cs="Arial" w:eastAsia="Arial" w:hAnsi="Arial"/>
          <w:sz w:val="13"/>
          <w:szCs w:val="13"/>
          <w:b w:val="1"/>
          <w:bCs w:val="1"/>
          <w:color w:val="355889"/>
        </w:rPr>
        <w:t>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27305</wp:posOffset>
            </wp:positionV>
            <wp:extent cx="527177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71770" cy="17145"/>
                    </a:xfrm>
                    <a:prstGeom prst="rect">
                      <a:avLst/>
                    </a:prstGeom>
                    <a:noFill/>
                  </pic:spPr>
                </pic:pic>
              </a:graphicData>
            </a:graphic>
          </wp:anchor>
        </w:drawing>
      </w:r>
    </w:p>
    <w:p>
      <w:pPr>
        <w:spacing w:after="0" w:line="60" w:lineRule="exact"/>
        <w:rPr>
          <w:sz w:val="20"/>
          <w:szCs w:val="20"/>
          <w:color w:val="auto"/>
        </w:rPr>
      </w:pPr>
    </w:p>
    <w:p>
      <w:pPr>
        <w:ind w:left="4800"/>
        <w:spacing w:after="0"/>
        <w:tabs>
          <w:tab w:leader="none" w:pos="8900" w:val="left"/>
        </w:tabs>
        <w:rPr>
          <w:sz w:val="20"/>
          <w:szCs w:val="20"/>
          <w:color w:val="auto"/>
        </w:rPr>
      </w:pPr>
      <w:r>
        <w:rPr>
          <w:rFonts w:ascii="Arial" w:cs="Arial" w:eastAsia="Arial" w:hAnsi="Arial"/>
          <w:sz w:val="13"/>
          <w:szCs w:val="13"/>
          <w:b w:val="1"/>
          <w:bCs w:val="1"/>
          <w:color w:val="355889"/>
        </w:rPr>
        <w:t>Death</w:t>
      </w:r>
      <w:r>
        <w:rPr>
          <w:sz w:val="20"/>
          <w:szCs w:val="20"/>
          <w:color w:val="auto"/>
        </w:rPr>
        <w:tab/>
      </w:r>
      <w:r>
        <w:rPr>
          <w:rFonts w:ascii="Arial" w:cs="Arial" w:eastAsia="Arial" w:hAnsi="Arial"/>
          <w:sz w:val="13"/>
          <w:szCs w:val="13"/>
          <w:b w:val="1"/>
          <w:bCs w:val="1"/>
          <w:color w:val="355889"/>
        </w:rPr>
        <w:t>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27305</wp:posOffset>
            </wp:positionV>
            <wp:extent cx="527177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7177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90" w:lineRule="exact"/>
        <w:rPr>
          <w:sz w:val="20"/>
          <w:szCs w:val="20"/>
          <w:color w:val="auto"/>
        </w:rPr>
      </w:pPr>
    </w:p>
    <w:p>
      <w:pPr>
        <w:ind w:left="3460" w:hanging="243"/>
        <w:spacing w:after="0"/>
        <w:tabs>
          <w:tab w:leader="none" w:pos="3460" w:val="left"/>
        </w:tabs>
        <w:numPr>
          <w:ilvl w:val="0"/>
          <w:numId w:val="121"/>
        </w:numPr>
        <w:rPr>
          <w:rFonts w:ascii="Arial" w:cs="Arial" w:eastAsia="Arial" w:hAnsi="Arial"/>
          <w:sz w:val="17"/>
          <w:szCs w:val="17"/>
          <w:color w:val="355889"/>
        </w:rPr>
      </w:pPr>
      <w:r>
        <w:rPr>
          <w:rFonts w:ascii="Arial" w:cs="Arial" w:eastAsia="Arial" w:hAnsi="Arial"/>
          <w:sz w:val="18"/>
          <w:szCs w:val="18"/>
          <w:color w:val="auto"/>
        </w:rPr>
        <w:t>Pro-rata bonus for partial year</w:t>
      </w:r>
      <w:r>
        <w:rPr>
          <w:rFonts w:ascii="Arial" w:cs="Arial" w:eastAsia="Arial" w:hAnsi="Arial"/>
          <w:sz w:val="29"/>
          <w:szCs w:val="29"/>
          <w:color w:val="auto"/>
          <w:vertAlign w:val="superscript"/>
        </w:rPr>
        <w:t>(8)</w:t>
      </w:r>
    </w:p>
    <w:p>
      <w:pPr>
        <w:ind w:left="3480" w:hanging="263"/>
        <w:spacing w:after="0" w:line="260" w:lineRule="auto"/>
        <w:tabs>
          <w:tab w:leader="none" w:pos="3457" w:val="left"/>
        </w:tabs>
        <w:numPr>
          <w:ilvl w:val="0"/>
          <w:numId w:val="121"/>
        </w:numPr>
        <w:rPr>
          <w:rFonts w:ascii="Arial" w:cs="Arial" w:eastAsia="Arial" w:hAnsi="Arial"/>
          <w:sz w:val="17"/>
          <w:szCs w:val="17"/>
          <w:color w:val="355889"/>
        </w:rPr>
      </w:pPr>
      <w:r>
        <w:rPr>
          <w:rFonts w:ascii="Arial" w:cs="Arial" w:eastAsia="Arial" w:hAnsi="Arial"/>
          <w:sz w:val="18"/>
          <w:szCs w:val="18"/>
          <w:color w:val="auto"/>
        </w:rPr>
        <w:t>Partial acceleration of unvested equity awards (other than annual performance-based awards)</w:t>
      </w:r>
      <w:r>
        <w:rPr>
          <w:rFonts w:ascii="Arial" w:cs="Arial" w:eastAsia="Arial" w:hAnsi="Arial"/>
          <w:sz w:val="29"/>
          <w:szCs w:val="29"/>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244" w:hanging="244"/>
        <w:spacing w:after="0"/>
        <w:tabs>
          <w:tab w:leader="none" w:pos="244" w:val="left"/>
        </w:tabs>
        <w:numPr>
          <w:ilvl w:val="0"/>
          <w:numId w:val="122"/>
        </w:numPr>
        <w:rPr>
          <w:rFonts w:ascii="Arial" w:cs="Arial" w:eastAsia="Arial" w:hAnsi="Arial"/>
          <w:sz w:val="17"/>
          <w:szCs w:val="17"/>
          <w:color w:val="355889"/>
        </w:rPr>
      </w:pPr>
      <w:r>
        <w:rPr>
          <w:rFonts w:ascii="Arial" w:cs="Arial" w:eastAsia="Arial" w:hAnsi="Arial"/>
          <w:sz w:val="17"/>
          <w:szCs w:val="17"/>
          <w:color w:val="auto"/>
        </w:rPr>
        <w:t>1x average annual base salary and bonus</w:t>
      </w:r>
      <w:r>
        <w:rPr>
          <w:rFonts w:ascii="Arial" w:cs="Arial" w:eastAsia="Arial" w:hAnsi="Arial"/>
          <w:sz w:val="28"/>
          <w:szCs w:val="28"/>
          <w:color w:val="auto"/>
          <w:vertAlign w:val="superscript"/>
        </w:rPr>
        <w:t>(7)</w:t>
      </w:r>
    </w:p>
    <w:p>
      <w:pPr>
        <w:spacing w:after="0" w:line="43" w:lineRule="exact"/>
        <w:rPr>
          <w:rFonts w:ascii="Arial" w:cs="Arial" w:eastAsia="Arial" w:hAnsi="Arial"/>
          <w:sz w:val="17"/>
          <w:szCs w:val="17"/>
          <w:color w:val="355889"/>
        </w:rPr>
      </w:pPr>
    </w:p>
    <w:p>
      <w:pPr>
        <w:ind w:left="244" w:hanging="244"/>
        <w:spacing w:after="0" w:line="213" w:lineRule="auto"/>
        <w:tabs>
          <w:tab w:leader="none" w:pos="244" w:val="left"/>
        </w:tabs>
        <w:numPr>
          <w:ilvl w:val="0"/>
          <w:numId w:val="122"/>
        </w:numPr>
        <w:rPr>
          <w:rFonts w:ascii="Arial" w:cs="Arial" w:eastAsia="Arial" w:hAnsi="Arial"/>
          <w:sz w:val="17"/>
          <w:szCs w:val="17"/>
          <w:color w:val="355889"/>
        </w:rPr>
      </w:pPr>
      <w:r>
        <w:rPr>
          <w:rFonts w:ascii="Arial" w:cs="Arial" w:eastAsia="Arial" w:hAnsi="Arial"/>
          <w:sz w:val="18"/>
          <w:szCs w:val="18"/>
          <w:color w:val="auto"/>
        </w:rPr>
        <w:t>Pro-rata bonus for partial year</w:t>
      </w:r>
      <w:r>
        <w:rPr>
          <w:rFonts w:ascii="Arial" w:cs="Arial" w:eastAsia="Arial" w:hAnsi="Arial"/>
          <w:sz w:val="29"/>
          <w:szCs w:val="29"/>
          <w:color w:val="auto"/>
          <w:vertAlign w:val="superscript"/>
        </w:rPr>
        <w:t>(8)</w:t>
      </w:r>
    </w:p>
    <w:p>
      <w:pPr>
        <w:spacing w:after="0" w:line="1" w:lineRule="exact"/>
        <w:rPr>
          <w:rFonts w:ascii="Arial" w:cs="Arial" w:eastAsia="Arial" w:hAnsi="Arial"/>
          <w:sz w:val="17"/>
          <w:szCs w:val="17"/>
          <w:color w:val="355889"/>
        </w:rPr>
      </w:pPr>
    </w:p>
    <w:p>
      <w:pPr>
        <w:ind w:left="264" w:right="360" w:hanging="264"/>
        <w:spacing w:after="0" w:line="234" w:lineRule="auto"/>
        <w:tabs>
          <w:tab w:leader="none" w:pos="241" w:val="left"/>
        </w:tabs>
        <w:numPr>
          <w:ilvl w:val="0"/>
          <w:numId w:val="122"/>
        </w:numPr>
        <w:rPr>
          <w:rFonts w:ascii="Arial" w:cs="Arial" w:eastAsia="Arial" w:hAnsi="Arial"/>
          <w:sz w:val="17"/>
          <w:szCs w:val="17"/>
          <w:color w:val="355889"/>
        </w:rPr>
      </w:pPr>
      <w:r>
        <w:rPr>
          <w:rFonts w:ascii="Arial" w:cs="Arial" w:eastAsia="Arial" w:hAnsi="Arial"/>
          <w:sz w:val="18"/>
          <w:szCs w:val="18"/>
          <w:color w:val="auto"/>
        </w:rPr>
        <w:t>Partial acceleration of unvested equity awards (other than annual performance-based awards)</w:t>
      </w:r>
      <w:r>
        <w:rPr>
          <w:rFonts w:ascii="Arial" w:cs="Arial" w:eastAsia="Arial" w:hAnsi="Arial"/>
          <w:sz w:val="29"/>
          <w:szCs w:val="29"/>
          <w:color w:val="auto"/>
          <w:vertAlign w:val="superscript"/>
        </w:rPr>
        <w:t>(10)</w:t>
      </w:r>
    </w:p>
    <w:p>
      <w:pPr>
        <w:ind w:left="244" w:hanging="244"/>
        <w:spacing w:after="0"/>
        <w:tabs>
          <w:tab w:leader="none" w:pos="244" w:val="left"/>
        </w:tabs>
        <w:numPr>
          <w:ilvl w:val="0"/>
          <w:numId w:val="122"/>
        </w:numPr>
        <w:rPr>
          <w:rFonts w:ascii="Arial" w:cs="Arial" w:eastAsia="Arial" w:hAnsi="Arial"/>
          <w:sz w:val="16"/>
          <w:szCs w:val="16"/>
          <w:color w:val="355889"/>
        </w:rPr>
      </w:pPr>
      <w:r>
        <w:rPr>
          <w:rFonts w:ascii="Arial" w:cs="Arial" w:eastAsia="Arial" w:hAnsi="Arial"/>
          <w:sz w:val="16"/>
          <w:szCs w:val="16"/>
          <w:color w:val="auto"/>
        </w:rPr>
        <w:t>36 months of benefit continuation / payments</w:t>
      </w:r>
    </w:p>
    <w:p>
      <w:pPr>
        <w:spacing w:after="0" w:line="200" w:lineRule="exact"/>
        <w:rPr>
          <w:sz w:val="20"/>
          <w:szCs w:val="20"/>
          <w:color w:val="auto"/>
        </w:rPr>
      </w:pPr>
    </w:p>
    <w:p>
      <w:pPr>
        <w:sectPr>
          <w:pgSz w:w="11900" w:h="16838" w:orient="portrait"/>
          <w:cols w:equalWidth="0" w:num="2">
            <w:col w:w="7040" w:space="456"/>
            <w:col w:w="3744"/>
          </w:cols>
          <w:pgMar w:left="320" w:top="121" w:right="339" w:bottom="1440" w:gutter="0" w:footer="0" w:header="0"/>
          <w:type w:val="continuous"/>
        </w:sectPr>
      </w:pPr>
    </w:p>
    <w:p>
      <w:pPr>
        <w:spacing w:after="0" w:line="102"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2020 Proxy Statement </w:t>
      </w:r>
      <w:r>
        <w:rPr>
          <w:rFonts w:ascii="Arial" w:cs="Arial" w:eastAsia="Arial" w:hAnsi="Arial"/>
          <w:sz w:val="16"/>
          <w:szCs w:val="16"/>
          <w:color w:val="355889"/>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33"/>
        </w:trPr>
        <w:tc>
          <w:tcPr>
            <w:tcW w:w="2800" w:type="dxa"/>
            <w:vAlign w:val="bottom"/>
            <w:gridSpan w:val="2"/>
          </w:tcPr>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380"/>
        </w:trPr>
        <w:tc>
          <w:tcPr>
            <w:tcW w:w="2800" w:type="dxa"/>
            <w:vAlign w:val="bottom"/>
            <w:gridSpan w:val="2"/>
          </w:tcPr>
          <w:p>
            <w:pPr>
              <w:spacing w:after="0"/>
              <w:rPr>
                <w:sz w:val="20"/>
                <w:szCs w:val="20"/>
                <w:color w:val="auto"/>
              </w:rPr>
            </w:pPr>
            <w:r>
              <w:rPr>
                <w:rFonts w:ascii="Arial" w:cs="Arial" w:eastAsia="Arial" w:hAnsi="Arial"/>
                <w:sz w:val="18"/>
                <w:szCs w:val="18"/>
                <w:color w:val="355889"/>
              </w:rPr>
              <w:t>EXECUTIVE COMPENSATION</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30"/>
        </w:trPr>
        <w:tc>
          <w:tcPr>
            <w:tcW w:w="2460" w:type="dxa"/>
            <w:vAlign w:val="bottom"/>
            <w:tcBorders>
              <w:top w:val="single" w:sz="8" w:color="355889"/>
              <w:bottom w:val="single" w:sz="8" w:color="355989"/>
            </w:tcBorders>
          </w:tcPr>
          <w:p>
            <w:pPr>
              <w:spacing w:after="0"/>
              <w:rPr>
                <w:sz w:val="20"/>
                <w:szCs w:val="20"/>
                <w:color w:val="auto"/>
              </w:rPr>
            </w:pPr>
          </w:p>
        </w:tc>
        <w:tc>
          <w:tcPr>
            <w:tcW w:w="340" w:type="dxa"/>
            <w:vAlign w:val="bottom"/>
            <w:tcBorders>
              <w:bottom w:val="single" w:sz="8" w:color="355989"/>
            </w:tcBorders>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bottom w:val="single" w:sz="8" w:color="355989"/>
            </w:tcBorders>
          </w:tcPr>
          <w:p>
            <w:pPr>
              <w:spacing w:after="0"/>
              <w:rPr>
                <w:sz w:val="20"/>
                <w:szCs w:val="20"/>
                <w:color w:val="auto"/>
              </w:rPr>
            </w:pPr>
          </w:p>
        </w:tc>
        <w:tc>
          <w:tcPr>
            <w:tcW w:w="160" w:type="dxa"/>
            <w:vAlign w:val="bottom"/>
            <w:tcBorders>
              <w:bottom w:val="single" w:sz="8" w:color="355989"/>
            </w:tcBorders>
          </w:tcPr>
          <w:p>
            <w:pPr>
              <w:spacing w:after="0"/>
              <w:rPr>
                <w:sz w:val="20"/>
                <w:szCs w:val="20"/>
                <w:color w:val="auto"/>
              </w:rPr>
            </w:pPr>
          </w:p>
        </w:tc>
        <w:tc>
          <w:tcPr>
            <w:tcW w:w="3700" w:type="dxa"/>
            <w:vAlign w:val="bottom"/>
            <w:tcBorders>
              <w:bottom w:val="single" w:sz="8" w:color="355989"/>
            </w:tcBorders>
          </w:tcPr>
          <w:p>
            <w:pPr>
              <w:spacing w:after="0"/>
              <w:rPr>
                <w:sz w:val="20"/>
                <w:szCs w:val="20"/>
                <w:color w:val="auto"/>
              </w:rPr>
            </w:pPr>
          </w:p>
        </w:tc>
        <w:tc>
          <w:tcPr>
            <w:tcW w:w="160" w:type="dxa"/>
            <w:vAlign w:val="bottom"/>
            <w:tcBorders>
              <w:bottom w:val="single" w:sz="8" w:color="355989"/>
            </w:tcBorders>
          </w:tcPr>
          <w:p>
            <w:pPr>
              <w:spacing w:after="0"/>
              <w:rPr>
                <w:sz w:val="20"/>
                <w:szCs w:val="20"/>
                <w:color w:val="auto"/>
              </w:rPr>
            </w:pPr>
          </w:p>
        </w:tc>
        <w:tc>
          <w:tcPr>
            <w:tcW w:w="3560" w:type="dxa"/>
            <w:vAlign w:val="bottom"/>
            <w:tcBorders>
              <w:bottom w:val="single" w:sz="8" w:color="355989"/>
            </w:tcBorders>
          </w:tcPr>
          <w:p>
            <w:pPr>
              <w:spacing w:after="0"/>
              <w:rPr>
                <w:sz w:val="20"/>
                <w:szCs w:val="20"/>
                <w:color w:val="auto"/>
              </w:rPr>
            </w:pPr>
          </w:p>
        </w:tc>
      </w:tr>
      <w:tr>
        <w:trPr>
          <w:trHeight w:val="211"/>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Post-Change-in-Control</w:t>
            </w:r>
          </w:p>
        </w:tc>
        <w:tc>
          <w:tcPr>
            <w:tcW w:w="8440" w:type="dxa"/>
            <w:vAlign w:val="bottom"/>
            <w:gridSpan w:val="6"/>
          </w:tcPr>
          <w:p>
            <w:pPr>
              <w:ind w:left="160"/>
              <w:spacing w:after="0"/>
              <w:rPr>
                <w:sz w:val="20"/>
                <w:szCs w:val="20"/>
                <w:color w:val="auto"/>
              </w:rPr>
            </w:pPr>
            <w:r>
              <w:rPr>
                <w:rFonts w:ascii="Arial" w:cs="Arial" w:eastAsia="Arial" w:hAnsi="Arial"/>
                <w:sz w:val="18"/>
                <w:szCs w:val="18"/>
                <w:color w:val="auto"/>
                <w:w w:val="98"/>
              </w:rPr>
              <w:t>Upon a Change-in-Control, for pro-rata payments, and while employed for periods following a Change-in-</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Compensation</w:t>
            </w:r>
          </w:p>
        </w:tc>
        <w:tc>
          <w:tcPr>
            <w:tcW w:w="8440" w:type="dxa"/>
            <w:vAlign w:val="bottom"/>
            <w:gridSpan w:val="6"/>
          </w:tcPr>
          <w:p>
            <w:pPr>
              <w:ind w:left="160"/>
              <w:spacing w:after="0"/>
              <w:rPr>
                <w:sz w:val="20"/>
                <w:szCs w:val="20"/>
                <w:color w:val="auto"/>
              </w:rPr>
            </w:pPr>
            <w:r>
              <w:rPr>
                <w:rFonts w:ascii="Arial" w:cs="Arial" w:eastAsia="Arial" w:hAnsi="Arial"/>
                <w:sz w:val="18"/>
                <w:szCs w:val="18"/>
                <w:color w:val="auto"/>
                <w:w w:val="99"/>
              </w:rPr>
              <w:t>Control, in lieu of the base salary, annual bonus, and the equity awards described above, each executive</w:t>
            </w:r>
          </w:p>
        </w:tc>
      </w:tr>
      <w:tr>
        <w:trPr>
          <w:trHeight w:val="211"/>
        </w:trPr>
        <w:tc>
          <w:tcPr>
            <w:tcW w:w="2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20" w:type="dxa"/>
            <w:vAlign w:val="bottom"/>
            <w:gridSpan w:val="4"/>
          </w:tcPr>
          <w:p>
            <w:pPr>
              <w:ind w:left="160"/>
              <w:spacing w:after="0"/>
              <w:rPr>
                <w:sz w:val="20"/>
                <w:szCs w:val="20"/>
                <w:color w:val="auto"/>
              </w:rPr>
            </w:pPr>
            <w:r>
              <w:rPr>
                <w:rFonts w:ascii="Arial" w:cs="Arial" w:eastAsia="Arial" w:hAnsi="Arial"/>
                <w:sz w:val="18"/>
                <w:szCs w:val="18"/>
                <w:color w:val="auto"/>
              </w:rPr>
              <w:t>will be entitled to the following:</w:t>
            </w:r>
          </w:p>
        </w:tc>
        <w:tc>
          <w:tcPr>
            <w:tcW w:w="16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414"/>
        </w:trPr>
        <w:tc>
          <w:tcPr>
            <w:tcW w:w="2800" w:type="dxa"/>
            <w:vAlign w:val="bottom"/>
            <w:tcBorders>
              <w:bottom w:val="single" w:sz="8" w:color="355989"/>
            </w:tcBorders>
            <w:gridSpan w:val="2"/>
          </w:tcPr>
          <w:p>
            <w:pPr>
              <w:ind w:left="1300"/>
              <w:spacing w:after="0"/>
              <w:rPr>
                <w:sz w:val="20"/>
                <w:szCs w:val="20"/>
                <w:color w:val="auto"/>
              </w:rPr>
            </w:pPr>
            <w:r>
              <w:rPr>
                <w:rFonts w:ascii="Arial" w:cs="Arial" w:eastAsia="Arial" w:hAnsi="Arial"/>
                <w:sz w:val="13"/>
                <w:szCs w:val="13"/>
                <w:b w:val="1"/>
                <w:bCs w:val="1"/>
                <w:color w:val="355889"/>
              </w:rPr>
              <w:t>Holliday/Mathias</w:t>
            </w:r>
          </w:p>
        </w:tc>
        <w:tc>
          <w:tcPr>
            <w:tcW w:w="160" w:type="dxa"/>
            <w:vAlign w:val="bottom"/>
            <w:tcBorders>
              <w:bottom w:val="single" w:sz="8" w:color="355989"/>
            </w:tcBorders>
          </w:tcPr>
          <w:p>
            <w:pPr>
              <w:spacing w:after="0"/>
              <w:rPr>
                <w:sz w:val="24"/>
                <w:szCs w:val="24"/>
                <w:color w:val="auto"/>
              </w:rPr>
            </w:pPr>
          </w:p>
        </w:tc>
        <w:tc>
          <w:tcPr>
            <w:tcW w:w="700" w:type="dxa"/>
            <w:vAlign w:val="bottom"/>
            <w:tcBorders>
              <w:bottom w:val="single" w:sz="8" w:color="355989"/>
            </w:tcBorders>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tcBorders>
              <w:bottom w:val="single" w:sz="8" w:color="355989"/>
            </w:tcBorders>
          </w:tcPr>
          <w:p>
            <w:pPr>
              <w:ind w:left="1560"/>
              <w:spacing w:after="0"/>
              <w:rPr>
                <w:sz w:val="20"/>
                <w:szCs w:val="20"/>
                <w:color w:val="auto"/>
              </w:rPr>
            </w:pPr>
            <w:r>
              <w:rPr>
                <w:rFonts w:ascii="Arial" w:cs="Arial" w:eastAsia="Arial" w:hAnsi="Arial"/>
                <w:sz w:val="13"/>
                <w:szCs w:val="13"/>
                <w:b w:val="1"/>
                <w:bCs w:val="1"/>
                <w:color w:val="355889"/>
              </w:rPr>
              <w:t>DiLiberto</w:t>
            </w:r>
          </w:p>
        </w:tc>
        <w:tc>
          <w:tcPr>
            <w:tcW w:w="160" w:type="dxa"/>
            <w:vAlign w:val="bottom"/>
          </w:tcPr>
          <w:p>
            <w:pPr>
              <w:spacing w:after="0"/>
              <w:rPr>
                <w:sz w:val="24"/>
                <w:szCs w:val="24"/>
                <w:color w:val="auto"/>
              </w:rPr>
            </w:pPr>
          </w:p>
        </w:tc>
        <w:tc>
          <w:tcPr>
            <w:tcW w:w="3560" w:type="dxa"/>
            <w:vAlign w:val="bottom"/>
            <w:tcBorders>
              <w:bottom w:val="single" w:sz="8" w:color="355989"/>
            </w:tcBorders>
          </w:tcPr>
          <w:p>
            <w:pPr>
              <w:ind w:left="1560"/>
              <w:spacing w:after="0"/>
              <w:rPr>
                <w:sz w:val="20"/>
                <w:szCs w:val="20"/>
                <w:color w:val="auto"/>
              </w:rPr>
            </w:pPr>
            <w:r>
              <w:rPr>
                <w:rFonts w:ascii="Arial" w:cs="Arial" w:eastAsia="Arial" w:hAnsi="Arial"/>
                <w:sz w:val="13"/>
                <w:szCs w:val="13"/>
                <w:b w:val="1"/>
                <w:bCs w:val="1"/>
                <w:color w:val="355889"/>
              </w:rPr>
              <w:t>Levine</w:t>
            </w:r>
          </w:p>
        </w:tc>
      </w:tr>
    </w:tbl>
    <w:p>
      <w:pPr>
        <w:spacing w:after="0" w:line="30" w:lineRule="exact"/>
        <w:rPr>
          <w:sz w:val="20"/>
          <w:szCs w:val="20"/>
          <w:color w:val="auto"/>
        </w:rPr>
      </w:pPr>
    </w:p>
    <w:p>
      <w:pPr>
        <w:sectPr>
          <w:pgSz w:w="11900" w:h="16838" w:orient="portrait"/>
          <w:cols w:equalWidth="0" w:num="1">
            <w:col w:w="11240"/>
          </w:cols>
          <w:pgMar w:left="320" w:top="121" w:right="339" w:bottom="1440" w:gutter="0" w:footer="0" w:header="0"/>
        </w:sectPr>
      </w:pPr>
    </w:p>
    <w:p>
      <w:pPr>
        <w:ind w:left="540" w:right="220" w:hanging="253"/>
        <w:spacing w:after="0" w:line="277" w:lineRule="auto"/>
        <w:tabs>
          <w:tab w:leader="none" w:pos="517" w:val="left"/>
        </w:tabs>
        <w:numPr>
          <w:ilvl w:val="0"/>
          <w:numId w:val="123"/>
        </w:numPr>
        <w:rPr>
          <w:rFonts w:ascii="Arial" w:cs="Arial" w:eastAsia="Arial" w:hAnsi="Arial"/>
          <w:sz w:val="16"/>
          <w:szCs w:val="16"/>
          <w:color w:val="355889"/>
        </w:rPr>
      </w:pPr>
      <w:r>
        <w:rPr>
          <w:rFonts w:ascii="Arial" w:cs="Arial" w:eastAsia="Arial" w:hAnsi="Arial"/>
          <w:sz w:val="16"/>
          <w:szCs w:val="16"/>
          <w:color w:val="auto"/>
        </w:rPr>
        <w:t>Pro-rata bonus based on average annual bonus for prior two years and pro-rata portion of target value of annual time-based award for partial year prior to Change-in-Control</w:t>
      </w:r>
    </w:p>
    <w:p>
      <w:pPr>
        <w:spacing w:after="0" w:line="31" w:lineRule="exact"/>
        <w:rPr>
          <w:rFonts w:ascii="Arial" w:cs="Arial" w:eastAsia="Arial" w:hAnsi="Arial"/>
          <w:sz w:val="16"/>
          <w:szCs w:val="16"/>
          <w:color w:val="355889"/>
        </w:rPr>
      </w:pPr>
    </w:p>
    <w:p>
      <w:pPr>
        <w:ind w:left="540" w:hanging="253"/>
        <w:spacing w:after="0" w:line="281" w:lineRule="auto"/>
        <w:tabs>
          <w:tab w:leader="none" w:pos="517" w:val="left"/>
        </w:tabs>
        <w:numPr>
          <w:ilvl w:val="0"/>
          <w:numId w:val="123"/>
        </w:numPr>
        <w:rPr>
          <w:rFonts w:ascii="Arial" w:cs="Arial" w:eastAsia="Arial" w:hAnsi="Arial"/>
          <w:sz w:val="16"/>
          <w:szCs w:val="16"/>
          <w:color w:val="355889"/>
        </w:rPr>
      </w:pPr>
      <w:r>
        <w:rPr>
          <w:rFonts w:ascii="Arial" w:cs="Arial" w:eastAsia="Arial" w:hAnsi="Arial"/>
          <w:sz w:val="16"/>
          <w:szCs w:val="16"/>
          <w:color w:val="auto"/>
        </w:rPr>
        <w:t>Annual cash salary equal to the sum of prior base salary, prior year cash bonus and target value of annual time-based and performance-based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32283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3228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52" w:hanging="252"/>
        <w:spacing w:after="0" w:line="237" w:lineRule="auto"/>
        <w:tabs>
          <w:tab w:leader="none" w:pos="230" w:val="left"/>
        </w:tabs>
        <w:numPr>
          <w:ilvl w:val="0"/>
          <w:numId w:val="124"/>
        </w:numPr>
        <w:rPr>
          <w:rFonts w:ascii="Arial" w:cs="Arial" w:eastAsia="Arial" w:hAnsi="Arial"/>
          <w:sz w:val="17"/>
          <w:szCs w:val="17"/>
          <w:color w:val="355889"/>
        </w:rPr>
      </w:pPr>
      <w:r>
        <w:rPr>
          <w:rFonts w:ascii="Arial" w:cs="Arial" w:eastAsia="Arial" w:hAnsi="Arial"/>
          <w:sz w:val="18"/>
          <w:szCs w:val="18"/>
          <w:color w:val="auto"/>
        </w:rPr>
        <w:t>Annual cash salary equal to the sum of the annual base salary in effect prior to the Change-in-Control plus annual bonus and equity awards (other than those granted under outperformance plans) that vested during the most recent fiscal year prior to the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194310</wp:posOffset>
            </wp:positionV>
            <wp:extent cx="470598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0598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265" w:right="120" w:hanging="265"/>
        <w:spacing w:after="0" w:line="290" w:lineRule="auto"/>
        <w:tabs>
          <w:tab w:leader="none" w:pos="242" w:val="left"/>
        </w:tabs>
        <w:numPr>
          <w:ilvl w:val="0"/>
          <w:numId w:val="125"/>
        </w:numPr>
        <w:rPr>
          <w:rFonts w:ascii="Arial" w:cs="Arial" w:eastAsia="Arial" w:hAnsi="Arial"/>
          <w:sz w:val="16"/>
          <w:szCs w:val="16"/>
          <w:color w:val="355889"/>
        </w:rPr>
      </w:pPr>
      <w:r>
        <w:rPr>
          <w:rFonts w:ascii="Arial" w:cs="Arial" w:eastAsia="Arial" w:hAnsi="Arial"/>
          <w:sz w:val="16"/>
          <w:szCs w:val="16"/>
          <w:color w:val="auto"/>
        </w:rPr>
        <w:t>Pro-rata bonus for partial year prior to Change-in-Control based on average annual bonus for prior two years</w:t>
      </w:r>
    </w:p>
    <w:p>
      <w:pPr>
        <w:spacing w:after="0" w:line="21" w:lineRule="exact"/>
        <w:rPr>
          <w:rFonts w:ascii="Arial" w:cs="Arial" w:eastAsia="Arial" w:hAnsi="Arial"/>
          <w:sz w:val="16"/>
          <w:szCs w:val="16"/>
          <w:color w:val="355889"/>
        </w:rPr>
      </w:pPr>
    </w:p>
    <w:p>
      <w:pPr>
        <w:ind w:left="265" w:right="20" w:hanging="265"/>
        <w:spacing w:after="0" w:line="274" w:lineRule="auto"/>
        <w:tabs>
          <w:tab w:leader="none" w:pos="242" w:val="left"/>
        </w:tabs>
        <w:numPr>
          <w:ilvl w:val="0"/>
          <w:numId w:val="125"/>
        </w:numPr>
        <w:rPr>
          <w:rFonts w:ascii="Arial" w:cs="Arial" w:eastAsia="Arial" w:hAnsi="Arial"/>
          <w:sz w:val="16"/>
          <w:szCs w:val="16"/>
          <w:color w:val="355889"/>
        </w:rPr>
      </w:pPr>
      <w:r>
        <w:rPr>
          <w:rFonts w:ascii="Arial" w:cs="Arial" w:eastAsia="Arial" w:hAnsi="Arial"/>
          <w:sz w:val="16"/>
          <w:szCs w:val="16"/>
          <w:color w:val="auto"/>
        </w:rPr>
        <w:t>Annual cash salary equal to the sum of prior base salary, prior year cash bonus and, beginning in the year following the most recent grant of a time-based equity award, target value of annual time-based equity awards</w:t>
      </w:r>
    </w:p>
    <w:p>
      <w:pPr>
        <w:spacing w:after="0" w:line="27" w:lineRule="exact"/>
        <w:rPr>
          <w:sz w:val="20"/>
          <w:szCs w:val="20"/>
          <w:color w:val="auto"/>
        </w:rPr>
      </w:pPr>
    </w:p>
    <w:p>
      <w:pPr>
        <w:sectPr>
          <w:pgSz w:w="11900" w:h="16838" w:orient="portrait"/>
          <w:cols w:equalWidth="0" w:num="3">
            <w:col w:w="3620" w:space="488"/>
            <w:col w:w="3392" w:space="455"/>
            <w:col w:w="3285"/>
          </w:cols>
          <w:pgMar w:left="320" w:top="121" w:right="339" w:bottom="1440" w:gutter="0" w:footer="0" w:header="0"/>
          <w:type w:val="continuous"/>
        </w:sectPr>
      </w:pPr>
    </w:p>
    <w:p>
      <w:pPr>
        <w:spacing w:after="0"/>
        <w:tabs>
          <w:tab w:leader="none" w:pos="2940" w:val="left"/>
        </w:tabs>
        <w:rPr>
          <w:sz w:val="20"/>
          <w:szCs w:val="20"/>
          <w:color w:val="auto"/>
        </w:rPr>
      </w:pPr>
      <w:r>
        <w:rPr>
          <w:rFonts w:ascii="Arial" w:cs="Arial" w:eastAsia="Arial" w:hAnsi="Arial"/>
          <w:sz w:val="18"/>
          <w:szCs w:val="18"/>
          <w:b w:val="1"/>
          <w:bCs w:val="1"/>
          <w:color w:val="auto"/>
        </w:rPr>
        <w:t>Restrictive Covenants</w:t>
      </w:r>
      <w:r>
        <w:rPr>
          <w:sz w:val="20"/>
          <w:szCs w:val="20"/>
          <w:color w:val="auto"/>
        </w:rPr>
        <w:tab/>
      </w:r>
      <w:r>
        <w:rPr>
          <w:rFonts w:ascii="Arial" w:cs="Arial" w:eastAsia="Arial" w:hAnsi="Arial"/>
          <w:sz w:val="16"/>
          <w:szCs w:val="16"/>
          <w:color w:val="auto"/>
        </w:rPr>
        <w:t>The executive agreed to the following covenants:</w:t>
      </w:r>
    </w:p>
    <w:p>
      <w:pPr>
        <w:spacing w:after="0" w:line="241" w:lineRule="exact"/>
        <w:rPr>
          <w:sz w:val="20"/>
          <w:szCs w:val="20"/>
          <w:color w:val="auto"/>
        </w:rPr>
      </w:pPr>
    </w:p>
    <w:p>
      <w:pPr>
        <w:jc w:val="both"/>
        <w:ind w:left="4160"/>
        <w:spacing w:after="0"/>
        <w:tabs>
          <w:tab w:leader="none" w:pos="9000" w:val="left"/>
        </w:tabs>
        <w:rPr>
          <w:sz w:val="20"/>
          <w:szCs w:val="20"/>
          <w:color w:val="auto"/>
        </w:rPr>
      </w:pPr>
      <w:r>
        <w:rPr>
          <w:rFonts w:ascii="Arial" w:cs="Arial" w:eastAsia="Arial" w:hAnsi="Arial"/>
          <w:sz w:val="13"/>
          <w:szCs w:val="13"/>
          <w:b w:val="1"/>
          <w:bCs w:val="1"/>
          <w:color w:val="355889"/>
        </w:rPr>
        <w:t>Holliday/Mathias/DiLiberto</w:t>
      </w:r>
      <w:r>
        <w:rPr>
          <w:sz w:val="20"/>
          <w:szCs w:val="20"/>
          <w:color w:val="auto"/>
        </w:rPr>
        <w:tab/>
      </w:r>
      <w:r>
        <w:rPr>
          <w:rFonts w:ascii="Arial" w:cs="Arial" w:eastAsia="Arial" w:hAnsi="Arial"/>
          <w:sz w:val="13"/>
          <w:szCs w:val="13"/>
          <w:b w:val="1"/>
          <w:bCs w:val="1"/>
          <w:color w:val="355889"/>
        </w:rPr>
        <w:t>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27305</wp:posOffset>
            </wp:positionV>
            <wp:extent cx="526351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6351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100" w:lineRule="exact"/>
        <w:rPr>
          <w:sz w:val="20"/>
          <w:szCs w:val="20"/>
          <w:color w:val="auto"/>
        </w:rPr>
      </w:pPr>
    </w:p>
    <w:p>
      <w:pPr>
        <w:ind w:left="2960"/>
        <w:spacing w:after="0" w:line="236" w:lineRule="auto"/>
        <w:rPr>
          <w:sz w:val="20"/>
          <w:szCs w:val="20"/>
          <w:color w:val="auto"/>
        </w:rPr>
      </w:pPr>
      <w:r>
        <w:rPr>
          <w:rFonts w:ascii="Arial" w:cs="Arial" w:eastAsia="Arial" w:hAnsi="Arial"/>
          <w:sz w:val="18"/>
          <w:szCs w:val="18"/>
          <w:color w:val="auto"/>
        </w:rPr>
        <w:t>For Messrs. Holliday, Mathias and DiLiberto noncompetition with us for 12 months following terminatioan (6 months if employment is terminated in connection with or within 18 months after a Change-in-Control). Non-solicitation, non-disparagement, non-interference and litigation cooperation covenants also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76593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For Mr. Levine, noncompetition with us for 6 months after termination unless employment is terminated upon non-renewal of the agreement, in which case the non-compete period will naot extend beyond such termination. Non-solicitation, non-disparagement, non-interference and litigation cooperation covenants also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10795</wp:posOffset>
            </wp:positionV>
            <wp:extent cx="526351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63515" cy="1714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6940" w:space="300"/>
            <w:col w:w="4000"/>
          </w:cols>
          <w:pgMar w:left="320" w:top="121" w:right="339" w:bottom="1440" w:gutter="0" w:footer="0" w:header="0"/>
          <w:type w:val="continuous"/>
        </w:sectPr>
      </w:pPr>
    </w:p>
    <w:p>
      <w:pPr>
        <w:ind w:left="320" w:hanging="312"/>
        <w:spacing w:after="0"/>
        <w:tabs>
          <w:tab w:leader="none" w:pos="32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terms automatically renew for one year for Messrs. Holliday and Mathias, and six months for Mr. DiLiberto unless either party provides advance written notice of non-renewal.</w:t>
      </w:r>
    </w:p>
    <w:p>
      <w:pPr>
        <w:spacing w:after="0" w:line="66" w:lineRule="exact"/>
        <w:rPr>
          <w:rFonts w:ascii="Arial" w:cs="Arial" w:eastAsia="Arial" w:hAnsi="Arial"/>
          <w:sz w:val="13"/>
          <w:szCs w:val="13"/>
          <w:color w:val="auto"/>
        </w:rPr>
      </w:pPr>
    </w:p>
    <w:p>
      <w:pPr>
        <w:ind w:left="320" w:right="180" w:hanging="312"/>
        <w:spacing w:after="0" w:line="248" w:lineRule="auto"/>
        <w:tabs>
          <w:tab w:leader="none" w:pos="32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Messrs. Holliday and Mathias are eligible to participate in an annual formulaic cash bonus program pursuant to which they will be able to earn from 50-300% and 50-250%, respectively, of their base salary based on the achievement of specific goals established in advance by the Committee. Messrs. DiLiberto and Levine may be awarded a bonus in an amount determined by the Committee.</w:t>
      </w:r>
    </w:p>
    <w:p>
      <w:pPr>
        <w:spacing w:after="0" w:line="49" w:lineRule="exact"/>
        <w:rPr>
          <w:rFonts w:ascii="Arial" w:cs="Arial" w:eastAsia="Arial" w:hAnsi="Arial"/>
          <w:sz w:val="13"/>
          <w:szCs w:val="13"/>
          <w:color w:val="auto"/>
        </w:rPr>
      </w:pPr>
    </w:p>
    <w:p>
      <w:pPr>
        <w:ind w:left="320" w:right="20" w:hanging="312"/>
        <w:spacing w:after="0"/>
        <w:tabs>
          <w:tab w:leader="none" w:pos="32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Beginning in January 2019, each of Messrs. Holliday and Mathias are entitled to receive annual awards of performance-based LTIP units with the target values set forth in the table above. See “Executive Compensation—Compensation Discussion and Analysis -2019 Long-Term Equity Incentive Awards - Performance-Based Equity Awards” for details regarding the structure of these awards. Each award will provide that the LTIP units will remain outstanding following a termination of employment without Cause, for Good Reason or due to death or disability, whether during or after the term of the employment agreement, or following the executive’s resignation following expiration of the term. In addition, upon any termination for Good Reason or without Cause (including as a result of non-renewal by the Company) prior to the conclusion of a performance period, operating performance (but not relative TSR performance) will be deemed to have been achieved at maximum, subject to the absolute TSR modifier, which will continue to apply in accordance with its terms. In connection with a Change-in-Control prior the conclusion of any performance period, operating performance will be deemed to have been achieved at target performance and absolute and relative TSR performance will be determined based on actual, annualized performance through the date of the Change-in-Control, but vesting will remain subject to continued employment through the original vesting date, subject to acceleration in the event of a termination of employment without Cause, for Good Reason or due to death or disability, whether during or after the term of the employment agreement, or following the executive’s resignation following expiration of the term.</w:t>
      </w:r>
    </w:p>
    <w:p>
      <w:pPr>
        <w:spacing w:after="0" w:line="57" w:lineRule="exact"/>
        <w:rPr>
          <w:rFonts w:ascii="Arial" w:cs="Arial" w:eastAsia="Arial" w:hAnsi="Arial"/>
          <w:sz w:val="13"/>
          <w:szCs w:val="13"/>
          <w:color w:val="auto"/>
        </w:rPr>
      </w:pPr>
    </w:p>
    <w:p>
      <w:pPr>
        <w:ind w:left="320" w:right="140" w:hanging="312"/>
        <w:spacing w:after="0" w:line="221" w:lineRule="auto"/>
        <w:tabs>
          <w:tab w:leader="none" w:pos="32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Each executive is eligible to receive an annual grant of LTIP units subject to time-based vesting conditions. The amount of the annual grant each year will be determined by the Committee based on its evaluation of executive’s performance during the prior year; provided that the value of the LTIP units to be granted for achievement of target performance during the prior year will not be less than the amounts set forth in the table above (with each LTIP unit valued using the average closing price of the common stock for the ten consecutive trading days ending on the last trading day of the prior year). For Messrs. Holliday and Mathias, one-third of each such grant will vest on January 1</w:t>
      </w:r>
      <w:r>
        <w:rPr>
          <w:rFonts w:ascii="Arial" w:cs="Arial" w:eastAsia="Arial" w:hAnsi="Arial"/>
          <w:sz w:val="22"/>
          <w:szCs w:val="22"/>
          <w:color w:val="auto"/>
          <w:vertAlign w:val="superscript"/>
        </w:rPr>
        <w:t>st</w:t>
      </w:r>
      <w:r>
        <w:rPr>
          <w:rFonts w:ascii="Arial" w:cs="Arial" w:eastAsia="Arial" w:hAnsi="Arial"/>
          <w:sz w:val="13"/>
          <w:szCs w:val="13"/>
          <w:color w:val="auto"/>
        </w:rPr>
        <w:t xml:space="preserve"> of each of the first three years following such grant, if and as employment continues through such dates. For Mr. Levine, each such grant will vest in equal installments on each January 1</w:t>
      </w:r>
      <w:r>
        <w:rPr>
          <w:rFonts w:ascii="Arial" w:cs="Arial" w:eastAsia="Arial" w:hAnsi="Arial"/>
          <w:sz w:val="22"/>
          <w:szCs w:val="22"/>
          <w:color w:val="auto"/>
          <w:vertAlign w:val="superscript"/>
        </w:rPr>
        <w:t>st</w:t>
      </w:r>
      <w:r>
        <w:rPr>
          <w:rFonts w:ascii="Arial" w:cs="Arial" w:eastAsia="Arial" w:hAnsi="Arial"/>
          <w:sz w:val="13"/>
          <w:szCs w:val="13"/>
          <w:color w:val="auto"/>
        </w:rPr>
        <w:t xml:space="preserve"> following such grant during the remainder of the term of the employment agreement, if and as employment continues through such dates. The LTIP units will be subject to a no sell restriction until the earlier of three years after grant, termination of employment or a Change-in-Control. Vesting will fully accelerate in the event of the termination of executive’s employment by us without Cause, by the executive for Good Reason, due to death or disability or due to executive’s resignation following the expiration of the term of the employment agreement. Other terminations prior to time-based vesting or acceleration will result in forfeiture of all unvested amounts.</w:t>
      </w:r>
    </w:p>
    <w:p>
      <w:pPr>
        <w:spacing w:after="0" w:line="208" w:lineRule="exact"/>
        <w:rPr>
          <w:sz w:val="20"/>
          <w:szCs w:val="20"/>
          <w:color w:val="auto"/>
        </w:rPr>
      </w:pPr>
    </w:p>
    <w:p>
      <w:pPr>
        <w:ind w:left="300" w:hanging="292"/>
        <w:spacing w:after="0"/>
        <w:tabs>
          <w:tab w:leader="none" w:pos="300" w:val="left"/>
        </w:tabs>
        <w:numPr>
          <w:ilvl w:val="0"/>
          <w:numId w:val="127"/>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EXECUTIVE COMPENSATION</w:t>
      </w:r>
    </w:p>
    <w:p>
      <w:pPr>
        <w:spacing w:after="0" w:line="208" w:lineRule="exact"/>
        <w:rPr>
          <w:sz w:val="20"/>
          <w:szCs w:val="20"/>
          <w:color w:val="auto"/>
        </w:rPr>
      </w:pPr>
    </w:p>
    <w:p>
      <w:pPr>
        <w:ind w:left="400" w:hanging="392"/>
        <w:spacing w:after="0"/>
        <w:tabs>
          <w:tab w:leader="none" w:pos="4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See “Executive Compensation Tables – Outstanding Equity Awards at Fiscal Year-End 2019.”</w:t>
      </w:r>
    </w:p>
    <w:p>
      <w:pPr>
        <w:spacing w:after="0" w:line="66" w:lineRule="exact"/>
        <w:rPr>
          <w:rFonts w:ascii="Arial" w:cs="Arial" w:eastAsia="Arial" w:hAnsi="Arial"/>
          <w:sz w:val="13"/>
          <w:szCs w:val="13"/>
          <w:color w:val="auto"/>
        </w:rPr>
      </w:pPr>
    </w:p>
    <w:p>
      <w:pPr>
        <w:ind w:left="400" w:right="60" w:hanging="392"/>
        <w:spacing w:after="0" w:line="258" w:lineRule="auto"/>
        <w:tabs>
          <w:tab w:leader="none" w:pos="4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Performance-based equity awards will be treated in accordance with their terms. See footnotes (3) and (5) for relevant terms to be included in performance-based LTIP units granted pursuant to the employment agreements.</w:t>
      </w:r>
    </w:p>
    <w:p>
      <w:pPr>
        <w:spacing w:after="0" w:line="43" w:lineRule="exact"/>
        <w:rPr>
          <w:rFonts w:ascii="Arial" w:cs="Arial" w:eastAsia="Arial" w:hAnsi="Arial"/>
          <w:sz w:val="13"/>
          <w:szCs w:val="13"/>
          <w:color w:val="auto"/>
        </w:rPr>
      </w:pPr>
    </w:p>
    <w:p>
      <w:pPr>
        <w:ind w:left="400" w:right="160" w:hanging="392"/>
        <w:spacing w:after="0" w:line="248" w:lineRule="auto"/>
        <w:tabs>
          <w:tab w:leader="none" w:pos="4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Calculated based on the sum of (i) average annual base salary in effect during the preceding 24 months, plus (ii) average annual cash bonuses (including any portion of the annual cash bonus paid in the form of equity awards, but excluding any annual or other equity awards made other than as payment of a cash bonus) paid for the two most recently completed fiscal years. In connection with a Change-in-Control, Mr. DiLiberto is entitled to two times the foregoing sum.</w:t>
      </w:r>
    </w:p>
    <w:p>
      <w:pPr>
        <w:spacing w:after="0" w:line="49" w:lineRule="exact"/>
        <w:rPr>
          <w:rFonts w:ascii="Arial" w:cs="Arial" w:eastAsia="Arial" w:hAnsi="Arial"/>
          <w:sz w:val="13"/>
          <w:szCs w:val="13"/>
          <w:color w:val="auto"/>
        </w:rPr>
      </w:pPr>
    </w:p>
    <w:p>
      <w:pPr>
        <w:ind w:left="400" w:hanging="392"/>
        <w:spacing w:after="0"/>
        <w:tabs>
          <w:tab w:leader="none" w:pos="4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Pro-rata bonus is for the year in which employment is terminated (and a bonus for the prior year if such bonus had not yet been determined) based on average annual cash bonus.</w:t>
      </w:r>
    </w:p>
    <w:p>
      <w:pPr>
        <w:spacing w:after="0" w:line="66" w:lineRule="exact"/>
        <w:rPr>
          <w:rFonts w:ascii="Arial" w:cs="Arial" w:eastAsia="Arial" w:hAnsi="Arial"/>
          <w:sz w:val="13"/>
          <w:szCs w:val="13"/>
          <w:color w:val="auto"/>
        </w:rPr>
      </w:pPr>
    </w:p>
    <w:p>
      <w:pPr>
        <w:ind w:left="400" w:right="60" w:hanging="392"/>
        <w:spacing w:after="0" w:line="248" w:lineRule="auto"/>
        <w:tabs>
          <w:tab w:leader="none" w:pos="4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In the event that any payment or benefit constitutes an excess “parachute payment” under Section 280G of the IRC subject to an excise tax, the executive will not be entitled to a tax gross-up payment; however, the executive’s payments and benefits would be reduced to the extent necessary to avoid such excise taxes, but only if such a reduction of pay or benefits would result in a greater after-tax benefit to the executive.</w:t>
      </w:r>
    </w:p>
    <w:p>
      <w:pPr>
        <w:spacing w:after="0" w:line="49" w:lineRule="exact"/>
        <w:rPr>
          <w:rFonts w:ascii="Arial" w:cs="Arial" w:eastAsia="Arial" w:hAnsi="Arial"/>
          <w:sz w:val="13"/>
          <w:szCs w:val="13"/>
          <w:color w:val="auto"/>
        </w:rPr>
      </w:pPr>
    </w:p>
    <w:p>
      <w:pPr>
        <w:ind w:left="400" w:right="80" w:hanging="392"/>
        <w:spacing w:after="0" w:line="258" w:lineRule="auto"/>
        <w:tabs>
          <w:tab w:leader="none" w:pos="4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Full acceleration of vesting of any unvested equity awards granted in lieu of cash bonuses and 12 months of additional vesting of other outstanding equity awards (other than annual performance-based awards).</w:t>
      </w:r>
    </w:p>
    <w:p>
      <w:pPr>
        <w:spacing w:after="0" w:line="195"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The terms Cause, Good Reason and Change-in-Control, as used above, are specifically defined in each executive’s employment agreement. For Messrs. Holliday and Mathias, the term Cause is defined to include a non-renewal of the term of the employment agreement, provided that the cash severance multiple in such instance would be 1.0x instead of 2.0x for Mr. Holliday and 1.5x for Mr. Mathias. The summary above is qualified in its entirety by reference to the copies of the employment agreements with our named executive officers, which have been previously filed by us with the SEC, as referenced in our Form 10-K for the year ended December 31, 2019,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Performance-Based Equity Awards</w:t>
      </w:r>
    </w:p>
    <w:p>
      <w:pPr>
        <w:spacing w:after="0" w:line="2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Upon a change in control, the performance-based vesting criteria for the performance-based LTIP unit awards that we granted to our named executive officers in 2019 (the “2019 Performance-Based Awards”) and to Mr. DiLiberto in 2018 pursuant to his employment agreement will generally be determined based on performance through the date of the change in control. For the portion of the 2019 Performance-Based Awards that may be earned based on operational performance, if the operational performance period ends earlier than it otherwise would have as a result of a change in control, the operational performance hurdles will be deemed to have been achieved at target level, subject to modification by the absolute TSR modifier. Regardless of the satisfaction of the performance-based vesting criteria, the awards will remain subject to vesting based on continued employment through the originally established vesting dates. However, in the event of a termination by us without Cause or by an executive for Good Reason (as defined in each executive’s employment agreement) in connection with or within 18 months after a change in control, any LTIP units earned upon a change in control will be fully vested, provided that, in connection with such a termination, the portion of the 2019 Performance-Based Awards that may be earned based on operational performance granted to Messrs. Holliday and Mathias will be deemed to have been achieved at maximum level (200%), subject to modification by the absolute TSR modifier. See “—Compensation Discussion and Analysis—Our 2019 Executive Compensation Program—2019 Performance-Based Equity Awards” for a description of the 2019 Performance-Based Awards.</w:t>
      </w:r>
    </w:p>
    <w:p>
      <w:pPr>
        <w:spacing w:after="0" w:line="214"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If an executive’s employment is terminated before the end of the three-year performance period as a result of death or disability, or is terminated by us without Cause or by the executive for Good Reason (as defined in each executive’s employment agreement), the executive’s achievement of the performance-based hurdles under the 2019 Performance-Based Award will be calculated as of the end of the performance period in the same manner as if such termination had not occurred. Any portion of the 2019 Performance-Based Award that is earned will be fully vested, subject to proration for Messrs. DiLiberto and Levine such that none of the earned LTIP units will vest if the termination occurs during the first year of the performance period, one-third of the earned LTIP units will vest if the termination occurs during the second year of the performance period and two-thirds of the earned LTIP units will vest if the termination occurs during the third year of the performance period. If any such termination occurs after the end of the three-year performance period, all earned LTIP units will fully vest upon such termination or, if later, the date of determining the number of earned LTIP units. Accelerated vesting is generally subject to the effectiveness of a mutual release, except in upon a termination as a result of death or in connection with or within 18 months after a change in control.</w:t>
      </w:r>
    </w:p>
    <w:p>
      <w:pPr>
        <w:spacing w:after="0" w:line="39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awards granted to Mr. DiLiberto in 2018 pursuant to his employment agreement will be treated in the same manner as other equity awards under the employment agreement, which provides for 12 months of additional vesting in connection with a termination due to death or disability, and full acceleration in connection with a termination by us without Cause or by the executive for Good Reason (as defined in the employment agreement).</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Hypothetical Illustration of Payments upon Termination or Change in Control</w:t>
      </w:r>
    </w:p>
    <w:p>
      <w:pPr>
        <w:spacing w:after="0" w:line="235"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following tables show the potential payments and estimated value of the benefits that our named executive officers would have been entitled to receive upon a termination of their employment by us without cause or by them for good reason or upon the death or disability as of December 31, 2019. Our named executive officers would not have been entitled to any payments or benefits other than those already accrued in the event of a termination of their employment by us for cause or by them without good reason (including upon retirement). The types of events constituting cause, good reason, disability and a change in control may differ in some respects among the different arrangements providing for benefits to the named executive officers; however, for consistency in presentation, the payments and estimated value of benefits have been grouped together based on these concepts without regard for any such differences. The potential payments and estimated values set forth below are based on the terms of the employment agreements in effect as of December 31, 2019, including those that became effective during 2019. For Messrs. Holliday, Mathias and Levine, the contractual terms of these arrangements have been summarized in prior proxy statements, though have not previously been used to calculate potential payments upon termination or change in control for disclosure purposes.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180" w:type="dxa"/>
            <w:vAlign w:val="bottom"/>
            <w:gridSpan w:val="5"/>
          </w:tcPr>
          <w:p>
            <w:pPr>
              <w:spacing w:after="0"/>
              <w:rPr>
                <w:sz w:val="20"/>
                <w:szCs w:val="20"/>
                <w:color w:val="auto"/>
              </w:rPr>
            </w:pPr>
            <w:r>
              <w:rPr>
                <w:rFonts w:ascii="Arial" w:cs="Arial" w:eastAsia="Arial" w:hAnsi="Arial"/>
                <w:sz w:val="13"/>
                <w:szCs w:val="13"/>
                <w:b w:val="1"/>
                <w:bCs w:val="1"/>
                <w:color w:val="355889"/>
              </w:rPr>
              <w:t>Marc Holliday</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80" w:type="dxa"/>
            <w:vAlign w:val="bottom"/>
            <w:tcBorders>
              <w:top w:val="single" w:sz="8" w:color="355889"/>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Termination without</w:t>
            </w:r>
          </w:p>
        </w:tc>
        <w:tc>
          <w:tcPr>
            <w:tcW w:w="16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Termination</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355889"/>
              </w:rPr>
              <w:t>Death</w:t>
            </w:r>
            <w:r>
              <w:rPr>
                <w:rFonts w:ascii="Arial" w:cs="Arial" w:eastAsia="Arial" w:hAnsi="Arial"/>
                <w:sz w:val="22"/>
                <w:szCs w:val="22"/>
                <w:b w:val="1"/>
                <w:bCs w:val="1"/>
                <w:color w:val="355889"/>
                <w:vertAlign w:val="superscript"/>
              </w:rPr>
              <w:t>(1)</w:t>
            </w:r>
          </w:p>
        </w:tc>
        <w:tc>
          <w:tcPr>
            <w:tcW w:w="0" w:type="dxa"/>
            <w:vAlign w:val="bottom"/>
          </w:tcPr>
          <w:p>
            <w:pPr>
              <w:spacing w:after="0"/>
              <w:rPr>
                <w:sz w:val="1"/>
                <w:szCs w:val="1"/>
                <w:color w:val="auto"/>
              </w:rPr>
            </w:pPr>
          </w:p>
        </w:tc>
      </w:tr>
      <w:tr>
        <w:trPr>
          <w:trHeight w:val="192"/>
        </w:trPr>
        <w:tc>
          <w:tcPr>
            <w:tcW w:w="5180" w:type="dxa"/>
            <w:vAlign w:val="bottom"/>
            <w:gridSpan w:val="5"/>
          </w:tcPr>
          <w:p>
            <w:pPr>
              <w:spacing w:after="0"/>
              <w:rPr>
                <w:sz w:val="20"/>
                <w:szCs w:val="20"/>
                <w:color w:val="auto"/>
              </w:rPr>
            </w:pPr>
            <w:r>
              <w:rPr>
                <w:rFonts w:ascii="Arial" w:cs="Arial" w:eastAsia="Arial" w:hAnsi="Arial"/>
                <w:sz w:val="13"/>
                <w:szCs w:val="13"/>
                <w:b w:val="1"/>
                <w:bCs w:val="1"/>
                <w:color w:val="355889"/>
              </w:rPr>
              <w:t>Payment/Benefit</w:t>
            </w:r>
          </w:p>
        </w:tc>
        <w:tc>
          <w:tcPr>
            <w:tcW w:w="160" w:type="dxa"/>
            <w:vAlign w:val="bottom"/>
          </w:tcPr>
          <w:p>
            <w:pPr>
              <w:spacing w:after="0"/>
              <w:rPr>
                <w:sz w:val="16"/>
                <w:szCs w:val="16"/>
                <w:color w:val="auto"/>
              </w:rPr>
            </w:pPr>
          </w:p>
        </w:tc>
        <w:tc>
          <w:tcPr>
            <w:tcW w:w="19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355889"/>
              </w:rPr>
              <w:t>Cause or for Good Reason</w:t>
            </w:r>
          </w:p>
        </w:tc>
        <w:tc>
          <w:tcPr>
            <w:tcW w:w="16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w/ Change in Control</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Disability</w:t>
            </w: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80" w:type="dxa"/>
            <w:vAlign w:val="bottom"/>
            <w:shd w:val="clear" w:color="auto" w:fill="355989"/>
          </w:tcPr>
          <w:p>
            <w:pPr>
              <w:spacing w:after="0"/>
              <w:rPr>
                <w:sz w:val="2"/>
                <w:szCs w:val="2"/>
                <w:color w:val="auto"/>
              </w:rPr>
            </w:pPr>
          </w:p>
        </w:tc>
        <w:tc>
          <w:tcPr>
            <w:tcW w:w="160" w:type="dxa"/>
            <w:vAlign w:val="bottom"/>
            <w:shd w:val="clear" w:color="auto" w:fill="355989"/>
          </w:tcPr>
          <w:p>
            <w:pPr>
              <w:spacing w:after="0"/>
              <w:rPr>
                <w:sz w:val="2"/>
                <w:szCs w:val="2"/>
                <w:color w:val="auto"/>
              </w:rPr>
            </w:pPr>
          </w:p>
        </w:tc>
        <w:tc>
          <w:tcPr>
            <w:tcW w:w="100" w:type="dxa"/>
            <w:vAlign w:val="bottom"/>
            <w:shd w:val="clear" w:color="auto" w:fill="355989"/>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38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355989"/>
          </w:tcPr>
          <w:p>
            <w:pPr>
              <w:spacing w:after="0"/>
              <w:rPr>
                <w:sz w:val="2"/>
                <w:szCs w:val="2"/>
                <w:color w:val="auto"/>
              </w:rPr>
            </w:pPr>
          </w:p>
        </w:tc>
        <w:tc>
          <w:tcPr>
            <w:tcW w:w="14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355989"/>
          </w:tcPr>
          <w:p>
            <w:pPr>
              <w:spacing w:after="0"/>
              <w:rPr>
                <w:sz w:val="2"/>
                <w:szCs w:val="2"/>
                <w:color w:val="auto"/>
              </w:rPr>
            </w:pPr>
          </w:p>
        </w:tc>
        <w:tc>
          <w:tcPr>
            <w:tcW w:w="1400" w:type="dxa"/>
            <w:vAlign w:val="bottom"/>
            <w:shd w:val="clear" w:color="auto" w:fill="355989"/>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8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355989"/>
          </w:tcPr>
          <w:p>
            <w:pPr>
              <w:spacing w:after="0"/>
              <w:rPr>
                <w:sz w:val="2"/>
                <w:szCs w:val="2"/>
                <w:color w:val="auto"/>
              </w:rPr>
            </w:pPr>
          </w:p>
        </w:tc>
        <w:tc>
          <w:tcPr>
            <w:tcW w:w="860" w:type="dxa"/>
            <w:vAlign w:val="bottom"/>
            <w:shd w:val="clear" w:color="auto" w:fill="3559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180" w:type="dxa"/>
            <w:vAlign w:val="bottom"/>
            <w:gridSpan w:val="5"/>
          </w:tcPr>
          <w:p>
            <w:pPr>
              <w:spacing w:after="0"/>
              <w:rPr>
                <w:sz w:val="20"/>
                <w:szCs w:val="20"/>
                <w:color w:val="auto"/>
              </w:rPr>
            </w:pPr>
            <w:r>
              <w:rPr>
                <w:rFonts w:ascii="Arial" w:cs="Arial" w:eastAsia="Arial" w:hAnsi="Arial"/>
                <w:sz w:val="18"/>
                <w:szCs w:val="18"/>
                <w:color w:val="auto"/>
              </w:rPr>
              <w:t>Pro-Rata Bonus</w:t>
            </w:r>
          </w:p>
        </w:tc>
        <w:tc>
          <w:tcPr>
            <w:tcW w:w="160" w:type="dxa"/>
            <w:vAlign w:val="bottom"/>
          </w:tcPr>
          <w:p>
            <w:pPr>
              <w:spacing w:after="0"/>
              <w:rPr>
                <w:sz w:val="20"/>
                <w:szCs w:val="20"/>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6,841,871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6,841,871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6,841,871</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6,841,871</w:t>
            </w:r>
          </w:p>
        </w:tc>
        <w:tc>
          <w:tcPr>
            <w:tcW w:w="0" w:type="dxa"/>
            <w:vAlign w:val="bottom"/>
          </w:tcPr>
          <w:p>
            <w:pPr>
              <w:spacing w:after="0"/>
              <w:rPr>
                <w:sz w:val="1"/>
                <w:szCs w:val="1"/>
                <w:color w:val="auto"/>
              </w:rPr>
            </w:pPr>
          </w:p>
        </w:tc>
      </w:tr>
      <w:tr>
        <w:trPr>
          <w:trHeight w:val="21"/>
        </w:trPr>
        <w:tc>
          <w:tcPr>
            <w:tcW w:w="880" w:type="dxa"/>
            <w:vAlign w:val="bottom"/>
            <w:shd w:val="clear" w:color="auto" w:fill="355989"/>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00" w:type="dxa"/>
            <w:vAlign w:val="bottom"/>
            <w:shd w:val="clear" w:color="auto" w:fill="355989"/>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3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180" w:type="dxa"/>
            <w:vAlign w:val="bottom"/>
            <w:gridSpan w:val="5"/>
          </w:tcPr>
          <w:p>
            <w:pPr>
              <w:spacing w:after="0"/>
              <w:rPr>
                <w:sz w:val="20"/>
                <w:szCs w:val="20"/>
                <w:color w:val="auto"/>
              </w:rPr>
            </w:pPr>
            <w:r>
              <w:rPr>
                <w:rFonts w:ascii="Arial" w:cs="Arial" w:eastAsia="Arial" w:hAnsi="Arial"/>
                <w:sz w:val="18"/>
                <w:szCs w:val="18"/>
                <w:color w:val="auto"/>
              </w:rPr>
              <w:t>Cash Severance</w:t>
            </w:r>
          </w:p>
        </w:tc>
        <w:tc>
          <w:tcPr>
            <w:tcW w:w="160" w:type="dxa"/>
            <w:vAlign w:val="bottom"/>
          </w:tcPr>
          <w:p>
            <w:pPr>
              <w:spacing w:after="0"/>
              <w:rPr>
                <w:sz w:val="20"/>
                <w:szCs w:val="20"/>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19,000,000</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28,500,000</w:t>
            </w:r>
          </w:p>
        </w:tc>
        <w:tc>
          <w:tcPr>
            <w:tcW w:w="18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9,500,000</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80" w:type="dxa"/>
            <w:vAlign w:val="bottom"/>
            <w:shd w:val="clear" w:color="auto" w:fill="355989"/>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00" w:type="dxa"/>
            <w:vAlign w:val="bottom"/>
            <w:shd w:val="clear" w:color="auto" w:fill="355989"/>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3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80" w:type="dxa"/>
            <w:vAlign w:val="bottom"/>
            <w:gridSpan w:val="5"/>
          </w:tcPr>
          <w:p>
            <w:pPr>
              <w:spacing w:after="0" w:line="310" w:lineRule="exact"/>
              <w:rPr>
                <w:sz w:val="20"/>
                <w:szCs w:val="20"/>
                <w:color w:val="auto"/>
              </w:rPr>
            </w:pPr>
            <w:r>
              <w:rPr>
                <w:rFonts w:ascii="Arial" w:cs="Arial" w:eastAsia="Arial" w:hAnsi="Arial"/>
                <w:sz w:val="18"/>
                <w:szCs w:val="18"/>
                <w:color w:val="auto"/>
              </w:rPr>
              <w:t>Stock Option / Class O LTIP Unit Vesting</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shd w:val="clear" w:color="auto" w:fill="355989"/>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00" w:type="dxa"/>
            <w:vAlign w:val="bottom"/>
            <w:shd w:val="clear" w:color="auto" w:fill="355989"/>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3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80" w:type="dxa"/>
            <w:vAlign w:val="bottom"/>
            <w:gridSpan w:val="5"/>
          </w:tcPr>
          <w:p>
            <w:pPr>
              <w:spacing w:after="0" w:line="303" w:lineRule="exact"/>
              <w:rPr>
                <w:sz w:val="20"/>
                <w:szCs w:val="20"/>
                <w:color w:val="auto"/>
              </w:rPr>
            </w:pPr>
            <w:r>
              <w:rPr>
                <w:rFonts w:ascii="Arial" w:cs="Arial" w:eastAsia="Arial" w:hAnsi="Arial"/>
                <w:sz w:val="18"/>
                <w:szCs w:val="18"/>
                <w:color w:val="auto"/>
              </w:rPr>
              <w:t>LTIP Unit/Stock Unit Vesting</w:t>
            </w:r>
            <w:r>
              <w:rPr>
                <w:rFonts w:ascii="Arial" w:cs="Arial" w:eastAsia="Arial" w:hAnsi="Arial"/>
                <w:sz w:val="29"/>
                <w:szCs w:val="29"/>
                <w:color w:val="auto"/>
                <w:vertAlign w:val="superscript"/>
              </w:rPr>
              <w:t>(3)</w:t>
            </w:r>
          </w:p>
        </w:tc>
        <w:tc>
          <w:tcPr>
            <w:tcW w:w="160" w:type="dxa"/>
            <w:vAlign w:val="bottom"/>
          </w:tcPr>
          <w:p>
            <w:pPr>
              <w:spacing w:after="0"/>
              <w:rPr>
                <w:sz w:val="24"/>
                <w:szCs w:val="24"/>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5,561,496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7,209,269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5,561,496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5,561,496</w:t>
            </w:r>
          </w:p>
        </w:tc>
        <w:tc>
          <w:tcPr>
            <w:tcW w:w="0" w:type="dxa"/>
            <w:vAlign w:val="bottom"/>
          </w:tcPr>
          <w:p>
            <w:pPr>
              <w:spacing w:after="0"/>
              <w:rPr>
                <w:sz w:val="1"/>
                <w:szCs w:val="1"/>
                <w:color w:val="auto"/>
              </w:rPr>
            </w:pPr>
          </w:p>
        </w:tc>
      </w:tr>
      <w:tr>
        <w:trPr>
          <w:trHeight w:val="20"/>
        </w:trPr>
        <w:tc>
          <w:tcPr>
            <w:tcW w:w="880" w:type="dxa"/>
            <w:vAlign w:val="bottom"/>
            <w:shd w:val="clear" w:color="auto" w:fill="355989"/>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00" w:type="dxa"/>
            <w:vAlign w:val="bottom"/>
            <w:shd w:val="clear" w:color="auto" w:fill="355989"/>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3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80" w:type="dxa"/>
            <w:vAlign w:val="bottom"/>
            <w:gridSpan w:val="5"/>
          </w:tcPr>
          <w:p>
            <w:pPr>
              <w:spacing w:after="0" w:line="303" w:lineRule="exact"/>
              <w:rPr>
                <w:sz w:val="20"/>
                <w:szCs w:val="20"/>
                <w:color w:val="auto"/>
              </w:rPr>
            </w:pPr>
            <w:r>
              <w:rPr>
                <w:rFonts w:ascii="Arial" w:cs="Arial" w:eastAsia="Arial" w:hAnsi="Arial"/>
                <w:sz w:val="18"/>
                <w:szCs w:val="18"/>
                <w:color w:val="auto"/>
              </w:rPr>
              <w:t>Benefits Continuation</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129,773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194,660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194,660</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180" w:type="dxa"/>
            <w:vAlign w:val="bottom"/>
            <w:tcBorders>
              <w:top w:val="single" w:sz="8" w:color="355989"/>
            </w:tcBorders>
            <w:gridSpan w:val="5"/>
          </w:tcPr>
          <w:p>
            <w:pPr>
              <w:spacing w:after="0"/>
              <w:rPr>
                <w:sz w:val="20"/>
                <w:szCs w:val="20"/>
                <w:color w:val="auto"/>
              </w:rPr>
            </w:pPr>
            <w:r>
              <w:rPr>
                <w:rFonts w:ascii="Arial" w:cs="Arial" w:eastAsia="Arial" w:hAnsi="Arial"/>
                <w:sz w:val="13"/>
                <w:szCs w:val="13"/>
                <w:b w:val="1"/>
                <w:bCs w:val="1"/>
                <w:color w:val="355889"/>
              </w:rPr>
              <w:t>Andrew Mathias</w:t>
            </w:r>
          </w:p>
        </w:tc>
        <w:tc>
          <w:tcPr>
            <w:tcW w:w="160" w:type="dxa"/>
            <w:vAlign w:val="bottom"/>
          </w:tcPr>
          <w:p>
            <w:pPr>
              <w:spacing w:after="0"/>
              <w:rPr>
                <w:sz w:val="24"/>
                <w:szCs w:val="24"/>
                <w:color w:val="auto"/>
              </w:rPr>
            </w:pPr>
          </w:p>
        </w:tc>
        <w:tc>
          <w:tcPr>
            <w:tcW w:w="280" w:type="dxa"/>
            <w:vAlign w:val="bottom"/>
            <w:tcBorders>
              <w:top w:val="single" w:sz="8" w:color="355989"/>
            </w:tcBorders>
          </w:tcPr>
          <w:p>
            <w:pPr>
              <w:spacing w:after="0"/>
              <w:rPr>
                <w:sz w:val="24"/>
                <w:szCs w:val="24"/>
                <w:color w:val="auto"/>
              </w:rPr>
            </w:pPr>
          </w:p>
        </w:tc>
        <w:tc>
          <w:tcPr>
            <w:tcW w:w="1460" w:type="dxa"/>
            <w:vAlign w:val="bottom"/>
            <w:tcBorders>
              <w:top w:val="single" w:sz="8" w:color="355989"/>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355989"/>
            </w:tcBorders>
          </w:tcPr>
          <w:p>
            <w:pPr>
              <w:spacing w:after="0"/>
              <w:rPr>
                <w:sz w:val="24"/>
                <w:szCs w:val="24"/>
                <w:color w:val="auto"/>
              </w:rPr>
            </w:pPr>
          </w:p>
        </w:tc>
        <w:tc>
          <w:tcPr>
            <w:tcW w:w="1400" w:type="dxa"/>
            <w:vAlign w:val="bottom"/>
            <w:tcBorders>
              <w:top w:val="single" w:sz="8" w:color="355989"/>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355989"/>
            </w:tcBorders>
          </w:tcPr>
          <w:p>
            <w:pPr>
              <w:spacing w:after="0"/>
              <w:rPr>
                <w:sz w:val="24"/>
                <w:szCs w:val="24"/>
                <w:color w:val="auto"/>
              </w:rPr>
            </w:pPr>
          </w:p>
        </w:tc>
        <w:tc>
          <w:tcPr>
            <w:tcW w:w="860" w:type="dxa"/>
            <w:vAlign w:val="bottom"/>
            <w:tcBorders>
              <w:top w:val="single" w:sz="8" w:color="355989"/>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355989"/>
            </w:tcBorders>
          </w:tcPr>
          <w:p>
            <w:pPr>
              <w:spacing w:after="0"/>
              <w:rPr>
                <w:sz w:val="24"/>
                <w:szCs w:val="24"/>
                <w:color w:val="auto"/>
              </w:rPr>
            </w:pPr>
          </w:p>
        </w:tc>
        <w:tc>
          <w:tcPr>
            <w:tcW w:w="860" w:type="dxa"/>
            <w:vAlign w:val="bottom"/>
            <w:tcBorders>
              <w:top w:val="single" w:sz="8" w:color="355989"/>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80" w:type="dxa"/>
            <w:vAlign w:val="bottom"/>
            <w:tcBorders>
              <w:top w:val="single" w:sz="8" w:color="355889"/>
            </w:tcBorders>
          </w:tcPr>
          <w:p>
            <w:pPr>
              <w:spacing w:after="0"/>
              <w:rPr>
                <w:sz w:val="17"/>
                <w:szCs w:val="17"/>
                <w:color w:val="auto"/>
              </w:rPr>
            </w:pPr>
          </w:p>
        </w:tc>
        <w:tc>
          <w:tcPr>
            <w:tcW w:w="160" w:type="dxa"/>
            <w:vAlign w:val="bottom"/>
            <w:tcBorders>
              <w:top w:val="single" w:sz="8" w:color="355889"/>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Termination without</w:t>
            </w:r>
          </w:p>
        </w:tc>
        <w:tc>
          <w:tcPr>
            <w:tcW w:w="16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Termination</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180" w:type="dxa"/>
            <w:vAlign w:val="bottom"/>
            <w:gridSpan w:val="5"/>
          </w:tcPr>
          <w:p>
            <w:pPr>
              <w:spacing w:after="0"/>
              <w:rPr>
                <w:sz w:val="20"/>
                <w:szCs w:val="20"/>
                <w:color w:val="auto"/>
              </w:rPr>
            </w:pPr>
            <w:r>
              <w:rPr>
                <w:rFonts w:ascii="Arial" w:cs="Arial" w:eastAsia="Arial" w:hAnsi="Arial"/>
                <w:sz w:val="13"/>
                <w:szCs w:val="13"/>
                <w:b w:val="1"/>
                <w:bCs w:val="1"/>
                <w:color w:val="355889"/>
              </w:rPr>
              <w:t>Payment/Benefit</w:t>
            </w:r>
          </w:p>
        </w:tc>
        <w:tc>
          <w:tcPr>
            <w:tcW w:w="160" w:type="dxa"/>
            <w:vAlign w:val="bottom"/>
          </w:tcPr>
          <w:p>
            <w:pPr>
              <w:spacing w:after="0"/>
              <w:rPr>
                <w:sz w:val="16"/>
                <w:szCs w:val="16"/>
                <w:color w:val="auto"/>
              </w:rPr>
            </w:pPr>
          </w:p>
        </w:tc>
        <w:tc>
          <w:tcPr>
            <w:tcW w:w="19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355889"/>
              </w:rPr>
              <w:t>Cause or for Good Reason</w:t>
            </w:r>
          </w:p>
        </w:tc>
        <w:tc>
          <w:tcPr>
            <w:tcW w:w="16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w/ Change in Control</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Disability</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355889"/>
              </w:rPr>
              <w:t>Death</w:t>
            </w:r>
          </w:p>
        </w:tc>
        <w:tc>
          <w:tcPr>
            <w:tcW w:w="0" w:type="dxa"/>
            <w:vAlign w:val="bottom"/>
          </w:tcPr>
          <w:p>
            <w:pPr>
              <w:spacing w:after="0"/>
              <w:rPr>
                <w:sz w:val="1"/>
                <w:szCs w:val="1"/>
                <w:color w:val="auto"/>
              </w:rPr>
            </w:pPr>
          </w:p>
        </w:tc>
      </w:tr>
      <w:tr>
        <w:trPr>
          <w:trHeight w:val="34"/>
        </w:trPr>
        <w:tc>
          <w:tcPr>
            <w:tcW w:w="880" w:type="dxa"/>
            <w:vAlign w:val="bottom"/>
            <w:shd w:val="clear" w:color="auto" w:fill="355989"/>
          </w:tcPr>
          <w:p>
            <w:pPr>
              <w:spacing w:after="0"/>
              <w:rPr>
                <w:sz w:val="2"/>
                <w:szCs w:val="2"/>
                <w:color w:val="auto"/>
              </w:rPr>
            </w:pPr>
          </w:p>
        </w:tc>
        <w:tc>
          <w:tcPr>
            <w:tcW w:w="160" w:type="dxa"/>
            <w:vAlign w:val="bottom"/>
            <w:shd w:val="clear" w:color="auto" w:fill="355989"/>
          </w:tcPr>
          <w:p>
            <w:pPr>
              <w:spacing w:after="0"/>
              <w:rPr>
                <w:sz w:val="2"/>
                <w:szCs w:val="2"/>
                <w:color w:val="auto"/>
              </w:rPr>
            </w:pPr>
          </w:p>
        </w:tc>
        <w:tc>
          <w:tcPr>
            <w:tcW w:w="100" w:type="dxa"/>
            <w:vAlign w:val="bottom"/>
            <w:shd w:val="clear" w:color="auto" w:fill="355989"/>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38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355989"/>
          </w:tcPr>
          <w:p>
            <w:pPr>
              <w:spacing w:after="0"/>
              <w:rPr>
                <w:sz w:val="2"/>
                <w:szCs w:val="2"/>
                <w:color w:val="auto"/>
              </w:rPr>
            </w:pPr>
          </w:p>
        </w:tc>
        <w:tc>
          <w:tcPr>
            <w:tcW w:w="14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355989"/>
          </w:tcPr>
          <w:p>
            <w:pPr>
              <w:spacing w:after="0"/>
              <w:rPr>
                <w:sz w:val="2"/>
                <w:szCs w:val="2"/>
                <w:color w:val="auto"/>
              </w:rPr>
            </w:pPr>
          </w:p>
        </w:tc>
        <w:tc>
          <w:tcPr>
            <w:tcW w:w="1400" w:type="dxa"/>
            <w:vAlign w:val="bottom"/>
            <w:shd w:val="clear" w:color="auto" w:fill="355989"/>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8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355989"/>
          </w:tcPr>
          <w:p>
            <w:pPr>
              <w:spacing w:after="0"/>
              <w:rPr>
                <w:sz w:val="2"/>
                <w:szCs w:val="2"/>
                <w:color w:val="auto"/>
              </w:rPr>
            </w:pPr>
          </w:p>
        </w:tc>
        <w:tc>
          <w:tcPr>
            <w:tcW w:w="860" w:type="dxa"/>
            <w:vAlign w:val="bottom"/>
            <w:shd w:val="clear" w:color="auto" w:fill="3559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180" w:type="dxa"/>
            <w:vAlign w:val="bottom"/>
            <w:gridSpan w:val="5"/>
          </w:tcPr>
          <w:p>
            <w:pPr>
              <w:spacing w:after="0"/>
              <w:rPr>
                <w:sz w:val="20"/>
                <w:szCs w:val="20"/>
                <w:color w:val="auto"/>
              </w:rPr>
            </w:pPr>
            <w:r>
              <w:rPr>
                <w:rFonts w:ascii="Arial" w:cs="Arial" w:eastAsia="Arial" w:hAnsi="Arial"/>
                <w:sz w:val="18"/>
                <w:szCs w:val="18"/>
                <w:color w:val="auto"/>
              </w:rPr>
              <w:t>Pro-Rata Bonus</w:t>
            </w:r>
          </w:p>
        </w:tc>
        <w:tc>
          <w:tcPr>
            <w:tcW w:w="160" w:type="dxa"/>
            <w:vAlign w:val="bottom"/>
          </w:tcPr>
          <w:p>
            <w:pPr>
              <w:spacing w:after="0"/>
              <w:rPr>
                <w:sz w:val="20"/>
                <w:szCs w:val="20"/>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4,854,553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4,854,553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4,854,553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4,854,553</w:t>
            </w:r>
          </w:p>
        </w:tc>
        <w:tc>
          <w:tcPr>
            <w:tcW w:w="0" w:type="dxa"/>
            <w:vAlign w:val="bottom"/>
          </w:tcPr>
          <w:p>
            <w:pPr>
              <w:spacing w:after="0"/>
              <w:rPr>
                <w:sz w:val="1"/>
                <w:szCs w:val="1"/>
                <w:color w:val="auto"/>
              </w:rPr>
            </w:pPr>
          </w:p>
        </w:tc>
      </w:tr>
      <w:tr>
        <w:trPr>
          <w:trHeight w:val="21"/>
        </w:trPr>
        <w:tc>
          <w:tcPr>
            <w:tcW w:w="880" w:type="dxa"/>
            <w:vAlign w:val="bottom"/>
            <w:shd w:val="clear" w:color="auto" w:fill="355989"/>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00" w:type="dxa"/>
            <w:vAlign w:val="bottom"/>
            <w:shd w:val="clear" w:color="auto" w:fill="355989"/>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3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180" w:type="dxa"/>
            <w:vAlign w:val="bottom"/>
            <w:gridSpan w:val="5"/>
          </w:tcPr>
          <w:p>
            <w:pPr>
              <w:spacing w:after="0"/>
              <w:rPr>
                <w:sz w:val="20"/>
                <w:szCs w:val="20"/>
                <w:color w:val="auto"/>
              </w:rPr>
            </w:pPr>
            <w:r>
              <w:rPr>
                <w:rFonts w:ascii="Arial" w:cs="Arial" w:eastAsia="Arial" w:hAnsi="Arial"/>
                <w:sz w:val="18"/>
                <w:szCs w:val="18"/>
                <w:color w:val="auto"/>
              </w:rPr>
              <w:t>Cash Severance</w:t>
            </w:r>
          </w:p>
        </w:tc>
        <w:tc>
          <w:tcPr>
            <w:tcW w:w="160" w:type="dxa"/>
            <w:vAlign w:val="bottom"/>
          </w:tcPr>
          <w:p>
            <w:pPr>
              <w:spacing w:after="0"/>
              <w:rPr>
                <w:sz w:val="20"/>
                <w:szCs w:val="20"/>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10,237,500</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17,062,500</w:t>
            </w:r>
          </w:p>
        </w:tc>
        <w:tc>
          <w:tcPr>
            <w:tcW w:w="18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6,825,000</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80" w:type="dxa"/>
            <w:vAlign w:val="bottom"/>
            <w:shd w:val="clear" w:color="auto" w:fill="355989"/>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00" w:type="dxa"/>
            <w:vAlign w:val="bottom"/>
            <w:shd w:val="clear" w:color="auto" w:fill="355989"/>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3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5180" w:type="dxa"/>
            <w:vAlign w:val="bottom"/>
            <w:gridSpan w:val="5"/>
          </w:tcPr>
          <w:p>
            <w:pPr>
              <w:spacing w:after="0" w:line="310" w:lineRule="exact"/>
              <w:rPr>
                <w:sz w:val="20"/>
                <w:szCs w:val="20"/>
                <w:color w:val="auto"/>
              </w:rPr>
            </w:pPr>
            <w:r>
              <w:rPr>
                <w:rFonts w:ascii="Arial" w:cs="Arial" w:eastAsia="Arial" w:hAnsi="Arial"/>
                <w:sz w:val="18"/>
                <w:szCs w:val="18"/>
                <w:color w:val="auto"/>
              </w:rPr>
              <w:t>Stock Option / Class O LTIP Unit Vesting</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shd w:val="clear" w:color="auto" w:fill="355989"/>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00" w:type="dxa"/>
            <w:vAlign w:val="bottom"/>
            <w:shd w:val="clear" w:color="auto" w:fill="355989"/>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3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80" w:type="dxa"/>
            <w:vAlign w:val="bottom"/>
            <w:gridSpan w:val="5"/>
          </w:tcPr>
          <w:p>
            <w:pPr>
              <w:spacing w:after="0" w:line="303" w:lineRule="exact"/>
              <w:rPr>
                <w:sz w:val="20"/>
                <w:szCs w:val="20"/>
                <w:color w:val="auto"/>
              </w:rPr>
            </w:pPr>
            <w:r>
              <w:rPr>
                <w:rFonts w:ascii="Arial" w:cs="Arial" w:eastAsia="Arial" w:hAnsi="Arial"/>
                <w:sz w:val="18"/>
                <w:szCs w:val="18"/>
                <w:color w:val="auto"/>
              </w:rPr>
              <w:t>LTIP Unit/Stock Unit Vesting</w:t>
            </w:r>
            <w:r>
              <w:rPr>
                <w:rFonts w:ascii="Arial" w:cs="Arial" w:eastAsia="Arial" w:hAnsi="Arial"/>
                <w:sz w:val="29"/>
                <w:szCs w:val="29"/>
                <w:color w:val="auto"/>
                <w:vertAlign w:val="superscript"/>
              </w:rPr>
              <w:t>(3)</w:t>
            </w:r>
          </w:p>
        </w:tc>
        <w:tc>
          <w:tcPr>
            <w:tcW w:w="160" w:type="dxa"/>
            <w:vAlign w:val="bottom"/>
          </w:tcPr>
          <w:p>
            <w:pPr>
              <w:spacing w:after="0"/>
              <w:rPr>
                <w:sz w:val="24"/>
                <w:szCs w:val="24"/>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4,449,105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5,767,399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4,449,105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4,449,105</w:t>
            </w:r>
          </w:p>
        </w:tc>
        <w:tc>
          <w:tcPr>
            <w:tcW w:w="0" w:type="dxa"/>
            <w:vAlign w:val="bottom"/>
          </w:tcPr>
          <w:p>
            <w:pPr>
              <w:spacing w:after="0"/>
              <w:rPr>
                <w:sz w:val="1"/>
                <w:szCs w:val="1"/>
                <w:color w:val="auto"/>
              </w:rPr>
            </w:pPr>
          </w:p>
        </w:tc>
      </w:tr>
      <w:tr>
        <w:trPr>
          <w:trHeight w:val="20"/>
        </w:trPr>
        <w:tc>
          <w:tcPr>
            <w:tcW w:w="880" w:type="dxa"/>
            <w:vAlign w:val="bottom"/>
            <w:shd w:val="clear" w:color="auto" w:fill="355989"/>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00" w:type="dxa"/>
            <w:vAlign w:val="bottom"/>
            <w:shd w:val="clear" w:color="auto" w:fill="355989"/>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3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80" w:type="dxa"/>
            <w:vAlign w:val="bottom"/>
            <w:gridSpan w:val="5"/>
          </w:tcPr>
          <w:p>
            <w:pPr>
              <w:spacing w:after="0" w:line="303" w:lineRule="exact"/>
              <w:rPr>
                <w:sz w:val="20"/>
                <w:szCs w:val="20"/>
                <w:color w:val="auto"/>
              </w:rPr>
            </w:pPr>
            <w:r>
              <w:rPr>
                <w:rFonts w:ascii="Arial" w:cs="Arial" w:eastAsia="Arial" w:hAnsi="Arial"/>
                <w:sz w:val="18"/>
                <w:szCs w:val="18"/>
                <w:color w:val="auto"/>
              </w:rPr>
              <w:t>Benefits Continuation</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73,605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122,674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147,209</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180" w:type="dxa"/>
            <w:vAlign w:val="bottom"/>
            <w:tcBorders>
              <w:top w:val="single" w:sz="8" w:color="355989"/>
            </w:tcBorders>
            <w:gridSpan w:val="5"/>
          </w:tcPr>
          <w:p>
            <w:pPr>
              <w:spacing w:after="0"/>
              <w:rPr>
                <w:sz w:val="20"/>
                <w:szCs w:val="20"/>
                <w:color w:val="auto"/>
              </w:rPr>
            </w:pPr>
            <w:r>
              <w:rPr>
                <w:rFonts w:ascii="Arial" w:cs="Arial" w:eastAsia="Arial" w:hAnsi="Arial"/>
                <w:sz w:val="13"/>
                <w:szCs w:val="13"/>
                <w:b w:val="1"/>
                <w:bCs w:val="1"/>
                <w:color w:val="355889"/>
              </w:rPr>
              <w:t>Matthew J. DiLiberto</w:t>
            </w:r>
          </w:p>
        </w:tc>
        <w:tc>
          <w:tcPr>
            <w:tcW w:w="160" w:type="dxa"/>
            <w:vAlign w:val="bottom"/>
          </w:tcPr>
          <w:p>
            <w:pPr>
              <w:spacing w:after="0"/>
              <w:rPr>
                <w:sz w:val="24"/>
                <w:szCs w:val="24"/>
                <w:color w:val="auto"/>
              </w:rPr>
            </w:pPr>
          </w:p>
        </w:tc>
        <w:tc>
          <w:tcPr>
            <w:tcW w:w="280" w:type="dxa"/>
            <w:vAlign w:val="bottom"/>
            <w:tcBorders>
              <w:top w:val="single" w:sz="8" w:color="355989"/>
            </w:tcBorders>
          </w:tcPr>
          <w:p>
            <w:pPr>
              <w:spacing w:after="0"/>
              <w:rPr>
                <w:sz w:val="24"/>
                <w:szCs w:val="24"/>
                <w:color w:val="auto"/>
              </w:rPr>
            </w:pPr>
          </w:p>
        </w:tc>
        <w:tc>
          <w:tcPr>
            <w:tcW w:w="1460" w:type="dxa"/>
            <w:vAlign w:val="bottom"/>
            <w:tcBorders>
              <w:top w:val="single" w:sz="8" w:color="355989"/>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355989"/>
            </w:tcBorders>
          </w:tcPr>
          <w:p>
            <w:pPr>
              <w:spacing w:after="0"/>
              <w:rPr>
                <w:sz w:val="24"/>
                <w:szCs w:val="24"/>
                <w:color w:val="auto"/>
              </w:rPr>
            </w:pPr>
          </w:p>
        </w:tc>
        <w:tc>
          <w:tcPr>
            <w:tcW w:w="1400" w:type="dxa"/>
            <w:vAlign w:val="bottom"/>
            <w:tcBorders>
              <w:top w:val="single" w:sz="8" w:color="355989"/>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355989"/>
            </w:tcBorders>
          </w:tcPr>
          <w:p>
            <w:pPr>
              <w:spacing w:after="0"/>
              <w:rPr>
                <w:sz w:val="24"/>
                <w:szCs w:val="24"/>
                <w:color w:val="auto"/>
              </w:rPr>
            </w:pPr>
          </w:p>
        </w:tc>
        <w:tc>
          <w:tcPr>
            <w:tcW w:w="860" w:type="dxa"/>
            <w:vAlign w:val="bottom"/>
            <w:tcBorders>
              <w:top w:val="single" w:sz="8" w:color="355989"/>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355989"/>
            </w:tcBorders>
          </w:tcPr>
          <w:p>
            <w:pPr>
              <w:spacing w:after="0"/>
              <w:rPr>
                <w:sz w:val="24"/>
                <w:szCs w:val="24"/>
                <w:color w:val="auto"/>
              </w:rPr>
            </w:pPr>
          </w:p>
        </w:tc>
        <w:tc>
          <w:tcPr>
            <w:tcW w:w="860" w:type="dxa"/>
            <w:vAlign w:val="bottom"/>
            <w:tcBorders>
              <w:top w:val="single" w:sz="8" w:color="355989"/>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80" w:type="dxa"/>
            <w:vAlign w:val="bottom"/>
            <w:tcBorders>
              <w:top w:val="single" w:sz="8" w:color="355889"/>
            </w:tcBorders>
          </w:tcPr>
          <w:p>
            <w:pPr>
              <w:spacing w:after="0"/>
              <w:rPr>
                <w:sz w:val="17"/>
                <w:szCs w:val="17"/>
                <w:color w:val="auto"/>
              </w:rPr>
            </w:pPr>
          </w:p>
        </w:tc>
        <w:tc>
          <w:tcPr>
            <w:tcW w:w="160" w:type="dxa"/>
            <w:vAlign w:val="bottom"/>
            <w:tcBorders>
              <w:top w:val="single" w:sz="8" w:color="355889"/>
            </w:tcBorders>
          </w:tcPr>
          <w:p>
            <w:pPr>
              <w:spacing w:after="0"/>
              <w:rPr>
                <w:sz w:val="17"/>
                <w:szCs w:val="17"/>
                <w:color w:val="auto"/>
              </w:rPr>
            </w:pPr>
          </w:p>
        </w:tc>
        <w:tc>
          <w:tcPr>
            <w:tcW w:w="100" w:type="dxa"/>
            <w:vAlign w:val="bottom"/>
            <w:tcBorders>
              <w:top w:val="single" w:sz="8" w:color="355889"/>
            </w:tcBorders>
          </w:tcPr>
          <w:p>
            <w:pPr>
              <w:spacing w:after="0"/>
              <w:rPr>
                <w:sz w:val="17"/>
                <w:szCs w:val="17"/>
                <w:color w:val="auto"/>
              </w:rPr>
            </w:pPr>
          </w:p>
        </w:tc>
        <w:tc>
          <w:tcPr>
            <w:tcW w:w="180" w:type="dxa"/>
            <w:vAlign w:val="bottom"/>
            <w:tcBorders>
              <w:top w:val="single" w:sz="8" w:color="355889"/>
            </w:tcBorders>
          </w:tcPr>
          <w:p>
            <w:pPr>
              <w:spacing w:after="0"/>
              <w:rPr>
                <w:sz w:val="17"/>
                <w:szCs w:val="17"/>
                <w:color w:val="auto"/>
              </w:rPr>
            </w:pPr>
          </w:p>
        </w:tc>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Termination without</w:t>
            </w:r>
          </w:p>
        </w:tc>
        <w:tc>
          <w:tcPr>
            <w:tcW w:w="16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Termination</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180" w:type="dxa"/>
            <w:vAlign w:val="bottom"/>
            <w:gridSpan w:val="5"/>
          </w:tcPr>
          <w:p>
            <w:pPr>
              <w:spacing w:after="0"/>
              <w:rPr>
                <w:sz w:val="20"/>
                <w:szCs w:val="20"/>
                <w:color w:val="auto"/>
              </w:rPr>
            </w:pPr>
            <w:r>
              <w:rPr>
                <w:rFonts w:ascii="Arial" w:cs="Arial" w:eastAsia="Arial" w:hAnsi="Arial"/>
                <w:sz w:val="13"/>
                <w:szCs w:val="13"/>
                <w:b w:val="1"/>
                <w:bCs w:val="1"/>
                <w:color w:val="355889"/>
              </w:rPr>
              <w:t>Payment/Benefit</w:t>
            </w:r>
          </w:p>
        </w:tc>
        <w:tc>
          <w:tcPr>
            <w:tcW w:w="160" w:type="dxa"/>
            <w:vAlign w:val="bottom"/>
          </w:tcPr>
          <w:p>
            <w:pPr>
              <w:spacing w:after="0"/>
              <w:rPr>
                <w:sz w:val="16"/>
                <w:szCs w:val="16"/>
                <w:color w:val="auto"/>
              </w:rPr>
            </w:pPr>
          </w:p>
        </w:tc>
        <w:tc>
          <w:tcPr>
            <w:tcW w:w="19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355889"/>
              </w:rPr>
              <w:t>Cause or for Good Reason</w:t>
            </w:r>
          </w:p>
        </w:tc>
        <w:tc>
          <w:tcPr>
            <w:tcW w:w="16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w/ Change in Control</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Disability</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355889"/>
              </w:rPr>
              <w:t>Death</w:t>
            </w:r>
          </w:p>
        </w:tc>
        <w:tc>
          <w:tcPr>
            <w:tcW w:w="0" w:type="dxa"/>
            <w:vAlign w:val="bottom"/>
          </w:tcPr>
          <w:p>
            <w:pPr>
              <w:spacing w:after="0"/>
              <w:rPr>
                <w:sz w:val="1"/>
                <w:szCs w:val="1"/>
                <w:color w:val="auto"/>
              </w:rPr>
            </w:pPr>
          </w:p>
        </w:tc>
      </w:tr>
      <w:tr>
        <w:trPr>
          <w:trHeight w:val="34"/>
        </w:trPr>
        <w:tc>
          <w:tcPr>
            <w:tcW w:w="880" w:type="dxa"/>
            <w:vAlign w:val="bottom"/>
            <w:shd w:val="clear" w:color="auto" w:fill="355989"/>
          </w:tcPr>
          <w:p>
            <w:pPr>
              <w:spacing w:after="0"/>
              <w:rPr>
                <w:sz w:val="2"/>
                <w:szCs w:val="2"/>
                <w:color w:val="auto"/>
              </w:rPr>
            </w:pPr>
          </w:p>
        </w:tc>
        <w:tc>
          <w:tcPr>
            <w:tcW w:w="160" w:type="dxa"/>
            <w:vAlign w:val="bottom"/>
            <w:shd w:val="clear" w:color="auto" w:fill="355989"/>
          </w:tcPr>
          <w:p>
            <w:pPr>
              <w:spacing w:after="0"/>
              <w:rPr>
                <w:sz w:val="2"/>
                <w:szCs w:val="2"/>
                <w:color w:val="auto"/>
              </w:rPr>
            </w:pPr>
          </w:p>
        </w:tc>
        <w:tc>
          <w:tcPr>
            <w:tcW w:w="100" w:type="dxa"/>
            <w:vAlign w:val="bottom"/>
            <w:shd w:val="clear" w:color="auto" w:fill="355989"/>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38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355989"/>
          </w:tcPr>
          <w:p>
            <w:pPr>
              <w:spacing w:after="0"/>
              <w:rPr>
                <w:sz w:val="2"/>
                <w:szCs w:val="2"/>
                <w:color w:val="auto"/>
              </w:rPr>
            </w:pPr>
          </w:p>
        </w:tc>
        <w:tc>
          <w:tcPr>
            <w:tcW w:w="14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355989"/>
          </w:tcPr>
          <w:p>
            <w:pPr>
              <w:spacing w:after="0"/>
              <w:rPr>
                <w:sz w:val="2"/>
                <w:szCs w:val="2"/>
                <w:color w:val="auto"/>
              </w:rPr>
            </w:pPr>
          </w:p>
        </w:tc>
        <w:tc>
          <w:tcPr>
            <w:tcW w:w="1400" w:type="dxa"/>
            <w:vAlign w:val="bottom"/>
            <w:shd w:val="clear" w:color="auto" w:fill="355989"/>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8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355989"/>
          </w:tcPr>
          <w:p>
            <w:pPr>
              <w:spacing w:after="0"/>
              <w:rPr>
                <w:sz w:val="2"/>
                <w:szCs w:val="2"/>
                <w:color w:val="auto"/>
              </w:rPr>
            </w:pPr>
          </w:p>
        </w:tc>
        <w:tc>
          <w:tcPr>
            <w:tcW w:w="860" w:type="dxa"/>
            <w:vAlign w:val="bottom"/>
            <w:shd w:val="clear" w:color="auto" w:fill="3559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180" w:type="dxa"/>
            <w:vAlign w:val="bottom"/>
            <w:gridSpan w:val="5"/>
          </w:tcPr>
          <w:p>
            <w:pPr>
              <w:spacing w:after="0"/>
              <w:rPr>
                <w:sz w:val="20"/>
                <w:szCs w:val="20"/>
                <w:color w:val="auto"/>
              </w:rPr>
            </w:pPr>
            <w:r>
              <w:rPr>
                <w:rFonts w:ascii="Arial" w:cs="Arial" w:eastAsia="Arial" w:hAnsi="Arial"/>
                <w:sz w:val="18"/>
                <w:szCs w:val="18"/>
                <w:color w:val="auto"/>
              </w:rPr>
              <w:t>Pro-Rata Bonus</w:t>
            </w:r>
          </w:p>
        </w:tc>
        <w:tc>
          <w:tcPr>
            <w:tcW w:w="160" w:type="dxa"/>
            <w:vAlign w:val="bottom"/>
          </w:tcPr>
          <w:p>
            <w:pPr>
              <w:spacing w:after="0"/>
              <w:rPr>
                <w:sz w:val="20"/>
                <w:szCs w:val="20"/>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1,950,000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1,950,000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1,950,000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1,950,000</w:t>
            </w:r>
          </w:p>
        </w:tc>
        <w:tc>
          <w:tcPr>
            <w:tcW w:w="0" w:type="dxa"/>
            <w:vAlign w:val="bottom"/>
          </w:tcPr>
          <w:p>
            <w:pPr>
              <w:spacing w:after="0"/>
              <w:rPr>
                <w:sz w:val="1"/>
                <w:szCs w:val="1"/>
                <w:color w:val="auto"/>
              </w:rPr>
            </w:pPr>
          </w:p>
        </w:tc>
      </w:tr>
      <w:tr>
        <w:trPr>
          <w:trHeight w:val="21"/>
        </w:trPr>
        <w:tc>
          <w:tcPr>
            <w:tcW w:w="880" w:type="dxa"/>
            <w:vAlign w:val="bottom"/>
            <w:shd w:val="clear" w:color="auto" w:fill="355989"/>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00" w:type="dxa"/>
            <w:vAlign w:val="bottom"/>
            <w:shd w:val="clear" w:color="auto" w:fill="355989"/>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3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180" w:type="dxa"/>
            <w:vAlign w:val="bottom"/>
            <w:gridSpan w:val="5"/>
          </w:tcPr>
          <w:p>
            <w:pPr>
              <w:spacing w:after="0"/>
              <w:rPr>
                <w:sz w:val="20"/>
                <w:szCs w:val="20"/>
                <w:color w:val="auto"/>
              </w:rPr>
            </w:pPr>
            <w:r>
              <w:rPr>
                <w:rFonts w:ascii="Arial" w:cs="Arial" w:eastAsia="Arial" w:hAnsi="Arial"/>
                <w:sz w:val="18"/>
                <w:szCs w:val="18"/>
                <w:color w:val="auto"/>
              </w:rPr>
              <w:t>Cash Severance</w:t>
            </w:r>
          </w:p>
        </w:tc>
        <w:tc>
          <w:tcPr>
            <w:tcW w:w="160" w:type="dxa"/>
            <w:vAlign w:val="bottom"/>
          </w:tcPr>
          <w:p>
            <w:pPr>
              <w:spacing w:after="0"/>
              <w:rPr>
                <w:sz w:val="20"/>
                <w:szCs w:val="20"/>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2,500,000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5,000,000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2,500,000</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80" w:type="dxa"/>
            <w:vAlign w:val="bottom"/>
            <w:shd w:val="clear" w:color="auto" w:fill="355989"/>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00" w:type="dxa"/>
            <w:vAlign w:val="bottom"/>
            <w:shd w:val="clear" w:color="auto" w:fill="355989"/>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3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5180" w:type="dxa"/>
            <w:vAlign w:val="bottom"/>
            <w:gridSpan w:val="5"/>
          </w:tcPr>
          <w:p>
            <w:pPr>
              <w:spacing w:after="0" w:line="310" w:lineRule="exact"/>
              <w:rPr>
                <w:sz w:val="20"/>
                <w:szCs w:val="20"/>
                <w:color w:val="auto"/>
              </w:rPr>
            </w:pPr>
            <w:r>
              <w:rPr>
                <w:rFonts w:ascii="Arial" w:cs="Arial" w:eastAsia="Arial" w:hAnsi="Arial"/>
                <w:sz w:val="18"/>
                <w:szCs w:val="18"/>
                <w:color w:val="auto"/>
              </w:rPr>
              <w:t>Stock Option / Class O LTIP Unit Vesting</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shd w:val="clear" w:color="auto" w:fill="355989"/>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00" w:type="dxa"/>
            <w:vAlign w:val="bottom"/>
            <w:shd w:val="clear" w:color="auto" w:fill="355989"/>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3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80" w:type="dxa"/>
            <w:vAlign w:val="bottom"/>
            <w:gridSpan w:val="5"/>
          </w:tcPr>
          <w:p>
            <w:pPr>
              <w:spacing w:after="0" w:line="303" w:lineRule="exact"/>
              <w:rPr>
                <w:sz w:val="20"/>
                <w:szCs w:val="20"/>
                <w:color w:val="auto"/>
              </w:rPr>
            </w:pPr>
            <w:r>
              <w:rPr>
                <w:rFonts w:ascii="Arial" w:cs="Arial" w:eastAsia="Arial" w:hAnsi="Arial"/>
                <w:sz w:val="18"/>
                <w:szCs w:val="18"/>
                <w:color w:val="auto"/>
              </w:rPr>
              <w:t>LTIP Unit/Stock Unit Vesting</w:t>
            </w:r>
            <w:r>
              <w:rPr>
                <w:rFonts w:ascii="Arial" w:cs="Arial" w:eastAsia="Arial" w:hAnsi="Arial"/>
                <w:sz w:val="29"/>
                <w:szCs w:val="29"/>
                <w:color w:val="auto"/>
                <w:vertAlign w:val="superscript"/>
              </w:rPr>
              <w:t>(3)</w:t>
            </w:r>
          </w:p>
        </w:tc>
        <w:tc>
          <w:tcPr>
            <w:tcW w:w="160" w:type="dxa"/>
            <w:vAlign w:val="bottom"/>
          </w:tcPr>
          <w:p>
            <w:pPr>
              <w:spacing w:after="0"/>
              <w:rPr>
                <w:sz w:val="24"/>
                <w:szCs w:val="24"/>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1,895,990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2,438,534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903,826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903,826</w:t>
            </w:r>
          </w:p>
        </w:tc>
        <w:tc>
          <w:tcPr>
            <w:tcW w:w="0" w:type="dxa"/>
            <w:vAlign w:val="bottom"/>
          </w:tcPr>
          <w:p>
            <w:pPr>
              <w:spacing w:after="0"/>
              <w:rPr>
                <w:sz w:val="1"/>
                <w:szCs w:val="1"/>
                <w:color w:val="auto"/>
              </w:rPr>
            </w:pPr>
          </w:p>
        </w:tc>
      </w:tr>
      <w:tr>
        <w:trPr>
          <w:trHeight w:val="20"/>
        </w:trPr>
        <w:tc>
          <w:tcPr>
            <w:tcW w:w="880" w:type="dxa"/>
            <w:vAlign w:val="bottom"/>
            <w:shd w:val="clear" w:color="auto" w:fill="355989"/>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00" w:type="dxa"/>
            <w:vAlign w:val="bottom"/>
            <w:shd w:val="clear" w:color="auto" w:fill="355989"/>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3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80" w:type="dxa"/>
            <w:vAlign w:val="bottom"/>
            <w:gridSpan w:val="5"/>
          </w:tcPr>
          <w:p>
            <w:pPr>
              <w:spacing w:after="0" w:line="303" w:lineRule="exact"/>
              <w:rPr>
                <w:sz w:val="20"/>
                <w:szCs w:val="20"/>
                <w:color w:val="auto"/>
              </w:rPr>
            </w:pPr>
            <w:r>
              <w:rPr>
                <w:rFonts w:ascii="Arial" w:cs="Arial" w:eastAsia="Arial" w:hAnsi="Arial"/>
                <w:sz w:val="18"/>
                <w:szCs w:val="18"/>
                <w:color w:val="auto"/>
              </w:rPr>
              <w:t>Benefits Continuation</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16,046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32,093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48,139</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180" w:type="dxa"/>
            <w:vAlign w:val="bottom"/>
            <w:tcBorders>
              <w:top w:val="single" w:sz="8" w:color="355989"/>
            </w:tcBorders>
            <w:gridSpan w:val="5"/>
          </w:tcPr>
          <w:p>
            <w:pPr>
              <w:spacing w:after="0"/>
              <w:rPr>
                <w:sz w:val="20"/>
                <w:szCs w:val="20"/>
                <w:color w:val="auto"/>
              </w:rPr>
            </w:pPr>
            <w:r>
              <w:rPr>
                <w:rFonts w:ascii="Arial" w:cs="Arial" w:eastAsia="Arial" w:hAnsi="Arial"/>
                <w:sz w:val="13"/>
                <w:szCs w:val="13"/>
                <w:b w:val="1"/>
                <w:bCs w:val="1"/>
                <w:color w:val="355889"/>
              </w:rPr>
              <w:t>Andrew S. Levine</w:t>
            </w:r>
          </w:p>
        </w:tc>
        <w:tc>
          <w:tcPr>
            <w:tcW w:w="160" w:type="dxa"/>
            <w:vAlign w:val="bottom"/>
          </w:tcPr>
          <w:p>
            <w:pPr>
              <w:spacing w:after="0"/>
              <w:rPr>
                <w:sz w:val="24"/>
                <w:szCs w:val="24"/>
                <w:color w:val="auto"/>
              </w:rPr>
            </w:pPr>
          </w:p>
        </w:tc>
        <w:tc>
          <w:tcPr>
            <w:tcW w:w="280" w:type="dxa"/>
            <w:vAlign w:val="bottom"/>
            <w:tcBorders>
              <w:top w:val="single" w:sz="8" w:color="355989"/>
            </w:tcBorders>
          </w:tcPr>
          <w:p>
            <w:pPr>
              <w:spacing w:after="0"/>
              <w:rPr>
                <w:sz w:val="24"/>
                <w:szCs w:val="24"/>
                <w:color w:val="auto"/>
              </w:rPr>
            </w:pPr>
          </w:p>
        </w:tc>
        <w:tc>
          <w:tcPr>
            <w:tcW w:w="1460" w:type="dxa"/>
            <w:vAlign w:val="bottom"/>
            <w:tcBorders>
              <w:top w:val="single" w:sz="8" w:color="355989"/>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355989"/>
            </w:tcBorders>
          </w:tcPr>
          <w:p>
            <w:pPr>
              <w:spacing w:after="0"/>
              <w:rPr>
                <w:sz w:val="24"/>
                <w:szCs w:val="24"/>
                <w:color w:val="auto"/>
              </w:rPr>
            </w:pPr>
          </w:p>
        </w:tc>
        <w:tc>
          <w:tcPr>
            <w:tcW w:w="1400" w:type="dxa"/>
            <w:vAlign w:val="bottom"/>
            <w:tcBorders>
              <w:top w:val="single" w:sz="8" w:color="355989"/>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355989"/>
            </w:tcBorders>
          </w:tcPr>
          <w:p>
            <w:pPr>
              <w:spacing w:after="0"/>
              <w:rPr>
                <w:sz w:val="24"/>
                <w:szCs w:val="24"/>
                <w:color w:val="auto"/>
              </w:rPr>
            </w:pPr>
          </w:p>
        </w:tc>
        <w:tc>
          <w:tcPr>
            <w:tcW w:w="860" w:type="dxa"/>
            <w:vAlign w:val="bottom"/>
            <w:tcBorders>
              <w:top w:val="single" w:sz="8" w:color="355989"/>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355989"/>
            </w:tcBorders>
          </w:tcPr>
          <w:p>
            <w:pPr>
              <w:spacing w:after="0"/>
              <w:rPr>
                <w:sz w:val="24"/>
                <w:szCs w:val="24"/>
                <w:color w:val="auto"/>
              </w:rPr>
            </w:pPr>
          </w:p>
        </w:tc>
        <w:tc>
          <w:tcPr>
            <w:tcW w:w="860" w:type="dxa"/>
            <w:vAlign w:val="bottom"/>
            <w:tcBorders>
              <w:top w:val="single" w:sz="8" w:color="355989"/>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80" w:type="dxa"/>
            <w:vAlign w:val="bottom"/>
            <w:tcBorders>
              <w:top w:val="single" w:sz="8" w:color="355889"/>
            </w:tcBorders>
          </w:tcPr>
          <w:p>
            <w:pPr>
              <w:spacing w:after="0"/>
              <w:rPr>
                <w:sz w:val="17"/>
                <w:szCs w:val="17"/>
                <w:color w:val="auto"/>
              </w:rPr>
            </w:pPr>
          </w:p>
        </w:tc>
        <w:tc>
          <w:tcPr>
            <w:tcW w:w="160" w:type="dxa"/>
            <w:vAlign w:val="bottom"/>
            <w:tcBorders>
              <w:top w:val="single" w:sz="8" w:color="355889"/>
            </w:tcBorders>
          </w:tcPr>
          <w:p>
            <w:pPr>
              <w:spacing w:after="0"/>
              <w:rPr>
                <w:sz w:val="17"/>
                <w:szCs w:val="17"/>
                <w:color w:val="auto"/>
              </w:rPr>
            </w:pPr>
          </w:p>
        </w:tc>
        <w:tc>
          <w:tcPr>
            <w:tcW w:w="100" w:type="dxa"/>
            <w:vAlign w:val="bottom"/>
            <w:tcBorders>
              <w:top w:val="single" w:sz="8" w:color="355889"/>
            </w:tcBorders>
          </w:tcPr>
          <w:p>
            <w:pPr>
              <w:spacing w:after="0"/>
              <w:rPr>
                <w:sz w:val="17"/>
                <w:szCs w:val="17"/>
                <w:color w:val="auto"/>
              </w:rPr>
            </w:pPr>
          </w:p>
        </w:tc>
        <w:tc>
          <w:tcPr>
            <w:tcW w:w="1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Termination without</w:t>
            </w:r>
          </w:p>
        </w:tc>
        <w:tc>
          <w:tcPr>
            <w:tcW w:w="16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Termination</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180" w:type="dxa"/>
            <w:vAlign w:val="bottom"/>
            <w:gridSpan w:val="5"/>
          </w:tcPr>
          <w:p>
            <w:pPr>
              <w:spacing w:after="0"/>
              <w:rPr>
                <w:sz w:val="20"/>
                <w:szCs w:val="20"/>
                <w:color w:val="auto"/>
              </w:rPr>
            </w:pPr>
            <w:r>
              <w:rPr>
                <w:rFonts w:ascii="Arial" w:cs="Arial" w:eastAsia="Arial" w:hAnsi="Arial"/>
                <w:sz w:val="13"/>
                <w:szCs w:val="13"/>
                <w:b w:val="1"/>
                <w:bCs w:val="1"/>
                <w:color w:val="355889"/>
              </w:rPr>
              <w:t>Payment/Benefit</w:t>
            </w:r>
          </w:p>
        </w:tc>
        <w:tc>
          <w:tcPr>
            <w:tcW w:w="160" w:type="dxa"/>
            <w:vAlign w:val="bottom"/>
          </w:tcPr>
          <w:p>
            <w:pPr>
              <w:spacing w:after="0"/>
              <w:rPr>
                <w:sz w:val="16"/>
                <w:szCs w:val="16"/>
                <w:color w:val="auto"/>
              </w:rPr>
            </w:pPr>
          </w:p>
        </w:tc>
        <w:tc>
          <w:tcPr>
            <w:tcW w:w="19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355889"/>
              </w:rPr>
              <w:t>Cause or for Good Reason</w:t>
            </w:r>
          </w:p>
        </w:tc>
        <w:tc>
          <w:tcPr>
            <w:tcW w:w="16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w/ Change in Control</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Disability</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355889"/>
              </w:rPr>
              <w:t>Death</w:t>
            </w:r>
          </w:p>
        </w:tc>
        <w:tc>
          <w:tcPr>
            <w:tcW w:w="0" w:type="dxa"/>
            <w:vAlign w:val="bottom"/>
          </w:tcPr>
          <w:p>
            <w:pPr>
              <w:spacing w:after="0"/>
              <w:rPr>
                <w:sz w:val="1"/>
                <w:szCs w:val="1"/>
                <w:color w:val="auto"/>
              </w:rPr>
            </w:pPr>
          </w:p>
        </w:tc>
      </w:tr>
      <w:tr>
        <w:trPr>
          <w:trHeight w:val="34"/>
        </w:trPr>
        <w:tc>
          <w:tcPr>
            <w:tcW w:w="880" w:type="dxa"/>
            <w:vAlign w:val="bottom"/>
            <w:shd w:val="clear" w:color="auto" w:fill="355989"/>
          </w:tcPr>
          <w:p>
            <w:pPr>
              <w:spacing w:after="0"/>
              <w:rPr>
                <w:sz w:val="2"/>
                <w:szCs w:val="2"/>
                <w:color w:val="auto"/>
              </w:rPr>
            </w:pPr>
          </w:p>
        </w:tc>
        <w:tc>
          <w:tcPr>
            <w:tcW w:w="160" w:type="dxa"/>
            <w:vAlign w:val="bottom"/>
            <w:shd w:val="clear" w:color="auto" w:fill="355989"/>
          </w:tcPr>
          <w:p>
            <w:pPr>
              <w:spacing w:after="0"/>
              <w:rPr>
                <w:sz w:val="2"/>
                <w:szCs w:val="2"/>
                <w:color w:val="auto"/>
              </w:rPr>
            </w:pPr>
          </w:p>
        </w:tc>
        <w:tc>
          <w:tcPr>
            <w:tcW w:w="100" w:type="dxa"/>
            <w:vAlign w:val="bottom"/>
            <w:shd w:val="clear" w:color="auto" w:fill="355989"/>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38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355989"/>
          </w:tcPr>
          <w:p>
            <w:pPr>
              <w:spacing w:after="0"/>
              <w:rPr>
                <w:sz w:val="2"/>
                <w:szCs w:val="2"/>
                <w:color w:val="auto"/>
              </w:rPr>
            </w:pPr>
          </w:p>
        </w:tc>
        <w:tc>
          <w:tcPr>
            <w:tcW w:w="14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355989"/>
          </w:tcPr>
          <w:p>
            <w:pPr>
              <w:spacing w:after="0"/>
              <w:rPr>
                <w:sz w:val="2"/>
                <w:szCs w:val="2"/>
                <w:color w:val="auto"/>
              </w:rPr>
            </w:pPr>
          </w:p>
        </w:tc>
        <w:tc>
          <w:tcPr>
            <w:tcW w:w="1400" w:type="dxa"/>
            <w:vAlign w:val="bottom"/>
            <w:shd w:val="clear" w:color="auto" w:fill="355989"/>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8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355989"/>
          </w:tcPr>
          <w:p>
            <w:pPr>
              <w:spacing w:after="0"/>
              <w:rPr>
                <w:sz w:val="2"/>
                <w:szCs w:val="2"/>
                <w:color w:val="auto"/>
              </w:rPr>
            </w:pPr>
          </w:p>
        </w:tc>
        <w:tc>
          <w:tcPr>
            <w:tcW w:w="860" w:type="dxa"/>
            <w:vAlign w:val="bottom"/>
            <w:shd w:val="clear" w:color="auto" w:fill="3559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180" w:type="dxa"/>
            <w:vAlign w:val="bottom"/>
            <w:gridSpan w:val="5"/>
          </w:tcPr>
          <w:p>
            <w:pPr>
              <w:spacing w:after="0"/>
              <w:rPr>
                <w:sz w:val="20"/>
                <w:szCs w:val="20"/>
                <w:color w:val="auto"/>
              </w:rPr>
            </w:pPr>
            <w:r>
              <w:rPr>
                <w:rFonts w:ascii="Arial" w:cs="Arial" w:eastAsia="Arial" w:hAnsi="Arial"/>
                <w:sz w:val="18"/>
                <w:szCs w:val="18"/>
                <w:color w:val="auto"/>
              </w:rPr>
              <w:t>Pro-Rata Bonus</w:t>
            </w:r>
          </w:p>
        </w:tc>
        <w:tc>
          <w:tcPr>
            <w:tcW w:w="160" w:type="dxa"/>
            <w:vAlign w:val="bottom"/>
          </w:tcPr>
          <w:p>
            <w:pPr>
              <w:spacing w:after="0"/>
              <w:rPr>
                <w:sz w:val="20"/>
                <w:szCs w:val="20"/>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1,312,500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1,312,500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1,312,500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1,312,500</w:t>
            </w:r>
          </w:p>
        </w:tc>
        <w:tc>
          <w:tcPr>
            <w:tcW w:w="0" w:type="dxa"/>
            <w:vAlign w:val="bottom"/>
          </w:tcPr>
          <w:p>
            <w:pPr>
              <w:spacing w:after="0"/>
              <w:rPr>
                <w:sz w:val="1"/>
                <w:szCs w:val="1"/>
                <w:color w:val="auto"/>
              </w:rPr>
            </w:pPr>
          </w:p>
        </w:tc>
      </w:tr>
      <w:tr>
        <w:trPr>
          <w:trHeight w:val="21"/>
        </w:trPr>
        <w:tc>
          <w:tcPr>
            <w:tcW w:w="880" w:type="dxa"/>
            <w:vAlign w:val="bottom"/>
            <w:shd w:val="clear" w:color="auto" w:fill="355989"/>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00" w:type="dxa"/>
            <w:vAlign w:val="bottom"/>
            <w:shd w:val="clear" w:color="auto" w:fill="355989"/>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3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180" w:type="dxa"/>
            <w:vAlign w:val="bottom"/>
            <w:gridSpan w:val="5"/>
          </w:tcPr>
          <w:p>
            <w:pPr>
              <w:spacing w:after="0"/>
              <w:rPr>
                <w:sz w:val="20"/>
                <w:szCs w:val="20"/>
                <w:color w:val="auto"/>
              </w:rPr>
            </w:pPr>
            <w:r>
              <w:rPr>
                <w:rFonts w:ascii="Arial" w:cs="Arial" w:eastAsia="Arial" w:hAnsi="Arial"/>
                <w:sz w:val="18"/>
                <w:szCs w:val="18"/>
                <w:color w:val="auto"/>
              </w:rPr>
              <w:t>Cash Severance</w:t>
            </w:r>
          </w:p>
        </w:tc>
        <w:tc>
          <w:tcPr>
            <w:tcW w:w="160" w:type="dxa"/>
            <w:vAlign w:val="bottom"/>
          </w:tcPr>
          <w:p>
            <w:pPr>
              <w:spacing w:after="0"/>
              <w:rPr>
                <w:sz w:val="20"/>
                <w:szCs w:val="20"/>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4,492,500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6,385,000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3,192,500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1,300,000</w:t>
            </w:r>
          </w:p>
        </w:tc>
        <w:tc>
          <w:tcPr>
            <w:tcW w:w="0" w:type="dxa"/>
            <w:vAlign w:val="bottom"/>
          </w:tcPr>
          <w:p>
            <w:pPr>
              <w:spacing w:after="0"/>
              <w:rPr>
                <w:sz w:val="1"/>
                <w:szCs w:val="1"/>
                <w:color w:val="auto"/>
              </w:rPr>
            </w:pPr>
          </w:p>
        </w:tc>
      </w:tr>
      <w:tr>
        <w:trPr>
          <w:trHeight w:val="21"/>
        </w:trPr>
        <w:tc>
          <w:tcPr>
            <w:tcW w:w="880" w:type="dxa"/>
            <w:vAlign w:val="bottom"/>
            <w:shd w:val="clear" w:color="auto" w:fill="355989"/>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00" w:type="dxa"/>
            <w:vAlign w:val="bottom"/>
            <w:shd w:val="clear" w:color="auto" w:fill="355989"/>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3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80" w:type="dxa"/>
            <w:vAlign w:val="bottom"/>
            <w:gridSpan w:val="5"/>
          </w:tcPr>
          <w:p>
            <w:pPr>
              <w:spacing w:after="0" w:line="310" w:lineRule="exact"/>
              <w:rPr>
                <w:sz w:val="20"/>
                <w:szCs w:val="20"/>
                <w:color w:val="auto"/>
              </w:rPr>
            </w:pPr>
            <w:r>
              <w:rPr>
                <w:rFonts w:ascii="Arial" w:cs="Arial" w:eastAsia="Arial" w:hAnsi="Arial"/>
                <w:sz w:val="18"/>
                <w:szCs w:val="18"/>
                <w:color w:val="auto"/>
              </w:rPr>
              <w:t>Stock Option / Class O LTIP Unit Vesting</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shd w:val="clear" w:color="auto" w:fill="355989"/>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00" w:type="dxa"/>
            <w:vAlign w:val="bottom"/>
            <w:shd w:val="clear" w:color="auto" w:fill="355989"/>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3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80" w:type="dxa"/>
            <w:vAlign w:val="bottom"/>
            <w:gridSpan w:val="5"/>
          </w:tcPr>
          <w:p>
            <w:pPr>
              <w:spacing w:after="0" w:line="303" w:lineRule="exact"/>
              <w:rPr>
                <w:sz w:val="20"/>
                <w:szCs w:val="20"/>
                <w:color w:val="auto"/>
              </w:rPr>
            </w:pPr>
            <w:r>
              <w:rPr>
                <w:rFonts w:ascii="Arial" w:cs="Arial" w:eastAsia="Arial" w:hAnsi="Arial"/>
                <w:sz w:val="18"/>
                <w:szCs w:val="18"/>
                <w:color w:val="auto"/>
              </w:rPr>
              <w:t>LTIP Unit/Stock Unit Vesting</w:t>
            </w:r>
            <w:r>
              <w:rPr>
                <w:rFonts w:ascii="Arial" w:cs="Arial" w:eastAsia="Arial" w:hAnsi="Arial"/>
                <w:sz w:val="29"/>
                <w:szCs w:val="29"/>
                <w:color w:val="auto"/>
                <w:vertAlign w:val="superscript"/>
              </w:rPr>
              <w:t>(3)</w:t>
            </w:r>
          </w:p>
        </w:tc>
        <w:tc>
          <w:tcPr>
            <w:tcW w:w="160" w:type="dxa"/>
            <w:vAlign w:val="bottom"/>
          </w:tcPr>
          <w:p>
            <w:pPr>
              <w:spacing w:after="0"/>
              <w:rPr>
                <w:sz w:val="24"/>
                <w:szCs w:val="24"/>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1,467,875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2,001,918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1,467,875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1,467,875</w:t>
            </w:r>
          </w:p>
        </w:tc>
        <w:tc>
          <w:tcPr>
            <w:tcW w:w="0" w:type="dxa"/>
            <w:vAlign w:val="bottom"/>
          </w:tcPr>
          <w:p>
            <w:pPr>
              <w:spacing w:after="0"/>
              <w:rPr>
                <w:sz w:val="1"/>
                <w:szCs w:val="1"/>
                <w:color w:val="auto"/>
              </w:rPr>
            </w:pPr>
          </w:p>
        </w:tc>
      </w:tr>
      <w:tr>
        <w:trPr>
          <w:trHeight w:val="20"/>
        </w:trPr>
        <w:tc>
          <w:tcPr>
            <w:tcW w:w="880" w:type="dxa"/>
            <w:vAlign w:val="bottom"/>
            <w:shd w:val="clear" w:color="auto" w:fill="355989"/>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00" w:type="dxa"/>
            <w:vAlign w:val="bottom"/>
            <w:shd w:val="clear" w:color="auto" w:fill="355989"/>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3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355989"/>
          </w:tcPr>
          <w:p>
            <w:pPr>
              <w:spacing w:after="0" w:line="20" w:lineRule="exact"/>
              <w:rPr>
                <w:sz w:val="1"/>
                <w:szCs w:val="1"/>
                <w:color w:val="auto"/>
              </w:rPr>
            </w:pPr>
          </w:p>
        </w:tc>
        <w:tc>
          <w:tcPr>
            <w:tcW w:w="14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55989"/>
          </w:tcPr>
          <w:p>
            <w:pPr>
              <w:spacing w:after="0" w:line="20" w:lineRule="exact"/>
              <w:rPr>
                <w:sz w:val="1"/>
                <w:szCs w:val="1"/>
                <w:color w:val="auto"/>
              </w:rPr>
            </w:pPr>
          </w:p>
        </w:tc>
        <w:tc>
          <w:tcPr>
            <w:tcW w:w="1400" w:type="dxa"/>
            <w:vAlign w:val="bottom"/>
            <w:shd w:val="clear" w:color="auto" w:fill="35598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355989"/>
          </w:tcPr>
          <w:p>
            <w:pPr>
              <w:spacing w:after="0" w:line="20" w:lineRule="exact"/>
              <w:rPr>
                <w:sz w:val="1"/>
                <w:szCs w:val="1"/>
                <w:color w:val="auto"/>
              </w:rPr>
            </w:pPr>
          </w:p>
        </w:tc>
        <w:tc>
          <w:tcPr>
            <w:tcW w:w="860" w:type="dxa"/>
            <w:vAlign w:val="bottom"/>
            <w:shd w:val="clear" w:color="auto" w:fill="3559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80" w:type="dxa"/>
            <w:vAlign w:val="bottom"/>
            <w:gridSpan w:val="5"/>
          </w:tcPr>
          <w:p>
            <w:pPr>
              <w:spacing w:after="0" w:line="303" w:lineRule="exact"/>
              <w:rPr>
                <w:sz w:val="20"/>
                <w:szCs w:val="20"/>
                <w:color w:val="auto"/>
              </w:rPr>
            </w:pPr>
            <w:r>
              <w:rPr>
                <w:rFonts w:ascii="Arial" w:cs="Arial" w:eastAsia="Arial" w:hAnsi="Arial"/>
                <w:sz w:val="18"/>
                <w:szCs w:val="18"/>
                <w:color w:val="auto"/>
              </w:rPr>
              <w:t>Benefits Continuation</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49,070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98,139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147,209</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shd w:val="clear" w:color="auto" w:fill="355989"/>
          </w:tcPr>
          <w:p>
            <w:pPr>
              <w:spacing w:after="0"/>
              <w:rPr>
                <w:sz w:val="2"/>
                <w:szCs w:val="2"/>
                <w:color w:val="auto"/>
              </w:rPr>
            </w:pPr>
          </w:p>
        </w:tc>
        <w:tc>
          <w:tcPr>
            <w:tcW w:w="160" w:type="dxa"/>
            <w:vAlign w:val="bottom"/>
            <w:shd w:val="clear" w:color="auto" w:fill="355989"/>
          </w:tcPr>
          <w:p>
            <w:pPr>
              <w:spacing w:after="0"/>
              <w:rPr>
                <w:sz w:val="2"/>
                <w:szCs w:val="2"/>
                <w:color w:val="auto"/>
              </w:rPr>
            </w:pPr>
          </w:p>
        </w:tc>
        <w:tc>
          <w:tcPr>
            <w:tcW w:w="100" w:type="dxa"/>
            <w:vAlign w:val="bottom"/>
            <w:shd w:val="clear" w:color="auto" w:fill="355989"/>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38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355989"/>
          </w:tcPr>
          <w:p>
            <w:pPr>
              <w:spacing w:after="0"/>
              <w:rPr>
                <w:sz w:val="2"/>
                <w:szCs w:val="2"/>
                <w:color w:val="auto"/>
              </w:rPr>
            </w:pPr>
          </w:p>
        </w:tc>
        <w:tc>
          <w:tcPr>
            <w:tcW w:w="14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355989"/>
          </w:tcPr>
          <w:p>
            <w:pPr>
              <w:spacing w:after="0"/>
              <w:rPr>
                <w:sz w:val="2"/>
                <w:szCs w:val="2"/>
                <w:color w:val="auto"/>
              </w:rPr>
            </w:pPr>
          </w:p>
        </w:tc>
        <w:tc>
          <w:tcPr>
            <w:tcW w:w="1400" w:type="dxa"/>
            <w:vAlign w:val="bottom"/>
            <w:shd w:val="clear" w:color="auto" w:fill="355989"/>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8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355989"/>
          </w:tcPr>
          <w:p>
            <w:pPr>
              <w:spacing w:after="0"/>
              <w:rPr>
                <w:sz w:val="2"/>
                <w:szCs w:val="2"/>
                <w:color w:val="auto"/>
              </w:rPr>
            </w:pPr>
          </w:p>
        </w:tc>
        <w:tc>
          <w:tcPr>
            <w:tcW w:w="860" w:type="dxa"/>
            <w:vAlign w:val="bottom"/>
            <w:shd w:val="clear" w:color="auto" w:fill="35598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20" w:right="320" w:hanging="312"/>
        <w:spacing w:after="0" w:line="258" w:lineRule="auto"/>
        <w:tabs>
          <w:tab w:leader="none" w:pos="32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As we maintained life insurance policies for the benefit of the beneficiaries of Mr. Holliday in the amount of $10 million, as of December 31, 2019, the amount of the payments and benefits to be received by Mr. Holliday in the event of a termination upon death will be reduced by these amounts in accordance with his employment agreement.</w:t>
      </w:r>
    </w:p>
    <w:p>
      <w:pPr>
        <w:spacing w:after="0" w:line="43" w:lineRule="exact"/>
        <w:rPr>
          <w:rFonts w:ascii="Arial" w:cs="Arial" w:eastAsia="Arial" w:hAnsi="Arial"/>
          <w:sz w:val="13"/>
          <w:szCs w:val="13"/>
          <w:color w:val="auto"/>
        </w:rPr>
      </w:pPr>
    </w:p>
    <w:p>
      <w:pPr>
        <w:ind w:left="320" w:right="40" w:hanging="312"/>
        <w:spacing w:after="0" w:line="248" w:lineRule="auto"/>
        <w:tabs>
          <w:tab w:leader="none" w:pos="32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Represents the value of the stock options or Class O LTIP units, if any, that would vest. Assumes that the per share value of the stock options or Class O LTIP units that vest equals (i) $91.88 per share, which was the closing price on the NYSE of one share of our common stock on December 31, 2019, less (ii) the exercise price per share of such stock options or the conversion threshold of such Class O LTIP units.</w:t>
      </w:r>
    </w:p>
    <w:p>
      <w:pPr>
        <w:sectPr>
          <w:pgSz w:w="11900" w:h="16838" w:orient="portrait"/>
          <w:cols w:equalWidth="0" w:num="1">
            <w:col w:w="11240"/>
          </w:cols>
          <w:pgMar w:left="320" w:top="121" w:right="339" w:bottom="1440" w:gutter="0" w:footer="0" w:header="0"/>
        </w:sectPr>
      </w:pPr>
    </w:p>
    <w:p>
      <w:pPr>
        <w:spacing w:after="0" w:line="202" w:lineRule="exact"/>
        <w:rPr>
          <w:sz w:val="20"/>
          <w:szCs w:val="20"/>
          <w:color w:val="auto"/>
        </w:rPr>
      </w:pPr>
    </w:p>
    <w:p>
      <w:pPr>
        <w:ind w:left="300" w:hanging="292"/>
        <w:spacing w:after="0"/>
        <w:tabs>
          <w:tab w:leader="none" w:pos="300" w:val="left"/>
        </w:tabs>
        <w:numPr>
          <w:ilvl w:val="0"/>
          <w:numId w:val="130"/>
        </w:numPr>
        <w:rPr>
          <w:rFonts w:ascii="Arial" w:cs="Arial" w:eastAsia="Arial" w:hAnsi="Arial"/>
          <w:sz w:val="16"/>
          <w:szCs w:val="16"/>
          <w:color w:val="3558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EXECUTIVE COMPENSATION</w:t>
      </w:r>
    </w:p>
    <w:p>
      <w:pPr>
        <w:spacing w:after="0" w:line="208" w:lineRule="exact"/>
        <w:rPr>
          <w:sz w:val="20"/>
          <w:szCs w:val="20"/>
          <w:color w:val="auto"/>
        </w:rPr>
      </w:pPr>
    </w:p>
    <w:p>
      <w:pPr>
        <w:ind w:left="320" w:hanging="312"/>
        <w:spacing w:after="0" w:line="242" w:lineRule="auto"/>
        <w:tabs>
          <w:tab w:leader="none" w:pos="32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Represents the value of the LTIP units, if any, that would vest based on a price of $91.88 per unit, which was the closing price on the NYSE of one share of our common stock on December 31, 2019. Assumes that the value of LTIP units on a per unit basis is equal to the per share value of our common stock. Does not include performance-based LTIP units that would only vest to the extent earned based on the achievement of performance-based vesting criteria through the end of the performance period. Based on our performance as of December 31, 2019, our named executive officers would have earned a portion of the performance-based LTIP units granted in 2019 subject to operational performance hurdles and would have forfeited all of the LTIP units subject to relative TSR performance hurdles. See “—Compensation Discussion and Analysis—Our 2019 Executive Compensation Program— 2019 Performance-Based Equity Awards.”</w:t>
      </w:r>
    </w:p>
    <w:p>
      <w:pPr>
        <w:spacing w:after="0" w:line="54" w:lineRule="exact"/>
        <w:rPr>
          <w:rFonts w:ascii="Arial" w:cs="Arial" w:eastAsia="Arial" w:hAnsi="Arial"/>
          <w:sz w:val="13"/>
          <w:szCs w:val="13"/>
          <w:color w:val="auto"/>
        </w:rPr>
      </w:pPr>
    </w:p>
    <w:p>
      <w:pPr>
        <w:ind w:left="320" w:right="380" w:hanging="312"/>
        <w:spacing w:after="0" w:line="248" w:lineRule="auto"/>
        <w:tabs>
          <w:tab w:leader="none" w:pos="32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Benefits continuation amounts are based on the actual expense for financial reporting purposes for the year ended December 31, 2019 for covering an employee under each our group health plans for the entire year, assuming that the employee elected family coverage under each of these plans, less the minimum contribution required by employees participating in these plans.</w:t>
      </w:r>
    </w:p>
    <w:p>
      <w:pPr>
        <w:spacing w:after="0" w:line="20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the event a change in control had occurred on December 31, 2019 without the termination of the employment of our named executive officers, Messrs. Holliday, Mathias and Levine would have been entitled to the pro-rata bonus payments set forth in the table above. In addition, TSR performance would have been measured pursuant to the 2019 Performance-Based Awards, which would have resulted in maximum performance being achieved pursuant to the absolute TSR modifier applicable to the operational performance component of these awards and the entire relative TSR component of these awards being forfeited. The LTIP units earned based on the achievement of the absolute TSR modifier would have remained subject to vesting based on continued employment, as described above. The number of additional LTIP units earned in such event, above the minimum that would have been earned if absolute TSR had been at or below threshold, for each of our named executive officers is as follows: Mr. Holliday – 17,294; Mr. Mathias – 13,836; Mr. DiLiberto – 1,281; and Mr. Levine – 1,281. Upon earning these additional LTIP units, each of our named executive officers would have been entitled to cash payments and distributions with respect to such LTIP units equal to $3.40 per unit, which equals the amounts that would have been received if such LTIP units had been entitled to receive full distributions from the beginning of the applicable performance period.</w:t>
      </w:r>
    </w:p>
    <w:p>
      <w:pPr>
        <w:spacing w:after="0" w:line="21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amounts described above do not include payments and benefits to the extent they have been earned prior to the termination of employment or change in control or are provided on a non-discriminatory basis to salaried employees upon termination of employment. These include: accrued salary and vacation pay; earned and accrued, but unpaid, bonuses; distribution of plan balances under our 401(k) plan; life insurance proceeds in the event of death; and disability insurance payouts in the event of disability. All of the cash severance payments described below are to be made as lump sum payments at the time of termination; provided that, to the extent necessary to avoid the imposition of an additional tax under Section 409A of the IRC, the payments are to be delayed until six months after termination, during which time the payments will accrue interest at the rate of 5% per annum. As a result of provisions in the named executive officers’ employment agreements, in the event that any payment or benefit to be paid or provided to an executive set forth above would have been subject to the excise tax under Sections 280G of the IRC, the payments and benefits to such executive would have been reduced to the extent necessary to avoid the imposition of such excise tax, but only if such reduction would result in a greater after-tax benefit to the executive. The amounts set forth in the table above have not been adjusted to reflect any such reduction that might be applicable.</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Compensation Committee Interlocks and Insider Participation</w:t>
      </w:r>
    </w:p>
    <w:p>
      <w:pPr>
        <w:spacing w:after="0" w:line="23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Our Compensation Committee is comprised of Lauren B. Dillard (Chair), John H. Alschuler, Edwin T. Burton, III and John S. Levy. There are no Compensation Committee interlocks and none of our employees is a member of our Compensation Committee.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Pay Ratio Disclosure Rule</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a mandate of the Dodd-Frank Wall Street Reform and Consumer Protection Act, the SEC adopted a rule requiring annual disclosure of the ratio of the median employee’s annual total compensation to the total annual compensation of the principal executive officer (“PEO”). The PEO of our Company is Mr. Holliday.</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2019, the annual total compensation of Mr. Holliday, our PEO, of $20,990,016, as shown in the Summary Compensation Table above, was approximately 292 times the annual total compensation of $71,887 of a median employee calculated in the same manner. We identified the median employee using the annual base salary and target annual cash incentive compensation, as of December 31, 2019, plus any long-term equity incentive awards granted in 2019 for all individuals (excluding our PEO) who were employed by us on December 31, 2019, the last day of our payroll year, whether employed on a full-time or part-time basis.</w:t>
      </w:r>
    </w:p>
    <w:p>
      <w:pPr>
        <w:spacing w:after="0" w:line="21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of December 31, 2019, 743 of our 1,033 employees were hourly-paid employees involved in building operations, all of whom are subject to collective bargaining agreements. If these employees were not included for purposes of identifying our median employee, the annual total compensation of a median employee would be $160,886 and the annual total compensation of our PEO would be approximately 130 times such amount.</w:t>
      </w:r>
    </w:p>
    <w:p>
      <w:pPr>
        <w:spacing w:after="0" w:line="208" w:lineRule="exact"/>
        <w:rPr>
          <w:sz w:val="20"/>
          <w:szCs w:val="20"/>
          <w:color w:val="auto"/>
        </w:rPr>
      </w:pPr>
    </w:p>
    <w:p>
      <w:pPr>
        <w:ind w:left="300" w:hanging="292"/>
        <w:spacing w:after="0"/>
        <w:tabs>
          <w:tab w:leader="none" w:pos="300" w:val="left"/>
        </w:tabs>
        <w:numPr>
          <w:ilvl w:val="0"/>
          <w:numId w:val="132"/>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55889"/>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3858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3385820"/>
                    </a:xfrm>
                    <a:prstGeom prst="rect">
                      <a:avLst/>
                    </a:prstGeom>
                    <a:noFill/>
                  </pic:spPr>
                </pic:pic>
              </a:graphicData>
            </a:graphic>
          </wp:anchor>
        </w:drawing>
      </w:r>
    </w:p>
    <w:p>
      <w:pPr>
        <w:spacing w:after="0" w:line="32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Proposal 3: Ratification of Appointment of Independent Registered Public Accounting Firm</w:t>
      </w:r>
    </w:p>
    <w:p>
      <w:pPr>
        <w:spacing w:after="0" w:line="313" w:lineRule="exact"/>
        <w:rPr>
          <w:sz w:val="20"/>
          <w:szCs w:val="20"/>
          <w:color w:val="auto"/>
        </w:rPr>
      </w:pPr>
    </w:p>
    <w:p>
      <w:pPr>
        <w:ind w:left="80" w:right="80"/>
        <w:spacing w:after="0" w:line="235" w:lineRule="auto"/>
        <w:rPr>
          <w:sz w:val="20"/>
          <w:szCs w:val="20"/>
          <w:color w:val="auto"/>
        </w:rPr>
      </w:pPr>
      <w:r>
        <w:rPr>
          <w:rFonts w:ascii="Arial" w:cs="Arial" w:eastAsia="Arial" w:hAnsi="Arial"/>
          <w:sz w:val="18"/>
          <w:szCs w:val="18"/>
          <w:color w:val="auto"/>
        </w:rPr>
        <w:t>The Audit Committee of the Board has appointed the accounting firm of Ernst &amp; Young LLP to serve as our independent registered public accounting firm for the fiscal year ending December 31, 2020. Stockholder ratification of the appointment of Ernst &amp; Young LLP is not required by law, the NYSE or the Company’s organizational documents. However, as a matter of good corporate governance, the Board has elected to submit the appointment of Ernst &amp; Young LLP to the stockholders for ratification at the 2020 annual meeting. Even if the appointment is ratified, the Audit Committee, in its discretion, may select a different independent registered public accounting firm at any time if the Audit Committee believes that such a change would be in the best interests of the Company and its stockholders. If our stockholders do not ratify the appointment of Ernst &amp; Young LLP, the Audit Committee will take that fact into consideration, together with such other factors it deems relevant, in determining its next selection of an independent registered public accounting firm. Ernst &amp; Young LLP has served as our independent registered public accounting firm since our formation in June 1997 and is considered by our management to be well-qualified. Ernst &amp; Young LLP has advised us that neither it nor any member thereof has any financial interest, direct or indirect, in the Company or any of our subsidiaries in any capacity.</w:t>
      </w:r>
    </w:p>
    <w:p>
      <w:pPr>
        <w:spacing w:after="0" w:line="214" w:lineRule="exact"/>
        <w:rPr>
          <w:sz w:val="20"/>
          <w:szCs w:val="20"/>
          <w:color w:val="auto"/>
        </w:rPr>
      </w:pPr>
    </w:p>
    <w:p>
      <w:pPr>
        <w:ind w:left="80" w:right="280"/>
        <w:spacing w:after="0" w:line="239" w:lineRule="auto"/>
        <w:rPr>
          <w:sz w:val="20"/>
          <w:szCs w:val="20"/>
          <w:color w:val="auto"/>
        </w:rPr>
      </w:pPr>
      <w:r>
        <w:rPr>
          <w:rFonts w:ascii="Arial" w:cs="Arial" w:eastAsia="Arial" w:hAnsi="Arial"/>
          <w:sz w:val="18"/>
          <w:szCs w:val="18"/>
          <w:color w:val="auto"/>
        </w:rPr>
        <w:t>A representative of Ernst &amp; Young LLP will be present at the annual meeting, will be given the opportunity to make a statement at the annual meeting if he or she so desires and will be available to respond to appropriate questions.</w:t>
      </w:r>
    </w:p>
    <w:p>
      <w:pPr>
        <w:spacing w:after="0" w:line="209" w:lineRule="exact"/>
        <w:rPr>
          <w:sz w:val="20"/>
          <w:szCs w:val="20"/>
          <w:color w:val="auto"/>
        </w:rPr>
      </w:pPr>
    </w:p>
    <w:p>
      <w:pPr>
        <w:ind w:left="80" w:right="380"/>
        <w:spacing w:after="0" w:line="238" w:lineRule="auto"/>
        <w:rPr>
          <w:sz w:val="20"/>
          <w:szCs w:val="20"/>
          <w:color w:val="auto"/>
        </w:rPr>
      </w:pPr>
      <w:r>
        <w:rPr>
          <w:rFonts w:ascii="Arial" w:cs="Arial" w:eastAsia="Arial" w:hAnsi="Arial"/>
          <w:sz w:val="18"/>
          <w:szCs w:val="18"/>
          <w:color w:val="auto"/>
        </w:rPr>
        <w:t>A majority of all of the votes cast with respect to this proposal is required for the ratification of the appointment of Ernst &amp; Young LLP as our independent registered public accounting firm for the fiscal year ending December 31, 2020. Abstentions do not constitute a vote “for” or “against” and will not be counted as “votes cast”. Therefore, abstentions will have no effect on this proposal.</w:t>
      </w:r>
    </w:p>
    <w:p>
      <w:pPr>
        <w:spacing w:after="0" w:line="253" w:lineRule="exact"/>
        <w:rPr>
          <w:sz w:val="20"/>
          <w:szCs w:val="20"/>
          <w:color w:val="auto"/>
        </w:rPr>
      </w:pPr>
    </w:p>
    <w:p>
      <w:pPr>
        <w:jc w:val="center"/>
        <w:spacing w:after="0" w:line="261" w:lineRule="auto"/>
        <w:rPr>
          <w:sz w:val="20"/>
          <w:szCs w:val="20"/>
          <w:color w:val="auto"/>
        </w:rPr>
      </w:pPr>
      <w:r>
        <w:rPr>
          <w:rFonts w:ascii="Arial" w:cs="Arial" w:eastAsia="Arial" w:hAnsi="Arial"/>
          <w:sz w:val="22"/>
          <w:szCs w:val="22"/>
          <w:b w:val="1"/>
          <w:bCs w:val="1"/>
          <w:color w:val="345988"/>
        </w:rPr>
        <w:t xml:space="preserve">The Board unanimously recommends a vote </w:t>
      </w:r>
      <w:r>
        <w:rPr>
          <w:rFonts w:ascii="Arial" w:cs="Arial" w:eastAsia="Arial" w:hAnsi="Arial"/>
          <w:sz w:val="22"/>
          <w:szCs w:val="22"/>
          <w:b w:val="1"/>
          <w:bCs w:val="1"/>
          <w:color w:val="000000"/>
        </w:rPr>
        <w:t>“FOR”</w:t>
      </w:r>
      <w:r>
        <w:rPr>
          <w:rFonts w:ascii="Arial" w:cs="Arial" w:eastAsia="Arial" w:hAnsi="Arial"/>
          <w:sz w:val="22"/>
          <w:szCs w:val="22"/>
          <w:b w:val="1"/>
          <w:bCs w:val="1"/>
          <w:color w:val="345988"/>
        </w:rPr>
        <w:t xml:space="preserve"> the ratification of the appointment of Ernst &amp; Young LLP as our independent registered public accounting firm.</w:t>
      </w:r>
    </w:p>
    <w:p>
      <w:pPr>
        <w:spacing w:after="0" w:line="3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following report of the Audit Committee of the Board will not be deemed to be incorporated by reference in any previous or future documents filed by us with the SEC under the Securities Act of 1933, as amended, or the Securities Exchange Act of 1934, as amended, except to the extent that we specifically incorporate this report by reference in any such document.</w:t>
      </w:r>
    </w:p>
    <w:p>
      <w:pPr>
        <w:spacing w:after="0" w:line="20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Audit Committee oversees our financial reporting process on behalf of the Board,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and discussed the audited financial statements in the Annual Report on Form 10-K for the year ended December 31, 2019 filed by the Company with management.</w:t>
      </w:r>
    </w:p>
    <w:p>
      <w:pPr>
        <w:spacing w:after="0" w:line="21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Audit Committee reviewed and discussed with Ernst &amp; Young LLP, our independent registered public accounting firm, the matters required to be discussed with the Audit Committee by the applicable requirements of the Public Company Accounting Oversight Board and the SEC. Our Audit Committee received from Ernst &amp; Young LLP the written disclosures and the letter required by the applicable requirements of the Public Company Accounting Oversight Board regarding communications with the Audit Committee concerning independence, and has discussed with Ernst &amp; Young LLP their independence.</w:t>
      </w:r>
    </w:p>
    <w:p>
      <w:pPr>
        <w:spacing w:after="0" w:line="21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Based on the review and discussions referred to above, our Audit Committee recommended to the Board that the audited financial statements be included in the Annual Report on Form 10-K for the year ended December 31, 2019 filed by the Company.</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AUDIT COMMITTEE MATTERS</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members of our Audit Committee are not engaged professionally in the practice of auditing or accounting. Committee members rely, without independent investigation or verification, on the information provided to them and on the representations made by management and our independent registered public accounting firm. Accordingly, our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that the financial statements are presented in accordance with accounting principles generally accepted in the U.S. or that our registered public accounting firm is in fact independent.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Submitted by our Audit Committee</w:t>
      </w:r>
    </w:p>
    <w:p>
      <w:pPr>
        <w:spacing w:after="0" w:line="234" w:lineRule="auto"/>
        <w:rPr>
          <w:sz w:val="20"/>
          <w:szCs w:val="20"/>
          <w:color w:val="auto"/>
        </w:rPr>
      </w:pPr>
      <w:r>
        <w:rPr>
          <w:rFonts w:ascii="Arial" w:cs="Arial" w:eastAsia="Arial" w:hAnsi="Arial"/>
          <w:sz w:val="18"/>
          <w:szCs w:val="18"/>
          <w:color w:val="auto"/>
        </w:rPr>
        <w:t>Edwin T. Burton, III (Chair)</w:t>
      </w:r>
    </w:p>
    <w:p>
      <w:pPr>
        <w:spacing w:after="0" w:line="235" w:lineRule="auto"/>
        <w:rPr>
          <w:sz w:val="20"/>
          <w:szCs w:val="20"/>
          <w:color w:val="auto"/>
        </w:rPr>
      </w:pPr>
      <w:r>
        <w:rPr>
          <w:rFonts w:ascii="Arial" w:cs="Arial" w:eastAsia="Arial" w:hAnsi="Arial"/>
          <w:sz w:val="18"/>
          <w:szCs w:val="18"/>
          <w:color w:val="auto"/>
        </w:rPr>
        <w:t>Betsy Atkins</w:t>
      </w:r>
    </w:p>
    <w:p>
      <w:pPr>
        <w:spacing w:after="0" w:line="235" w:lineRule="auto"/>
        <w:rPr>
          <w:sz w:val="20"/>
          <w:szCs w:val="20"/>
          <w:color w:val="auto"/>
        </w:rPr>
      </w:pPr>
      <w:r>
        <w:rPr>
          <w:rFonts w:ascii="Arial" w:cs="Arial" w:eastAsia="Arial" w:hAnsi="Arial"/>
          <w:sz w:val="18"/>
          <w:szCs w:val="18"/>
          <w:color w:val="auto"/>
        </w:rPr>
        <w:t>Lauren B. Dillard</w:t>
      </w:r>
    </w:p>
    <w:p>
      <w:pPr>
        <w:spacing w:after="0"/>
        <w:rPr>
          <w:sz w:val="20"/>
          <w:szCs w:val="20"/>
          <w:color w:val="auto"/>
        </w:rPr>
      </w:pPr>
      <w:r>
        <w:rPr>
          <w:rFonts w:ascii="Arial" w:cs="Arial" w:eastAsia="Arial" w:hAnsi="Arial"/>
          <w:sz w:val="18"/>
          <w:szCs w:val="18"/>
          <w:color w:val="auto"/>
        </w:rPr>
        <w:t>Craig M. Hatkoff</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Fee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Audit Fees</w:t>
      </w:r>
    </w:p>
    <w:p>
      <w:pPr>
        <w:spacing w:after="0" w:line="23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Fees, including out-of-pocket expenses, for audit services totaled approximately $3,251,000 in fiscal year 2019 and $4,060,000 in fiscal year 2018. Audit fees include fees associated with our annual audits and related reviews of our annual reports on Form 10-K and quarterly reports on Form 10-Q. In addition, audit fees include Sarbanes-Oxley Section 404 planning and testing, fees for public filings in connection with various property acquisitions, joint venture audits, and services relating to public filings in connection with our preferred and common stock and debt offerings and certain other transactions. Our joint venture partners paid their pro rata share of any joint venture audit fees. Audit fees also include fees for accounting research and consultations.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Audit-Related Fees</w:t>
      </w:r>
    </w:p>
    <w:p>
      <w:pPr>
        <w:spacing w:after="0" w:line="23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Fees for audit-related services totaled approximately $73,000 in 2019 and $71,000 in 2018. The audit-related services principally include fees for operating expense audits and agreed-upon procedures projects.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Tax Fees</w:t>
      </w:r>
    </w:p>
    <w:p>
      <w:pPr>
        <w:spacing w:after="0" w:line="233"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Fees for tax services, including tax compliance, tax advice and tax planning totaled approximately $51,518 in 2018. There were no fees for tax services in 2019.</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All Other Fees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fees for other services not included above in either 2019 or 2018.</w:t>
      </w:r>
    </w:p>
    <w:p>
      <w:pPr>
        <w:spacing w:after="0" w:line="21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Our Audit Committee considers whether the provision by Ernst &amp; Young LLP of any services that would be required to be described under “All Other Fees” would be compatible with maintaining Ernst &amp; Young LLP’s independence from both management and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Pre-Approval Policies and Procedures of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Our Audit Committee must pre-approve all audit services and permissible non-audit services provided by our independent registered public accounting firm, except for any de minimis non-audit services. Non-audit services are considered de minimis if: (1) the aggregate amount of all such non-audit services constitutes less than five percent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or any of its members’ attention and approved by our Audit Committee or any of its members who has authority to give such approval prior to the completion of the audit. None of the fees reflected above were incurred as a result of non-audit services provided by our independent registered public accounting firm pursuant to this de minimis exception. All services provided by Ernst &amp; Young LLP in 2019 were pre-approved by our Audit Committee. Our Audit Committee may delegate to one or more of its members who is an independent director the authority to grant pre-approvals.</w:t>
      </w:r>
    </w:p>
    <w:p>
      <w:pPr>
        <w:spacing w:after="0" w:line="214" w:lineRule="exact"/>
        <w:rPr>
          <w:sz w:val="20"/>
          <w:szCs w:val="20"/>
          <w:color w:val="auto"/>
        </w:rPr>
      </w:pPr>
    </w:p>
    <w:p>
      <w:pPr>
        <w:ind w:left="300" w:hanging="292"/>
        <w:spacing w:after="0"/>
        <w:tabs>
          <w:tab w:leader="none" w:pos="300" w:val="left"/>
        </w:tabs>
        <w:numPr>
          <w:ilvl w:val="0"/>
          <w:numId w:val="133"/>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55889"/>
        </w:rPr>
        <w:t>STOCK OWNERSHIP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following table sets forth the beneficial ownership of our common stock, $0.01 par value per share, and our common stock and common units in our operating partnership as of March 31, 2020, unless otherwise noted, for (i) each person known to us to be the beneficial owner of more than 5% of our outstanding common stock, (ii) each of our directors, (iii) each of our named executive officers who is not a director and (iv) our directors and executive officers as a group.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w:t>
      </w:r>
    </w:p>
    <w:p>
      <w:pPr>
        <w:spacing w:after="0" w:line="20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 of March 31, 2020, the following shares and units were outstanding: (i) 77,590,864 shares of our common stock, (ii) 1,804,350 common units in our operating partnership (other than the units held by us) and (iii) 2,340,205 LTIP units (excluding unearned performance-based LTIP units, which may be earned based on the achievement of performance-based vesting hurdles).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355889"/>
              </w:rPr>
              <w:t>Common Stock</w:t>
            </w:r>
          </w:p>
        </w:tc>
        <w:tc>
          <w:tcPr>
            <w:tcW w:w="2180" w:type="dxa"/>
            <w:vAlign w:val="bottom"/>
            <w:gridSpan w:val="3"/>
          </w:tcPr>
          <w:p>
            <w:pPr>
              <w:jc w:val="right"/>
              <w:ind w:right="215"/>
              <w:spacing w:after="0"/>
              <w:rPr>
                <w:sz w:val="20"/>
                <w:szCs w:val="20"/>
                <w:color w:val="auto"/>
              </w:rPr>
            </w:pPr>
            <w:r>
              <w:rPr>
                <w:rFonts w:ascii="Arial" w:cs="Arial" w:eastAsia="Arial" w:hAnsi="Arial"/>
                <w:sz w:val="13"/>
                <w:szCs w:val="13"/>
                <w:b w:val="1"/>
                <w:bCs w:val="1"/>
                <w:color w:val="355889"/>
              </w:rPr>
              <w:t>Common Stock and Units</w:t>
            </w:r>
          </w:p>
        </w:tc>
      </w:tr>
      <w:tr>
        <w:trPr>
          <w:trHeight w:val="132"/>
        </w:trPr>
        <w:tc>
          <w:tcPr>
            <w:tcW w:w="7100" w:type="dxa"/>
            <w:vAlign w:val="bottom"/>
            <w:tcBorders>
              <w:top w:val="single" w:sz="8" w:color="355889"/>
            </w:tcBorders>
          </w:tcPr>
          <w:p>
            <w:pPr>
              <w:spacing w:after="0"/>
              <w:rPr>
                <w:sz w:val="11"/>
                <w:szCs w:val="11"/>
                <w:color w:val="auto"/>
              </w:rPr>
            </w:pPr>
          </w:p>
        </w:tc>
        <w:tc>
          <w:tcPr>
            <w:tcW w:w="160" w:type="dxa"/>
            <w:vAlign w:val="bottom"/>
            <w:tcBorders>
              <w:top w:val="single" w:sz="8" w:color="355889"/>
            </w:tcBorders>
          </w:tcPr>
          <w:p>
            <w:pPr>
              <w:spacing w:after="0"/>
              <w:rPr>
                <w:sz w:val="11"/>
                <w:szCs w:val="11"/>
                <w:color w:val="auto"/>
              </w:rPr>
            </w:pPr>
          </w:p>
        </w:tc>
        <w:tc>
          <w:tcPr>
            <w:tcW w:w="1000" w:type="dxa"/>
            <w:vAlign w:val="bottom"/>
            <w:tcBorders>
              <w:top w:val="single" w:sz="8" w:color="355889"/>
            </w:tcBorders>
            <w:gridSpan w:val="2"/>
          </w:tcPr>
          <w:p>
            <w:pPr>
              <w:jc w:val="right"/>
              <w:ind w:right="140"/>
              <w:spacing w:after="0" w:line="132" w:lineRule="exact"/>
              <w:rPr>
                <w:sz w:val="20"/>
                <w:szCs w:val="20"/>
                <w:color w:val="auto"/>
              </w:rPr>
            </w:pPr>
            <w:r>
              <w:rPr>
                <w:rFonts w:ascii="Arial" w:cs="Arial" w:eastAsia="Arial" w:hAnsi="Arial"/>
                <w:sz w:val="13"/>
                <w:szCs w:val="13"/>
                <w:b w:val="1"/>
                <w:bCs w:val="1"/>
                <w:color w:val="355889"/>
              </w:rPr>
              <w:t>Number</w:t>
            </w:r>
          </w:p>
        </w:tc>
        <w:tc>
          <w:tcPr>
            <w:tcW w:w="640" w:type="dxa"/>
            <w:vAlign w:val="bottom"/>
            <w:tcBorders>
              <w:top w:val="single" w:sz="8" w:color="355889"/>
            </w:tcBorders>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Borders>
              <w:top w:val="single" w:sz="8" w:color="355889"/>
            </w:tcBorders>
            <w:gridSpan w:val="2"/>
          </w:tcPr>
          <w:p>
            <w:pPr>
              <w:jc w:val="right"/>
              <w:ind w:right="160"/>
              <w:spacing w:after="0" w:line="132" w:lineRule="exact"/>
              <w:rPr>
                <w:sz w:val="20"/>
                <w:szCs w:val="20"/>
                <w:color w:val="auto"/>
              </w:rPr>
            </w:pPr>
            <w:r>
              <w:rPr>
                <w:rFonts w:ascii="Arial" w:cs="Arial" w:eastAsia="Arial" w:hAnsi="Arial"/>
                <w:sz w:val="13"/>
                <w:szCs w:val="13"/>
                <w:b w:val="1"/>
                <w:bCs w:val="1"/>
                <w:color w:val="355889"/>
              </w:rPr>
              <w:t>Number of</w:t>
            </w:r>
          </w:p>
        </w:tc>
        <w:tc>
          <w:tcPr>
            <w:tcW w:w="960" w:type="dxa"/>
            <w:vAlign w:val="bottom"/>
            <w:tcBorders>
              <w:top w:val="single" w:sz="8" w:color="355889"/>
            </w:tcBorders>
          </w:tcPr>
          <w:p>
            <w:pPr>
              <w:spacing w:after="0"/>
              <w:rPr>
                <w:sz w:val="11"/>
                <w:szCs w:val="11"/>
                <w:color w:val="auto"/>
              </w:rPr>
            </w:pPr>
          </w:p>
        </w:tc>
      </w:tr>
      <w:tr>
        <w:trPr>
          <w:trHeight w:val="148"/>
        </w:trPr>
        <w:tc>
          <w:tcPr>
            <w:tcW w:w="7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355889"/>
              </w:rPr>
              <w:t>of Shares</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w w:val="97"/>
              </w:rPr>
              <w:t>Percent of</w:t>
            </w:r>
          </w:p>
        </w:tc>
        <w:tc>
          <w:tcPr>
            <w:tcW w:w="12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w w:val="97"/>
              </w:rPr>
              <w:t>Shares and Units</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355889"/>
              </w:rPr>
              <w:t>Percent of</w:t>
            </w:r>
          </w:p>
        </w:tc>
      </w:tr>
      <w:tr>
        <w:trPr>
          <w:trHeight w:val="157"/>
        </w:trPr>
        <w:tc>
          <w:tcPr>
            <w:tcW w:w="7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355889"/>
              </w:rPr>
              <w:t>Beneficially</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Common</w:t>
            </w:r>
          </w:p>
        </w:tc>
        <w:tc>
          <w:tcPr>
            <w:tcW w:w="12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889"/>
              </w:rPr>
              <w:t>Beneficially</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355889"/>
                <w:w w:val="98"/>
              </w:rPr>
              <w:t>Common Stock</w:t>
            </w:r>
          </w:p>
        </w:tc>
      </w:tr>
      <w:tr>
        <w:trPr>
          <w:trHeight w:val="204"/>
        </w:trPr>
        <w:tc>
          <w:tcPr>
            <w:tcW w:w="7260" w:type="dxa"/>
            <w:vAlign w:val="bottom"/>
            <w:gridSpan w:val="2"/>
          </w:tcPr>
          <w:p>
            <w:pPr>
              <w:spacing w:after="0"/>
              <w:rPr>
                <w:sz w:val="20"/>
                <w:szCs w:val="20"/>
                <w:color w:val="auto"/>
              </w:rPr>
            </w:pPr>
            <w:r>
              <w:rPr>
                <w:rFonts w:ascii="Arial" w:cs="Arial" w:eastAsia="Arial" w:hAnsi="Arial"/>
                <w:sz w:val="13"/>
                <w:szCs w:val="13"/>
                <w:b w:val="1"/>
                <w:bCs w:val="1"/>
                <w:color w:val="355889"/>
              </w:rPr>
              <w:t>Name**</w:t>
            </w:r>
          </w:p>
        </w:tc>
        <w:tc>
          <w:tcPr>
            <w:tcW w:w="1000" w:type="dxa"/>
            <w:vAlign w:val="bottom"/>
            <w:gridSpan w:val="2"/>
          </w:tcPr>
          <w:p>
            <w:pPr>
              <w:jc w:val="right"/>
              <w:ind w:right="140"/>
              <w:spacing w:after="0" w:line="197" w:lineRule="exact"/>
              <w:rPr>
                <w:sz w:val="20"/>
                <w:szCs w:val="20"/>
                <w:color w:val="auto"/>
              </w:rPr>
            </w:pPr>
            <w:r>
              <w:rPr>
                <w:rFonts w:ascii="Arial" w:cs="Arial" w:eastAsia="Arial" w:hAnsi="Arial"/>
                <w:sz w:val="13"/>
                <w:szCs w:val="13"/>
                <w:b w:val="1"/>
                <w:bCs w:val="1"/>
                <w:color w:val="355889"/>
              </w:rPr>
              <w:t>Owned</w:t>
            </w:r>
            <w:r>
              <w:rPr>
                <w:rFonts w:ascii="Arial" w:cs="Arial" w:eastAsia="Arial" w:hAnsi="Arial"/>
                <w:sz w:val="22"/>
                <w:szCs w:val="22"/>
                <w:b w:val="1"/>
                <w:bCs w:val="1"/>
                <w:color w:val="355889"/>
                <w:vertAlign w:val="superscript"/>
              </w:rPr>
              <w:t>(1)</w:t>
            </w:r>
          </w:p>
        </w:tc>
        <w:tc>
          <w:tcPr>
            <w:tcW w:w="800" w:type="dxa"/>
            <w:vAlign w:val="bottom"/>
            <w:gridSpan w:val="2"/>
          </w:tcPr>
          <w:p>
            <w:pPr>
              <w:jc w:val="right"/>
              <w:ind w:right="160"/>
              <w:spacing w:after="0" w:line="197" w:lineRule="exact"/>
              <w:rPr>
                <w:sz w:val="20"/>
                <w:szCs w:val="20"/>
                <w:color w:val="auto"/>
              </w:rPr>
            </w:pPr>
            <w:r>
              <w:rPr>
                <w:rFonts w:ascii="Arial" w:cs="Arial" w:eastAsia="Arial" w:hAnsi="Arial"/>
                <w:sz w:val="13"/>
                <w:szCs w:val="13"/>
                <w:b w:val="1"/>
                <w:bCs w:val="1"/>
                <w:color w:val="355889"/>
              </w:rPr>
              <w:t>Stock</w:t>
            </w:r>
            <w:r>
              <w:rPr>
                <w:rFonts w:ascii="Arial" w:cs="Arial" w:eastAsia="Arial" w:hAnsi="Arial"/>
                <w:sz w:val="22"/>
                <w:szCs w:val="22"/>
                <w:b w:val="1"/>
                <w:bCs w:val="1"/>
                <w:color w:val="355889"/>
                <w:vertAlign w:val="superscript"/>
              </w:rPr>
              <w:t>(2)</w:t>
            </w:r>
          </w:p>
        </w:tc>
        <w:tc>
          <w:tcPr>
            <w:tcW w:w="1220" w:type="dxa"/>
            <w:vAlign w:val="bottom"/>
            <w:gridSpan w:val="2"/>
          </w:tcPr>
          <w:p>
            <w:pPr>
              <w:jc w:val="right"/>
              <w:ind w:right="160"/>
              <w:spacing w:after="0" w:line="197" w:lineRule="exact"/>
              <w:rPr>
                <w:sz w:val="20"/>
                <w:szCs w:val="20"/>
                <w:color w:val="auto"/>
              </w:rPr>
            </w:pPr>
            <w:r>
              <w:rPr>
                <w:rFonts w:ascii="Arial" w:cs="Arial" w:eastAsia="Arial" w:hAnsi="Arial"/>
                <w:sz w:val="13"/>
                <w:szCs w:val="13"/>
                <w:b w:val="1"/>
                <w:bCs w:val="1"/>
                <w:color w:val="355889"/>
              </w:rPr>
              <w:t>Owned</w:t>
            </w:r>
            <w:r>
              <w:rPr>
                <w:rFonts w:ascii="Arial" w:cs="Arial" w:eastAsia="Arial" w:hAnsi="Arial"/>
                <w:sz w:val="22"/>
                <w:szCs w:val="22"/>
                <w:b w:val="1"/>
                <w:bCs w:val="1"/>
                <w:color w:val="355889"/>
                <w:vertAlign w:val="superscript"/>
              </w:rPr>
              <w:t>(1)</w:t>
            </w:r>
          </w:p>
        </w:tc>
        <w:tc>
          <w:tcPr>
            <w:tcW w:w="960" w:type="dxa"/>
            <w:vAlign w:val="bottom"/>
          </w:tcPr>
          <w:p>
            <w:pPr>
              <w:jc w:val="right"/>
              <w:spacing w:after="0" w:line="197" w:lineRule="exact"/>
              <w:rPr>
                <w:sz w:val="20"/>
                <w:szCs w:val="20"/>
                <w:color w:val="auto"/>
              </w:rPr>
            </w:pPr>
            <w:r>
              <w:rPr>
                <w:rFonts w:ascii="Arial" w:cs="Arial" w:eastAsia="Arial" w:hAnsi="Arial"/>
                <w:sz w:val="13"/>
                <w:szCs w:val="13"/>
                <w:b w:val="1"/>
                <w:bCs w:val="1"/>
                <w:color w:val="355889"/>
              </w:rPr>
              <w:t>and Units</w:t>
            </w:r>
            <w:r>
              <w:rPr>
                <w:rFonts w:ascii="Arial" w:cs="Arial" w:eastAsia="Arial" w:hAnsi="Arial"/>
                <w:sz w:val="22"/>
                <w:szCs w:val="22"/>
                <w:b w:val="1"/>
                <w:bCs w:val="1"/>
                <w:color w:val="355889"/>
                <w:vertAlign w:val="superscript"/>
              </w:rPr>
              <w:t>(2)</w:t>
            </w:r>
          </w:p>
        </w:tc>
      </w:tr>
      <w:tr>
        <w:trPr>
          <w:trHeight w:val="238"/>
        </w:trPr>
        <w:tc>
          <w:tcPr>
            <w:tcW w:w="7100" w:type="dxa"/>
            <w:vAlign w:val="bottom"/>
            <w:tcBorders>
              <w:top w:val="single" w:sz="8" w:color="355889"/>
              <w:bottom w:val="single" w:sz="8" w:color="8797B7"/>
            </w:tcBorders>
          </w:tcPr>
          <w:p>
            <w:pPr>
              <w:spacing w:after="0"/>
              <w:rPr>
                <w:sz w:val="20"/>
                <w:szCs w:val="20"/>
                <w:color w:val="auto"/>
              </w:rPr>
            </w:pPr>
            <w:r>
              <w:rPr>
                <w:rFonts w:ascii="Arial" w:cs="Arial" w:eastAsia="Arial" w:hAnsi="Arial"/>
                <w:sz w:val="18"/>
                <w:szCs w:val="18"/>
                <w:b w:val="1"/>
                <w:bCs w:val="1"/>
                <w:color w:val="auto"/>
              </w:rPr>
              <w:t>5% Holders</w:t>
            </w:r>
          </w:p>
        </w:tc>
        <w:tc>
          <w:tcPr>
            <w:tcW w:w="160" w:type="dxa"/>
            <w:vAlign w:val="bottom"/>
          </w:tcPr>
          <w:p>
            <w:pPr>
              <w:spacing w:after="0"/>
              <w:rPr>
                <w:sz w:val="20"/>
                <w:szCs w:val="20"/>
                <w:color w:val="auto"/>
              </w:rPr>
            </w:pPr>
          </w:p>
        </w:tc>
        <w:tc>
          <w:tcPr>
            <w:tcW w:w="840" w:type="dxa"/>
            <w:vAlign w:val="bottom"/>
            <w:tcBorders>
              <w:top w:val="single" w:sz="8" w:color="355889"/>
              <w:bottom w:val="single" w:sz="8" w:color="8797B7"/>
            </w:tcBorders>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355889"/>
              <w:bottom w:val="single" w:sz="8" w:color="8797B7"/>
            </w:tcBorders>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top w:val="single" w:sz="8" w:color="355889"/>
              <w:bottom w:val="single" w:sz="8" w:color="8797B7"/>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top w:val="single" w:sz="8" w:color="355889"/>
              <w:bottom w:val="single" w:sz="8" w:color="8797B7"/>
            </w:tcBorders>
          </w:tcPr>
          <w:p>
            <w:pPr>
              <w:spacing w:after="0"/>
              <w:rPr>
                <w:sz w:val="20"/>
                <w:szCs w:val="20"/>
                <w:color w:val="auto"/>
              </w:rPr>
            </w:pPr>
          </w:p>
        </w:tc>
      </w:tr>
      <w:tr>
        <w:trPr>
          <w:trHeight w:val="309"/>
        </w:trPr>
        <w:tc>
          <w:tcPr>
            <w:tcW w:w="7100" w:type="dxa"/>
            <w:vAlign w:val="bottom"/>
          </w:tcPr>
          <w:p>
            <w:pPr>
              <w:spacing w:after="0" w:line="309" w:lineRule="exact"/>
              <w:rPr>
                <w:sz w:val="20"/>
                <w:szCs w:val="20"/>
                <w:color w:val="auto"/>
              </w:rPr>
            </w:pPr>
            <w:r>
              <w:rPr>
                <w:rFonts w:ascii="Arial" w:cs="Arial" w:eastAsia="Arial" w:hAnsi="Arial"/>
                <w:sz w:val="18"/>
                <w:szCs w:val="18"/>
                <w:color w:val="auto"/>
              </w:rPr>
              <w:t>The Vanguard Group</w:t>
            </w:r>
            <w:r>
              <w:rPr>
                <w:rFonts w:ascii="Arial" w:cs="Arial" w:eastAsia="Arial" w:hAnsi="Arial"/>
                <w:sz w:val="29"/>
                <w:szCs w:val="29"/>
                <w:color w:val="auto"/>
                <w:vertAlign w:val="superscript"/>
              </w:rPr>
              <w:t>(3)</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13,622,834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17.56%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13,622,834</w:t>
            </w:r>
          </w:p>
        </w:tc>
        <w:tc>
          <w:tcPr>
            <w:tcW w:w="960" w:type="dxa"/>
            <w:vAlign w:val="bottom"/>
          </w:tcPr>
          <w:p>
            <w:pPr>
              <w:jc w:val="right"/>
              <w:spacing w:after="0"/>
              <w:rPr>
                <w:sz w:val="20"/>
                <w:szCs w:val="20"/>
                <w:color w:val="auto"/>
              </w:rPr>
            </w:pPr>
            <w:r>
              <w:rPr>
                <w:rFonts w:ascii="Arial" w:cs="Arial" w:eastAsia="Arial" w:hAnsi="Arial"/>
                <w:sz w:val="18"/>
                <w:szCs w:val="18"/>
                <w:color w:val="auto"/>
              </w:rPr>
              <w:t>16.67%</w:t>
            </w:r>
          </w:p>
        </w:tc>
      </w:tr>
      <w:tr>
        <w:trPr>
          <w:trHeight w:val="20"/>
        </w:trPr>
        <w:tc>
          <w:tcPr>
            <w:tcW w:w="71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8797B7"/>
          </w:tcPr>
          <w:p>
            <w:pPr>
              <w:spacing w:after="0" w:line="20" w:lineRule="exact"/>
              <w:rPr>
                <w:sz w:val="1"/>
                <w:szCs w:val="1"/>
                <w:color w:val="auto"/>
              </w:rPr>
            </w:pPr>
          </w:p>
        </w:tc>
      </w:tr>
      <w:tr>
        <w:trPr>
          <w:trHeight w:val="304"/>
        </w:trPr>
        <w:tc>
          <w:tcPr>
            <w:tcW w:w="7100" w:type="dxa"/>
            <w:vAlign w:val="bottom"/>
          </w:tcPr>
          <w:p>
            <w:pPr>
              <w:spacing w:after="0" w:line="303"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8,213,724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10.59%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8,213,724</w:t>
            </w:r>
          </w:p>
        </w:tc>
        <w:tc>
          <w:tcPr>
            <w:tcW w:w="96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20"/>
        </w:trPr>
        <w:tc>
          <w:tcPr>
            <w:tcW w:w="71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8797B7"/>
          </w:tcPr>
          <w:p>
            <w:pPr>
              <w:spacing w:after="0" w:line="20" w:lineRule="exact"/>
              <w:rPr>
                <w:sz w:val="1"/>
                <w:szCs w:val="1"/>
                <w:color w:val="auto"/>
              </w:rPr>
            </w:pPr>
          </w:p>
        </w:tc>
      </w:tr>
      <w:tr>
        <w:trPr>
          <w:trHeight w:val="304"/>
        </w:trPr>
        <w:tc>
          <w:tcPr>
            <w:tcW w:w="7100" w:type="dxa"/>
            <w:vAlign w:val="bottom"/>
          </w:tcPr>
          <w:p>
            <w:pPr>
              <w:spacing w:after="0" w:line="303" w:lineRule="exact"/>
              <w:rPr>
                <w:sz w:val="20"/>
                <w:szCs w:val="20"/>
                <w:color w:val="auto"/>
              </w:rPr>
            </w:pPr>
            <w:r>
              <w:rPr>
                <w:rFonts w:ascii="Arial" w:cs="Arial" w:eastAsia="Arial" w:hAnsi="Arial"/>
                <w:sz w:val="18"/>
                <w:szCs w:val="18"/>
                <w:color w:val="auto"/>
              </w:rPr>
              <w:t>T. Rowe Price Associates, Inc.</w:t>
            </w:r>
            <w:r>
              <w:rPr>
                <w:rFonts w:ascii="Arial" w:cs="Arial" w:eastAsia="Arial" w:hAnsi="Arial"/>
                <w:sz w:val="29"/>
                <w:szCs w:val="29"/>
                <w:color w:val="auto"/>
                <w:vertAlign w:val="superscript"/>
              </w:rPr>
              <w:t>(5)</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6,890,150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8.88%</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6,890,150</w:t>
            </w:r>
          </w:p>
        </w:tc>
        <w:tc>
          <w:tcPr>
            <w:tcW w:w="960" w:type="dxa"/>
            <w:vAlign w:val="bottom"/>
          </w:tcPr>
          <w:p>
            <w:pPr>
              <w:jc w:val="right"/>
              <w:spacing w:after="0"/>
              <w:rPr>
                <w:sz w:val="20"/>
                <w:szCs w:val="20"/>
                <w:color w:val="auto"/>
              </w:rPr>
            </w:pPr>
            <w:r>
              <w:rPr>
                <w:rFonts w:ascii="Arial" w:cs="Arial" w:eastAsia="Arial" w:hAnsi="Arial"/>
                <w:sz w:val="18"/>
                <w:szCs w:val="18"/>
                <w:color w:val="auto"/>
              </w:rPr>
              <w:t>8.43%</w:t>
            </w:r>
          </w:p>
        </w:tc>
      </w:tr>
      <w:tr>
        <w:trPr>
          <w:trHeight w:val="20"/>
        </w:trPr>
        <w:tc>
          <w:tcPr>
            <w:tcW w:w="71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8797B7"/>
          </w:tcPr>
          <w:p>
            <w:pPr>
              <w:spacing w:after="0" w:line="20" w:lineRule="exact"/>
              <w:rPr>
                <w:sz w:val="1"/>
                <w:szCs w:val="1"/>
                <w:color w:val="auto"/>
              </w:rPr>
            </w:pPr>
          </w:p>
        </w:tc>
      </w:tr>
      <w:tr>
        <w:trPr>
          <w:trHeight w:val="304"/>
        </w:trPr>
        <w:tc>
          <w:tcPr>
            <w:tcW w:w="7100" w:type="dxa"/>
            <w:vAlign w:val="bottom"/>
          </w:tcPr>
          <w:p>
            <w:pPr>
              <w:spacing w:after="0" w:line="303" w:lineRule="exact"/>
              <w:rPr>
                <w:sz w:val="20"/>
                <w:szCs w:val="20"/>
                <w:color w:val="auto"/>
              </w:rPr>
            </w:pPr>
            <w:r>
              <w:rPr>
                <w:rFonts w:ascii="Arial" w:cs="Arial" w:eastAsia="Arial" w:hAnsi="Arial"/>
                <w:sz w:val="18"/>
                <w:szCs w:val="18"/>
                <w:color w:val="auto"/>
              </w:rPr>
              <w:t>State Street Corporation</w:t>
            </w:r>
            <w:r>
              <w:rPr>
                <w:rFonts w:ascii="Arial" w:cs="Arial" w:eastAsia="Arial" w:hAnsi="Arial"/>
                <w:sz w:val="29"/>
                <w:szCs w:val="29"/>
                <w:color w:val="auto"/>
                <w:vertAlign w:val="superscript"/>
              </w:rPr>
              <w:t>(6)</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5,907,445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5,907,445</w:t>
            </w:r>
          </w:p>
        </w:tc>
        <w:tc>
          <w:tcPr>
            <w:tcW w:w="960" w:type="dxa"/>
            <w:vAlign w:val="bottom"/>
          </w:tcPr>
          <w:p>
            <w:pPr>
              <w:jc w:val="right"/>
              <w:spacing w:after="0"/>
              <w:rPr>
                <w:sz w:val="20"/>
                <w:szCs w:val="20"/>
                <w:color w:val="auto"/>
              </w:rPr>
            </w:pPr>
            <w:r>
              <w:rPr>
                <w:rFonts w:ascii="Arial" w:cs="Arial" w:eastAsia="Arial" w:hAnsi="Arial"/>
                <w:sz w:val="18"/>
                <w:szCs w:val="18"/>
                <w:color w:val="auto"/>
              </w:rPr>
              <w:t>7.23%</w:t>
            </w:r>
          </w:p>
        </w:tc>
      </w:tr>
      <w:tr>
        <w:trPr>
          <w:trHeight w:val="221"/>
        </w:trPr>
        <w:tc>
          <w:tcPr>
            <w:tcW w:w="7100" w:type="dxa"/>
            <w:vAlign w:val="bottom"/>
            <w:tcBorders>
              <w:top w:val="single" w:sz="8" w:color="8797B7"/>
            </w:tcBorders>
          </w:tcPr>
          <w:p>
            <w:pPr>
              <w:spacing w:after="0"/>
              <w:rPr>
                <w:sz w:val="20"/>
                <w:szCs w:val="20"/>
                <w:color w:val="auto"/>
              </w:rPr>
            </w:pPr>
            <w:r>
              <w:rPr>
                <w:rFonts w:ascii="Arial" w:cs="Arial" w:eastAsia="Arial" w:hAnsi="Arial"/>
                <w:sz w:val="18"/>
                <w:szCs w:val="18"/>
                <w:color w:val="auto"/>
              </w:rPr>
              <w:t>Morgan Stanley</w:t>
            </w:r>
          </w:p>
        </w:tc>
        <w:tc>
          <w:tcPr>
            <w:tcW w:w="160" w:type="dxa"/>
            <w:vAlign w:val="bottom"/>
          </w:tcPr>
          <w:p>
            <w:pPr>
              <w:spacing w:after="0"/>
              <w:rPr>
                <w:sz w:val="19"/>
                <w:szCs w:val="19"/>
                <w:color w:val="auto"/>
              </w:rPr>
            </w:pPr>
          </w:p>
        </w:tc>
        <w:tc>
          <w:tcPr>
            <w:tcW w:w="840" w:type="dxa"/>
            <w:vAlign w:val="bottom"/>
            <w:tcBorders>
              <w:top w:val="single" w:sz="8" w:color="8797B7"/>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8797B7"/>
            </w:tcBorders>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top w:val="single" w:sz="8" w:color="8797B7"/>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8797B7"/>
            </w:tcBorders>
          </w:tcPr>
          <w:p>
            <w:pPr>
              <w:spacing w:after="0"/>
              <w:rPr>
                <w:sz w:val="19"/>
                <w:szCs w:val="19"/>
                <w:color w:val="auto"/>
              </w:rPr>
            </w:pPr>
          </w:p>
        </w:tc>
      </w:tr>
      <w:tr>
        <w:trPr>
          <w:trHeight w:val="326"/>
        </w:trPr>
        <w:tc>
          <w:tcPr>
            <w:tcW w:w="7260" w:type="dxa"/>
            <w:vAlign w:val="bottom"/>
            <w:gridSpan w:val="2"/>
          </w:tcPr>
          <w:p>
            <w:pPr>
              <w:spacing w:after="0" w:line="326" w:lineRule="exact"/>
              <w:rPr>
                <w:sz w:val="20"/>
                <w:szCs w:val="20"/>
                <w:color w:val="auto"/>
              </w:rPr>
            </w:pPr>
            <w:r>
              <w:rPr>
                <w:rFonts w:ascii="Arial" w:cs="Arial" w:eastAsia="Arial" w:hAnsi="Arial"/>
                <w:sz w:val="18"/>
                <w:szCs w:val="18"/>
                <w:color w:val="auto"/>
              </w:rPr>
              <w:t>Morgan Stanley Investment Management Inc.</w:t>
            </w:r>
            <w:r>
              <w:rPr>
                <w:rFonts w:ascii="Arial" w:cs="Arial" w:eastAsia="Arial" w:hAnsi="Arial"/>
                <w:sz w:val="29"/>
                <w:szCs w:val="29"/>
                <w:color w:val="auto"/>
                <w:vertAlign w:val="superscript"/>
              </w:rPr>
              <w:t>(7)</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4,033,087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5.20%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4,033,087</w:t>
            </w:r>
          </w:p>
        </w:tc>
        <w:tc>
          <w:tcPr>
            <w:tcW w:w="96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31"/>
        </w:trPr>
        <w:tc>
          <w:tcPr>
            <w:tcW w:w="7100" w:type="dxa"/>
            <w:vAlign w:val="bottom"/>
            <w:tcBorders>
              <w:top w:val="single" w:sz="8" w:color="8797B7"/>
              <w:bottom w:val="single" w:sz="8" w:color="8797B7"/>
            </w:tcBorders>
          </w:tcPr>
          <w:p>
            <w:pPr>
              <w:spacing w:after="0"/>
              <w:rPr>
                <w:sz w:val="20"/>
                <w:szCs w:val="20"/>
                <w:color w:val="auto"/>
              </w:rPr>
            </w:pPr>
            <w:r>
              <w:rPr>
                <w:rFonts w:ascii="Arial" w:cs="Arial" w:eastAsia="Arial" w:hAnsi="Arial"/>
                <w:sz w:val="18"/>
                <w:szCs w:val="18"/>
                <w:b w:val="1"/>
                <w:bCs w:val="1"/>
                <w:color w:val="auto"/>
              </w:rPr>
              <w:t>Directors, Nominees for Director and Named Executive Officers</w:t>
            </w:r>
          </w:p>
        </w:tc>
        <w:tc>
          <w:tcPr>
            <w:tcW w:w="160" w:type="dxa"/>
            <w:vAlign w:val="bottom"/>
          </w:tcPr>
          <w:p>
            <w:pPr>
              <w:spacing w:after="0"/>
              <w:rPr>
                <w:sz w:val="20"/>
                <w:szCs w:val="20"/>
                <w:color w:val="auto"/>
              </w:rPr>
            </w:pPr>
          </w:p>
        </w:tc>
        <w:tc>
          <w:tcPr>
            <w:tcW w:w="840" w:type="dxa"/>
            <w:vAlign w:val="bottom"/>
            <w:tcBorders>
              <w:top w:val="single" w:sz="8" w:color="8797B7"/>
              <w:bottom w:val="single" w:sz="8" w:color="8797B7"/>
            </w:tcBorders>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8797B7"/>
              <w:bottom w:val="single" w:sz="8" w:color="8797B7"/>
            </w:tcBorders>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top w:val="single" w:sz="8" w:color="8797B7"/>
              <w:bottom w:val="single" w:sz="8" w:color="8797B7"/>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top w:val="single" w:sz="8" w:color="8797B7"/>
              <w:bottom w:val="single" w:sz="8" w:color="8797B7"/>
            </w:tcBorders>
          </w:tcPr>
          <w:p>
            <w:pPr>
              <w:spacing w:after="0"/>
              <w:rPr>
                <w:sz w:val="20"/>
                <w:szCs w:val="20"/>
                <w:color w:val="auto"/>
              </w:rPr>
            </w:pPr>
          </w:p>
        </w:tc>
      </w:tr>
      <w:tr>
        <w:trPr>
          <w:trHeight w:val="309"/>
        </w:trPr>
        <w:tc>
          <w:tcPr>
            <w:tcW w:w="7100" w:type="dxa"/>
            <w:vAlign w:val="bottom"/>
          </w:tcPr>
          <w:p>
            <w:pPr>
              <w:spacing w:after="0" w:line="309" w:lineRule="exact"/>
              <w:rPr>
                <w:sz w:val="20"/>
                <w:szCs w:val="20"/>
                <w:color w:val="auto"/>
              </w:rPr>
            </w:pPr>
            <w:r>
              <w:rPr>
                <w:rFonts w:ascii="Arial" w:cs="Arial" w:eastAsia="Arial" w:hAnsi="Arial"/>
                <w:sz w:val="18"/>
                <w:szCs w:val="18"/>
                <w:color w:val="auto"/>
              </w:rPr>
              <w:t>John H. Alschuler</w:t>
            </w:r>
            <w:r>
              <w:rPr>
                <w:rFonts w:ascii="Arial" w:cs="Arial" w:eastAsia="Arial" w:hAnsi="Arial"/>
                <w:sz w:val="29"/>
                <w:szCs w:val="29"/>
                <w:color w:val="auto"/>
                <w:vertAlign w:val="superscript"/>
              </w:rPr>
              <w:t>(8)</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15,286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24,002</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1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8797B7"/>
          </w:tcPr>
          <w:p>
            <w:pPr>
              <w:spacing w:after="0" w:line="20" w:lineRule="exact"/>
              <w:rPr>
                <w:sz w:val="1"/>
                <w:szCs w:val="1"/>
                <w:color w:val="auto"/>
              </w:rPr>
            </w:pPr>
          </w:p>
        </w:tc>
      </w:tr>
      <w:tr>
        <w:trPr>
          <w:trHeight w:val="304"/>
        </w:trPr>
        <w:tc>
          <w:tcPr>
            <w:tcW w:w="7100" w:type="dxa"/>
            <w:vAlign w:val="bottom"/>
          </w:tcPr>
          <w:p>
            <w:pPr>
              <w:spacing w:after="0" w:line="303" w:lineRule="exact"/>
              <w:rPr>
                <w:sz w:val="20"/>
                <w:szCs w:val="20"/>
                <w:color w:val="auto"/>
              </w:rPr>
            </w:pPr>
            <w:r>
              <w:rPr>
                <w:rFonts w:ascii="Arial" w:cs="Arial" w:eastAsia="Arial" w:hAnsi="Arial"/>
                <w:sz w:val="18"/>
                <w:szCs w:val="18"/>
                <w:color w:val="auto"/>
              </w:rPr>
              <w:t>Betsy S. Atkins</w:t>
            </w:r>
            <w:r>
              <w:rPr>
                <w:rFonts w:ascii="Arial" w:cs="Arial" w:eastAsia="Arial" w:hAnsi="Arial"/>
                <w:sz w:val="29"/>
                <w:szCs w:val="29"/>
                <w:color w:val="auto"/>
                <w:vertAlign w:val="superscript"/>
              </w:rPr>
              <w:t>(9)</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5,857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7,610</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1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8797B7"/>
          </w:tcPr>
          <w:p>
            <w:pPr>
              <w:spacing w:after="0" w:line="20" w:lineRule="exact"/>
              <w:rPr>
                <w:sz w:val="1"/>
                <w:szCs w:val="1"/>
                <w:color w:val="auto"/>
              </w:rPr>
            </w:pPr>
          </w:p>
        </w:tc>
      </w:tr>
      <w:tr>
        <w:trPr>
          <w:trHeight w:val="304"/>
        </w:trPr>
        <w:tc>
          <w:tcPr>
            <w:tcW w:w="7100" w:type="dxa"/>
            <w:vAlign w:val="bottom"/>
          </w:tcPr>
          <w:p>
            <w:pPr>
              <w:spacing w:after="0" w:line="303" w:lineRule="exact"/>
              <w:rPr>
                <w:sz w:val="20"/>
                <w:szCs w:val="20"/>
                <w:color w:val="auto"/>
              </w:rPr>
            </w:pPr>
            <w:r>
              <w:rPr>
                <w:rFonts w:ascii="Arial" w:cs="Arial" w:eastAsia="Arial" w:hAnsi="Arial"/>
                <w:sz w:val="18"/>
                <w:szCs w:val="18"/>
                <w:color w:val="auto"/>
              </w:rPr>
              <w:t>Edwin T. Burton, III</w:t>
            </w:r>
            <w:r>
              <w:rPr>
                <w:rFonts w:ascii="Arial" w:cs="Arial" w:eastAsia="Arial" w:hAnsi="Arial"/>
                <w:sz w:val="29"/>
                <w:szCs w:val="29"/>
                <w:color w:val="auto"/>
                <w:vertAlign w:val="superscript"/>
              </w:rPr>
              <w:t>(10)</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2,935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38,369</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1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8797B7"/>
          </w:tcPr>
          <w:p>
            <w:pPr>
              <w:spacing w:after="0" w:line="20" w:lineRule="exact"/>
              <w:rPr>
                <w:sz w:val="1"/>
                <w:szCs w:val="1"/>
                <w:color w:val="auto"/>
              </w:rPr>
            </w:pPr>
          </w:p>
        </w:tc>
      </w:tr>
      <w:tr>
        <w:trPr>
          <w:trHeight w:val="304"/>
        </w:trPr>
        <w:tc>
          <w:tcPr>
            <w:tcW w:w="7100" w:type="dxa"/>
            <w:vAlign w:val="bottom"/>
          </w:tcPr>
          <w:p>
            <w:pPr>
              <w:spacing w:after="0" w:line="303" w:lineRule="exact"/>
              <w:rPr>
                <w:sz w:val="20"/>
                <w:szCs w:val="20"/>
                <w:color w:val="auto"/>
              </w:rPr>
            </w:pPr>
            <w:r>
              <w:rPr>
                <w:rFonts w:ascii="Arial" w:cs="Arial" w:eastAsia="Arial" w:hAnsi="Arial"/>
                <w:sz w:val="18"/>
                <w:szCs w:val="18"/>
                <w:color w:val="auto"/>
              </w:rPr>
              <w:t>Matthew J. DiLiberto</w:t>
            </w:r>
            <w:r>
              <w:rPr>
                <w:rFonts w:ascii="Arial" w:cs="Arial" w:eastAsia="Arial" w:hAnsi="Arial"/>
                <w:sz w:val="29"/>
                <w:szCs w:val="29"/>
                <w:color w:val="auto"/>
                <w:vertAlign w:val="superscript"/>
              </w:rPr>
              <w:t>(11)</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2,171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54,590</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1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8797B7"/>
          </w:tcPr>
          <w:p>
            <w:pPr>
              <w:spacing w:after="0" w:line="20" w:lineRule="exact"/>
              <w:rPr>
                <w:sz w:val="1"/>
                <w:szCs w:val="1"/>
                <w:color w:val="auto"/>
              </w:rPr>
            </w:pPr>
          </w:p>
        </w:tc>
      </w:tr>
      <w:tr>
        <w:trPr>
          <w:trHeight w:val="304"/>
        </w:trPr>
        <w:tc>
          <w:tcPr>
            <w:tcW w:w="7100" w:type="dxa"/>
            <w:vAlign w:val="bottom"/>
          </w:tcPr>
          <w:p>
            <w:pPr>
              <w:spacing w:after="0" w:line="303" w:lineRule="exact"/>
              <w:rPr>
                <w:sz w:val="20"/>
                <w:szCs w:val="20"/>
                <w:color w:val="auto"/>
              </w:rPr>
            </w:pPr>
            <w:r>
              <w:rPr>
                <w:rFonts w:ascii="Arial" w:cs="Arial" w:eastAsia="Arial" w:hAnsi="Arial"/>
                <w:sz w:val="18"/>
                <w:szCs w:val="18"/>
                <w:color w:val="auto"/>
              </w:rPr>
              <w:t>Lauren B. Dillard</w:t>
            </w:r>
            <w:r>
              <w:rPr>
                <w:rFonts w:ascii="Arial" w:cs="Arial" w:eastAsia="Arial" w:hAnsi="Arial"/>
                <w:sz w:val="29"/>
                <w:szCs w:val="29"/>
                <w:color w:val="auto"/>
                <w:vertAlign w:val="superscript"/>
              </w:rPr>
              <w:t>(12)</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16,067</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1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8797B7"/>
          </w:tcPr>
          <w:p>
            <w:pPr>
              <w:spacing w:after="0" w:line="20" w:lineRule="exact"/>
              <w:rPr>
                <w:sz w:val="1"/>
                <w:szCs w:val="1"/>
                <w:color w:val="auto"/>
              </w:rPr>
            </w:pPr>
          </w:p>
        </w:tc>
      </w:tr>
      <w:tr>
        <w:trPr>
          <w:trHeight w:val="304"/>
        </w:trPr>
        <w:tc>
          <w:tcPr>
            <w:tcW w:w="7100" w:type="dxa"/>
            <w:vAlign w:val="bottom"/>
          </w:tcPr>
          <w:p>
            <w:pPr>
              <w:spacing w:after="0" w:line="303" w:lineRule="exact"/>
              <w:rPr>
                <w:sz w:val="20"/>
                <w:szCs w:val="20"/>
                <w:color w:val="auto"/>
              </w:rPr>
            </w:pPr>
            <w:r>
              <w:rPr>
                <w:rFonts w:ascii="Arial" w:cs="Arial" w:eastAsia="Arial" w:hAnsi="Arial"/>
                <w:sz w:val="18"/>
                <w:szCs w:val="18"/>
                <w:color w:val="auto"/>
              </w:rPr>
              <w:t>Stephen L. Green</w:t>
            </w:r>
            <w:r>
              <w:rPr>
                <w:rFonts w:ascii="Arial" w:cs="Arial" w:eastAsia="Arial" w:hAnsi="Arial"/>
                <w:sz w:val="29"/>
                <w:szCs w:val="29"/>
                <w:color w:val="auto"/>
                <w:vertAlign w:val="superscript"/>
              </w:rPr>
              <w:t>(13)</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959,636</w:t>
            </w: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71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8797B7"/>
          </w:tcPr>
          <w:p>
            <w:pPr>
              <w:spacing w:after="0" w:line="20" w:lineRule="exact"/>
              <w:rPr>
                <w:sz w:val="1"/>
                <w:szCs w:val="1"/>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Craig M. Hatkoff</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5,292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5,292</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71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8797B7"/>
          </w:tcPr>
          <w:p>
            <w:pPr>
              <w:spacing w:after="0" w:line="20" w:lineRule="exact"/>
              <w:rPr>
                <w:sz w:val="1"/>
                <w:szCs w:val="1"/>
                <w:color w:val="auto"/>
              </w:rPr>
            </w:pPr>
          </w:p>
        </w:tc>
      </w:tr>
      <w:tr>
        <w:trPr>
          <w:trHeight w:val="311"/>
        </w:trPr>
        <w:tc>
          <w:tcPr>
            <w:tcW w:w="7100" w:type="dxa"/>
            <w:vAlign w:val="bottom"/>
          </w:tcPr>
          <w:p>
            <w:pPr>
              <w:spacing w:after="0" w:line="310" w:lineRule="exact"/>
              <w:rPr>
                <w:sz w:val="20"/>
                <w:szCs w:val="20"/>
                <w:color w:val="auto"/>
              </w:rPr>
            </w:pPr>
            <w:r>
              <w:rPr>
                <w:rFonts w:ascii="Arial" w:cs="Arial" w:eastAsia="Arial" w:hAnsi="Arial"/>
                <w:sz w:val="18"/>
                <w:szCs w:val="18"/>
                <w:color w:val="auto"/>
              </w:rPr>
              <w:t>Marc Holliday</w:t>
            </w:r>
            <w:r>
              <w:rPr>
                <w:rFonts w:ascii="Arial" w:cs="Arial" w:eastAsia="Arial" w:hAnsi="Arial"/>
                <w:sz w:val="29"/>
                <w:szCs w:val="29"/>
                <w:color w:val="auto"/>
                <w:vertAlign w:val="superscript"/>
              </w:rPr>
              <w:t>(14)</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108,602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1,032,716</w:t>
            </w:r>
          </w:p>
        </w:tc>
        <w:tc>
          <w:tcPr>
            <w:tcW w:w="9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71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8797B7"/>
          </w:tcPr>
          <w:p>
            <w:pPr>
              <w:spacing w:after="0" w:line="20" w:lineRule="exact"/>
              <w:rPr>
                <w:sz w:val="1"/>
                <w:szCs w:val="1"/>
                <w:color w:val="auto"/>
              </w:rPr>
            </w:pPr>
          </w:p>
        </w:tc>
      </w:tr>
      <w:tr>
        <w:trPr>
          <w:trHeight w:val="304"/>
        </w:trPr>
        <w:tc>
          <w:tcPr>
            <w:tcW w:w="7100" w:type="dxa"/>
            <w:vAlign w:val="bottom"/>
          </w:tcPr>
          <w:p>
            <w:pPr>
              <w:spacing w:after="0" w:line="303" w:lineRule="exact"/>
              <w:rPr>
                <w:sz w:val="20"/>
                <w:szCs w:val="20"/>
                <w:color w:val="auto"/>
              </w:rPr>
            </w:pPr>
            <w:r>
              <w:rPr>
                <w:rFonts w:ascii="Arial" w:cs="Arial" w:eastAsia="Arial" w:hAnsi="Arial"/>
                <w:sz w:val="18"/>
                <w:szCs w:val="18"/>
                <w:color w:val="auto"/>
              </w:rPr>
              <w:t>Andrew S. Levine</w:t>
            </w:r>
            <w:r>
              <w:rPr>
                <w:rFonts w:ascii="Arial" w:cs="Arial" w:eastAsia="Arial" w:hAnsi="Arial"/>
                <w:sz w:val="29"/>
                <w:szCs w:val="29"/>
                <w:color w:val="auto"/>
                <w:vertAlign w:val="superscript"/>
              </w:rPr>
              <w:t>(15)</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26,551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167,184</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1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8797B7"/>
          </w:tcPr>
          <w:p>
            <w:pPr>
              <w:spacing w:after="0" w:line="20" w:lineRule="exact"/>
              <w:rPr>
                <w:sz w:val="1"/>
                <w:szCs w:val="1"/>
                <w:color w:val="auto"/>
              </w:rPr>
            </w:pPr>
          </w:p>
        </w:tc>
      </w:tr>
      <w:tr>
        <w:trPr>
          <w:trHeight w:val="304"/>
        </w:trPr>
        <w:tc>
          <w:tcPr>
            <w:tcW w:w="7100" w:type="dxa"/>
            <w:vAlign w:val="bottom"/>
          </w:tcPr>
          <w:p>
            <w:pPr>
              <w:spacing w:after="0" w:line="303" w:lineRule="exact"/>
              <w:rPr>
                <w:sz w:val="20"/>
                <w:szCs w:val="20"/>
                <w:color w:val="auto"/>
              </w:rPr>
            </w:pPr>
            <w:r>
              <w:rPr>
                <w:rFonts w:ascii="Arial" w:cs="Arial" w:eastAsia="Arial" w:hAnsi="Arial"/>
                <w:sz w:val="18"/>
                <w:szCs w:val="18"/>
                <w:color w:val="auto"/>
              </w:rPr>
              <w:t>John S. Levy</w:t>
            </w:r>
            <w:r>
              <w:rPr>
                <w:rFonts w:ascii="Arial" w:cs="Arial" w:eastAsia="Arial" w:hAnsi="Arial"/>
                <w:sz w:val="29"/>
                <w:szCs w:val="29"/>
                <w:color w:val="auto"/>
                <w:vertAlign w:val="superscript"/>
              </w:rPr>
              <w:t>(16)</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34,500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98,662</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1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8797B7"/>
          </w:tcPr>
          <w:p>
            <w:pPr>
              <w:spacing w:after="0" w:line="20" w:lineRule="exact"/>
              <w:rPr>
                <w:sz w:val="1"/>
                <w:szCs w:val="1"/>
                <w:color w:val="auto"/>
              </w:rPr>
            </w:pPr>
          </w:p>
        </w:tc>
      </w:tr>
      <w:tr>
        <w:trPr>
          <w:trHeight w:val="304"/>
        </w:trPr>
        <w:tc>
          <w:tcPr>
            <w:tcW w:w="7100" w:type="dxa"/>
            <w:vAlign w:val="bottom"/>
          </w:tcPr>
          <w:p>
            <w:pPr>
              <w:spacing w:after="0" w:line="303" w:lineRule="exact"/>
              <w:rPr>
                <w:sz w:val="20"/>
                <w:szCs w:val="20"/>
                <w:color w:val="auto"/>
              </w:rPr>
            </w:pPr>
            <w:r>
              <w:rPr>
                <w:rFonts w:ascii="Arial" w:cs="Arial" w:eastAsia="Arial" w:hAnsi="Arial"/>
                <w:sz w:val="18"/>
                <w:szCs w:val="18"/>
                <w:color w:val="auto"/>
              </w:rPr>
              <w:t>Andrew Mathias</w:t>
            </w:r>
            <w:r>
              <w:rPr>
                <w:rFonts w:ascii="Arial" w:cs="Arial" w:eastAsia="Arial" w:hAnsi="Arial"/>
                <w:sz w:val="29"/>
                <w:szCs w:val="29"/>
                <w:color w:val="auto"/>
                <w:vertAlign w:val="superscript"/>
              </w:rPr>
              <w:t>(17)</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355,801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1,116,530</w:t>
            </w: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71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8797B7"/>
          </w:tcPr>
          <w:p>
            <w:pPr>
              <w:spacing w:after="0" w:line="20" w:lineRule="exact"/>
              <w:rPr>
                <w:sz w:val="1"/>
                <w:szCs w:val="1"/>
                <w:color w:val="auto"/>
              </w:rPr>
            </w:pPr>
          </w:p>
        </w:tc>
      </w:tr>
      <w:tr>
        <w:trPr>
          <w:trHeight w:val="304"/>
        </w:trPr>
        <w:tc>
          <w:tcPr>
            <w:tcW w:w="7100" w:type="dxa"/>
            <w:vAlign w:val="bottom"/>
          </w:tcPr>
          <w:p>
            <w:pPr>
              <w:spacing w:after="0" w:line="303" w:lineRule="exact"/>
              <w:rPr>
                <w:sz w:val="20"/>
                <w:szCs w:val="20"/>
                <w:color w:val="auto"/>
              </w:rPr>
            </w:pPr>
            <w:r>
              <w:rPr>
                <w:rFonts w:ascii="Arial" w:cs="Arial" w:eastAsia="Arial" w:hAnsi="Arial"/>
                <w:sz w:val="18"/>
                <w:szCs w:val="18"/>
                <w:b w:val="1"/>
                <w:bCs w:val="1"/>
                <w:color w:val="auto"/>
              </w:rPr>
              <w:t>All Directors and Executive Officers as a Group (11 Persons)</w:t>
            </w:r>
            <w:r>
              <w:rPr>
                <w:rFonts w:ascii="Arial" w:cs="Arial" w:eastAsia="Arial" w:hAnsi="Arial"/>
                <w:sz w:val="29"/>
                <w:szCs w:val="29"/>
                <w:b w:val="1"/>
                <w:bCs w:val="1"/>
                <w:color w:val="auto"/>
                <w:vertAlign w:val="superscript"/>
              </w:rPr>
              <w:t>(18)</w:t>
            </w: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556,995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3,520,658</w:t>
            </w:r>
          </w:p>
        </w:tc>
        <w:tc>
          <w:tcPr>
            <w:tcW w:w="96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7"/>
        </w:trPr>
        <w:tc>
          <w:tcPr>
            <w:tcW w:w="710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355889"/>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355889"/>
          </w:tcPr>
          <w:p>
            <w:pPr>
              <w:spacing w:after="0"/>
              <w:rPr>
                <w:sz w:val="2"/>
                <w:szCs w:val="2"/>
                <w:color w:val="auto"/>
              </w:rPr>
            </w:pPr>
          </w:p>
        </w:tc>
      </w:tr>
    </w:tbl>
    <w:p>
      <w:pPr>
        <w:spacing w:after="0" w:line="107" w:lineRule="exact"/>
        <w:rPr>
          <w:sz w:val="20"/>
          <w:szCs w:val="20"/>
          <w:color w:val="auto"/>
        </w:rPr>
      </w:pPr>
    </w:p>
    <w:p>
      <w:pPr>
        <w:ind w:left="320" w:hanging="312"/>
        <w:spacing w:after="0"/>
        <w:tabs>
          <w:tab w:leader="none" w:pos="32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67" w:lineRule="exact"/>
        <w:rPr>
          <w:sz w:val="20"/>
          <w:szCs w:val="20"/>
          <w:color w:val="auto"/>
        </w:rPr>
      </w:pPr>
    </w:p>
    <w:p>
      <w:pPr>
        <w:ind w:left="320" w:hanging="312"/>
        <w:spacing w:after="0"/>
        <w:tabs>
          <w:tab w:leader="none" w:pos="32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Unless otherwise indicated, the business address is 420 Lexington Avenue, New York, New York 10170-1881.</w:t>
      </w:r>
    </w:p>
    <w:p>
      <w:pPr>
        <w:spacing w:after="0" w:line="67" w:lineRule="exact"/>
        <w:rPr>
          <w:sz w:val="20"/>
          <w:szCs w:val="20"/>
          <w:color w:val="auto"/>
        </w:rPr>
      </w:pPr>
    </w:p>
    <w:p>
      <w:pPr>
        <w:ind w:left="320" w:right="40" w:hanging="312"/>
        <w:spacing w:after="0" w:line="241" w:lineRule="auto"/>
        <w:tabs>
          <w:tab w:leader="none" w:pos="32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number of shares of common stock “beneficially owned” by each beneficial owner is determined under rules issued by the SEC regarding the beneficial ownership of securities. This information is not necessarily indicative of beneficial ownership for any other purpose. “Number of Shares Beneficially Owned” includes shares of common stock that may be acquired upon the exercise of options that are exercisable on or within 60 days after March 31, 2020. The “Number of Shares and Units Beneficially Owned” includes all shares included in the “Number of Shares Beneficially Owned” column plus (i) the number of shares of common stock for which common units and LTIP units may be redeemed (assuming, in the case of LTIP units, that they have first been converted into common units) regardless of whether such common units and LTIP units are currently redeemable, but excluding unearned performance-based LTIP units and (ii) the number of shares of common stock issuable upon settlement of outstanding phantom units. Class O LTIP units are not included in the “Number of Shares and Units Beneficially Owned.” Class O LTIP units are not economically equivalent to common units, but vested Class O LTIP units may be converted in a manner similar to a net exercise of a stock option into a number of common units that will vary based on the value of the common units upon conversion and the conversion threshold</w:t>
      </w:r>
    </w:p>
    <w:p>
      <w:pPr>
        <w:spacing w:after="0" w:line="207"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2020 Proxy Statement </w:t>
      </w:r>
      <w:r>
        <w:rPr>
          <w:rFonts w:ascii="Arial" w:cs="Arial" w:eastAsia="Arial" w:hAnsi="Arial"/>
          <w:sz w:val="16"/>
          <w:szCs w:val="16"/>
          <w:color w:val="355889"/>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STOCK OWNERSHIP INFORMATION</w:t>
      </w:r>
    </w:p>
    <w:p>
      <w:pPr>
        <w:spacing w:after="0" w:line="208" w:lineRule="exact"/>
        <w:rPr>
          <w:sz w:val="20"/>
          <w:szCs w:val="20"/>
          <w:color w:val="auto"/>
        </w:rPr>
      </w:pPr>
    </w:p>
    <w:p>
      <w:pPr>
        <w:ind w:left="400" w:right="80"/>
        <w:spacing w:after="0" w:line="248" w:lineRule="auto"/>
        <w:rPr>
          <w:sz w:val="20"/>
          <w:szCs w:val="20"/>
          <w:color w:val="auto"/>
        </w:rPr>
      </w:pPr>
      <w:r>
        <w:rPr>
          <w:rFonts w:ascii="Arial" w:cs="Arial" w:eastAsia="Arial" w:hAnsi="Arial"/>
          <w:sz w:val="13"/>
          <w:szCs w:val="13"/>
          <w:color w:val="auto"/>
        </w:rPr>
        <w:t>for the Class O LTIP units. Common units are generally redeemable by the holder for cash or, at our election, on a one-for-one basis into shares of our common stock. LTIP units, subject to the satisfaction of certain conditions, may be converted on a one-for-one basis into common units. Holders of common units, LTIP units and phantom units are not entitled to vote such units on any of the matters presented at the 2020 annual meeting.</w:t>
      </w:r>
    </w:p>
    <w:p>
      <w:pPr>
        <w:spacing w:after="0" w:line="50" w:lineRule="exact"/>
        <w:rPr>
          <w:sz w:val="20"/>
          <w:szCs w:val="20"/>
          <w:color w:val="auto"/>
        </w:rPr>
      </w:pPr>
    </w:p>
    <w:p>
      <w:pPr>
        <w:ind w:left="400" w:right="40" w:hanging="392"/>
        <w:spacing w:after="0" w:line="241" w:lineRule="auto"/>
        <w:tabs>
          <w:tab w:leader="none" w:pos="4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The total number of shares outstanding used in calculating the percentage of common stock held by each person assumes the exercise of all options to acquire shares of common stock that are exercisable on or within 60 days after March 31, 2020 held by the beneficial owner and that no options held by other beneficial owners are exercised. The total number of shares and units outstanding used in calculating the percentage of common stock and units held by each person (a) assumes that all common units and LTIP units (other than unearned performance-based LTIP units) are vested in full and presented (assuming conversion in full into common units, if applicable) to our operating partnership for redemption and are acquired by us for shares of common stock, (b) does not separately include outstanding common units held by us, as these common units are already reflected in the denominator by the inclusion of all outstanding shares of common stock and (c) assumes the exercise of all options to acquire shares of common stock that are exercisable on or within 60 days after March 31, 2020 and settlement for an equal number of shares of common stock of all phantom units held by the beneficial owner and that no options or phantom units held by other beneficial owners are exercised or settled.</w:t>
      </w:r>
    </w:p>
    <w:p>
      <w:pPr>
        <w:spacing w:after="0" w:line="54" w:lineRule="exact"/>
        <w:rPr>
          <w:rFonts w:ascii="Arial" w:cs="Arial" w:eastAsia="Arial" w:hAnsi="Arial"/>
          <w:sz w:val="13"/>
          <w:szCs w:val="13"/>
          <w:color w:val="auto"/>
        </w:rPr>
      </w:pPr>
    </w:p>
    <w:p>
      <w:pPr>
        <w:ind w:left="400" w:right="140" w:hanging="392"/>
        <w:spacing w:after="0" w:line="243" w:lineRule="auto"/>
        <w:tabs>
          <w:tab w:leader="none" w:pos="4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Based on information provided on a Schedule 13G/A filed with the SEC on February 11, 2020, as of December 31, 2019, by The Vanguard Group (“Vanguard”). Vanguard reported sole voting power with respect to 203,803 shares, shared voting power with respect to 103,020 shares, sole dispositive power with respect to 13,404,066 shares and shared dispositive power with respect to 218,768 shares. The business address of Vanguard is 100 Vanguard Blvd., Malvern, PA 19355. The number of shares reported as beneficially owned by Vanguard in such Schedule 13G/A includes 4,030,479 shares, representing 5.19% of our outstanding common stock, that Vanguard Specialized Funds—Vanguard Rreal Estate Index Fund separately reported as beneficially owned in a Schedule 13G filed on February 12, 2020 with the SEC.</w:t>
      </w:r>
    </w:p>
    <w:p>
      <w:pPr>
        <w:spacing w:after="0" w:line="53" w:lineRule="exact"/>
        <w:rPr>
          <w:rFonts w:ascii="Arial" w:cs="Arial" w:eastAsia="Arial" w:hAnsi="Arial"/>
          <w:sz w:val="13"/>
          <w:szCs w:val="13"/>
          <w:color w:val="auto"/>
        </w:rPr>
      </w:pPr>
    </w:p>
    <w:p>
      <w:pPr>
        <w:ind w:left="400" w:right="20" w:hanging="392"/>
        <w:spacing w:after="0" w:line="251" w:lineRule="auto"/>
        <w:tabs>
          <w:tab w:leader="none" w:pos="4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Based on information provided on a Schedule 13G/A filed with the SEC on February 4, 2020, as of December 31, 2019, by BlackRock, Inc. BlackRock, Inc. reported sole voting power with respect to 7,336,108 shares and sole dispositive power with respect to 8,213,724 shares. The business address for BlackRock, Inc. is 55 East 52nd Street, New York, NY 10022.</w:t>
      </w:r>
    </w:p>
    <w:p>
      <w:pPr>
        <w:spacing w:after="0" w:line="200" w:lineRule="exact"/>
        <w:rPr>
          <w:rFonts w:ascii="Arial" w:cs="Arial" w:eastAsia="Arial" w:hAnsi="Arial"/>
          <w:sz w:val="13"/>
          <w:szCs w:val="13"/>
          <w:color w:val="auto"/>
        </w:rPr>
      </w:pPr>
    </w:p>
    <w:p>
      <w:pPr>
        <w:ind w:left="400" w:right="100" w:hanging="392"/>
        <w:spacing w:after="0" w:line="248" w:lineRule="auto"/>
        <w:tabs>
          <w:tab w:leader="none" w:pos="4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Based on information provided on a Schedule 13G filed with the SEC on February 14, 2020, as of December 31, 2019, by T. Rowe Price Associates, Inc. T. Rowe Price Associates, Inc. reported sole voting power with respect to 2,747,390 shares and sole dispositive power with respect to 6,867,680 shares. The business address for T. Rowe Price Associates, Inc. is 100 E. Pratt Street, Baltimore, MD 21202.</w:t>
      </w:r>
    </w:p>
    <w:p>
      <w:pPr>
        <w:spacing w:after="0" w:line="49" w:lineRule="exact"/>
        <w:rPr>
          <w:rFonts w:ascii="Arial" w:cs="Arial" w:eastAsia="Arial" w:hAnsi="Arial"/>
          <w:sz w:val="13"/>
          <w:szCs w:val="13"/>
          <w:color w:val="auto"/>
        </w:rPr>
      </w:pPr>
    </w:p>
    <w:p>
      <w:pPr>
        <w:ind w:left="400" w:hanging="392"/>
        <w:spacing w:after="0" w:line="248" w:lineRule="auto"/>
        <w:tabs>
          <w:tab w:leader="none" w:pos="4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Based on information provided on a Schedule 13G filed with the SEC on February 14, 2020, as of December 31, 2019, by State Street Corporation. State Street Corporation reported shared voting power with respect to 4,966,982 shares and shared dispositive power with respect to 5,896,990 shares. The business address for State Street Corporation is One Lincoln Street, Boston, MA 02111.</w:t>
      </w:r>
    </w:p>
    <w:p>
      <w:pPr>
        <w:spacing w:after="0" w:line="49" w:lineRule="exact"/>
        <w:rPr>
          <w:rFonts w:ascii="Arial" w:cs="Arial" w:eastAsia="Arial" w:hAnsi="Arial"/>
          <w:sz w:val="13"/>
          <w:szCs w:val="13"/>
          <w:color w:val="auto"/>
        </w:rPr>
      </w:pPr>
    </w:p>
    <w:p>
      <w:pPr>
        <w:ind w:left="400" w:right="120" w:hanging="392"/>
        <w:spacing w:after="0" w:line="245" w:lineRule="auto"/>
        <w:tabs>
          <w:tab w:leader="none" w:pos="4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Based on information provided on a Schedule 13G/A filed with the SEC on February 13, 2020, as of December 31, 2019, jointly by Morgan Stanley and Morgan Stanley Investment Management Inc., a wholly owned subsidiary of Morgan Stanley. Morgan Stanley and Morgan Stanley Investment Management Inc. reported shared voting power with respect to 3,608,970 shares and shared dispositive power with respect to 4,033,087 shares. The business address for Morgan Stanley and Morgan Stanley Investment Management Inc. is 1585 Broadway New York, NY 10036.</w:t>
      </w:r>
    </w:p>
    <w:p>
      <w:pPr>
        <w:spacing w:after="0" w:line="51" w:lineRule="exact"/>
        <w:rPr>
          <w:rFonts w:ascii="Arial" w:cs="Arial" w:eastAsia="Arial" w:hAnsi="Arial"/>
          <w:sz w:val="13"/>
          <w:szCs w:val="13"/>
          <w:color w:val="auto"/>
        </w:rPr>
      </w:pPr>
    </w:p>
    <w:p>
      <w:pPr>
        <w:ind w:left="400" w:hanging="392"/>
        <w:spacing w:after="0" w:line="258" w:lineRule="auto"/>
        <w:tabs>
          <w:tab w:leader="none" w:pos="4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Includes 14,500 shares of our common stock subject to options exercisable within 60 days of March 31, 2020. Also includes, only under the “Number of Shares and Units Beneficially Owned” column, 8,716 phantom units.</w:t>
      </w:r>
    </w:p>
    <w:p>
      <w:pPr>
        <w:spacing w:after="0" w:line="43" w:lineRule="exact"/>
        <w:rPr>
          <w:rFonts w:ascii="Arial" w:cs="Arial" w:eastAsia="Arial" w:hAnsi="Arial"/>
          <w:sz w:val="13"/>
          <w:szCs w:val="13"/>
          <w:color w:val="auto"/>
        </w:rPr>
      </w:pPr>
    </w:p>
    <w:p>
      <w:pPr>
        <w:ind w:left="400" w:hanging="392"/>
        <w:spacing w:after="0"/>
        <w:tabs>
          <w:tab w:leader="none" w:pos="4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Includes, only under the “Number of Shares and Units Beneficially Owned” column, 1,753 phantom units.</w:t>
      </w:r>
    </w:p>
    <w:p>
      <w:pPr>
        <w:spacing w:after="0" w:line="66" w:lineRule="exact"/>
        <w:rPr>
          <w:rFonts w:ascii="Arial" w:cs="Arial" w:eastAsia="Arial" w:hAnsi="Arial"/>
          <w:sz w:val="13"/>
          <w:szCs w:val="13"/>
          <w:color w:val="auto"/>
        </w:rPr>
      </w:pPr>
    </w:p>
    <w:p>
      <w:pPr>
        <w:ind w:left="400" w:hanging="392"/>
        <w:spacing w:after="0"/>
        <w:tabs>
          <w:tab w:leader="none" w:pos="4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Includes, only under the “Number of Shares and Units Beneficially Owned” column, 35,434 phantom units.</w:t>
      </w:r>
    </w:p>
    <w:p>
      <w:pPr>
        <w:spacing w:after="0" w:line="66" w:lineRule="exact"/>
        <w:rPr>
          <w:rFonts w:ascii="Arial" w:cs="Arial" w:eastAsia="Arial" w:hAnsi="Arial"/>
          <w:sz w:val="13"/>
          <w:szCs w:val="13"/>
          <w:color w:val="auto"/>
        </w:rPr>
      </w:pPr>
    </w:p>
    <w:p>
      <w:pPr>
        <w:ind w:left="400" w:right="200" w:hanging="392"/>
        <w:spacing w:after="0" w:line="258" w:lineRule="auto"/>
        <w:tabs>
          <w:tab w:leader="none" w:pos="4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Includes, only under the “Number of Shares and Units Beneficially Owned” column, 52,419 LTIP units (of which 9,484 LTIP units are subject to vesting). The totals exclude 30,000 Class O LTIP units and all unearned performance-based LTIP units.</w:t>
      </w:r>
    </w:p>
    <w:p>
      <w:pPr>
        <w:spacing w:after="0" w:line="43" w:lineRule="exact"/>
        <w:rPr>
          <w:rFonts w:ascii="Arial" w:cs="Arial" w:eastAsia="Arial" w:hAnsi="Arial"/>
          <w:sz w:val="13"/>
          <w:szCs w:val="13"/>
          <w:color w:val="auto"/>
        </w:rPr>
      </w:pPr>
    </w:p>
    <w:p>
      <w:pPr>
        <w:ind w:left="400" w:hanging="392"/>
        <w:spacing w:after="0"/>
        <w:tabs>
          <w:tab w:leader="none" w:pos="4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Includes, only under the “Number of Shares and Units Beneficially Owned” column, 16,067 phantom units.</w:t>
      </w:r>
    </w:p>
    <w:p>
      <w:pPr>
        <w:spacing w:after="0" w:line="66" w:lineRule="exact"/>
        <w:rPr>
          <w:rFonts w:ascii="Arial" w:cs="Arial" w:eastAsia="Arial" w:hAnsi="Arial"/>
          <w:sz w:val="13"/>
          <w:szCs w:val="13"/>
          <w:color w:val="auto"/>
        </w:rPr>
      </w:pPr>
    </w:p>
    <w:p>
      <w:pPr>
        <w:ind w:left="400" w:hanging="392"/>
        <w:spacing w:after="0"/>
        <w:tabs>
          <w:tab w:leader="none" w:pos="4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Includes, only under the “Number of Shares and Units Beneficially Owned” column, 786,645 common units, 167,134 LTIP units and 5,857 phantom units.</w:t>
      </w:r>
    </w:p>
    <w:p>
      <w:pPr>
        <w:spacing w:after="0" w:line="66" w:lineRule="exact"/>
        <w:rPr>
          <w:rFonts w:ascii="Arial" w:cs="Arial" w:eastAsia="Arial" w:hAnsi="Arial"/>
          <w:sz w:val="13"/>
          <w:szCs w:val="13"/>
          <w:color w:val="auto"/>
        </w:rPr>
      </w:pPr>
    </w:p>
    <w:p>
      <w:pPr>
        <w:ind w:left="400" w:right="120" w:hanging="392"/>
        <w:spacing w:after="0" w:line="251" w:lineRule="auto"/>
        <w:tabs>
          <w:tab w:leader="none" w:pos="4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Includes 100,000 shares of our common stock subject to options exercisable within 60 days of March 31, 2020. Also includes, only under the “Number of Shares and Units Beneficially Owned” column, 924,114 LTIP units (of which 109,824 LTIP units are subject to vesting). The totals exclude 210,000 Class O LTIP units and all unearned performance-based LTIP units.</w:t>
      </w:r>
    </w:p>
    <w:p>
      <w:pPr>
        <w:spacing w:after="0" w:line="200" w:lineRule="exact"/>
        <w:rPr>
          <w:rFonts w:ascii="Arial" w:cs="Arial" w:eastAsia="Arial" w:hAnsi="Arial"/>
          <w:sz w:val="13"/>
          <w:szCs w:val="13"/>
          <w:color w:val="auto"/>
        </w:rPr>
      </w:pPr>
    </w:p>
    <w:p>
      <w:pPr>
        <w:jc w:val="both"/>
        <w:ind w:left="400" w:right="300" w:hanging="392"/>
        <w:spacing w:after="0" w:line="251" w:lineRule="auto"/>
        <w:tabs>
          <w:tab w:leader="none" w:pos="4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Includes 12,500 shares of our common stock subject to options exercisable within 60 days of March 31, 2020. Includes, only under the “Number of Shares and Units Beneficially Owned” column, 140,633 LTIP units (of which 29,375 LTIP units are subject to vesting). The totals exclude 30,000 Class O LTIP units and all unearned performance-based LTIP units.</w:t>
      </w:r>
    </w:p>
    <w:p>
      <w:pPr>
        <w:spacing w:after="0" w:line="200" w:lineRule="exact"/>
        <w:rPr>
          <w:rFonts w:ascii="Arial" w:cs="Arial" w:eastAsia="Arial" w:hAnsi="Arial"/>
          <w:sz w:val="13"/>
          <w:szCs w:val="13"/>
          <w:color w:val="auto"/>
        </w:rPr>
      </w:pPr>
    </w:p>
    <w:p>
      <w:pPr>
        <w:ind w:left="400" w:hanging="392"/>
        <w:spacing w:after="0" w:line="258" w:lineRule="auto"/>
        <w:tabs>
          <w:tab w:leader="none" w:pos="4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Includes 20,500 shares of our common stock subject to options exercisable within 60 days of March 31, 2020. Also includes, only under the “Number of Shares and Units Beneficially Owned” column, 64,162 phantom units.</w:t>
      </w:r>
    </w:p>
    <w:p>
      <w:pPr>
        <w:spacing w:after="0" w:line="43" w:lineRule="exact"/>
        <w:rPr>
          <w:rFonts w:ascii="Arial" w:cs="Arial" w:eastAsia="Arial" w:hAnsi="Arial"/>
          <w:sz w:val="13"/>
          <w:szCs w:val="13"/>
          <w:color w:val="auto"/>
        </w:rPr>
      </w:pPr>
    </w:p>
    <w:p>
      <w:pPr>
        <w:ind w:left="400" w:hanging="392"/>
        <w:spacing w:after="0" w:line="258" w:lineRule="auto"/>
        <w:tabs>
          <w:tab w:leader="none" w:pos="4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Includes 65,000 shares of our common stock subject to options exercisable within 60 days of March 31, 2020. Also includes, only under the “Number of Shares and Units Beneficially Owned” column, 760,729 LTIP units (of which 86,763 LTIP units are subject to vesting). The totals exclude all unearned performance-based LTIP units.</w:t>
      </w:r>
    </w:p>
    <w:p>
      <w:pPr>
        <w:spacing w:after="0" w:line="43" w:lineRule="exact"/>
        <w:rPr>
          <w:rFonts w:ascii="Arial" w:cs="Arial" w:eastAsia="Arial" w:hAnsi="Arial"/>
          <w:sz w:val="13"/>
          <w:szCs w:val="13"/>
          <w:color w:val="auto"/>
        </w:rPr>
      </w:pPr>
    </w:p>
    <w:p>
      <w:pPr>
        <w:ind w:left="400" w:right="300" w:hanging="392"/>
        <w:spacing w:after="0" w:line="248" w:lineRule="auto"/>
        <w:tabs>
          <w:tab w:leader="none" w:pos="4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Includes an aggregate of 344,495 shares of common stock and 212,500 shares of common stock underlying exercisable stock options. Also includes, only under the “Number of Shares and Units Beneficially Owned” column, 786,645 common units, 2,078,721 LTIP units and 131,989 phantom units. See also Notes (8) – (17) above. Excludes unearned performance-based LTIP units and Class O LTIP units.</w:t>
      </w:r>
    </w:p>
    <w:p>
      <w:pPr>
        <w:spacing w:after="0" w:line="202" w:lineRule="exact"/>
        <w:rPr>
          <w:sz w:val="20"/>
          <w:szCs w:val="20"/>
          <w:color w:val="auto"/>
        </w:rPr>
      </w:pPr>
    </w:p>
    <w:p>
      <w:pPr>
        <w:ind w:left="300" w:hanging="292"/>
        <w:spacing w:after="0"/>
        <w:tabs>
          <w:tab w:leader="none" w:pos="300" w:val="left"/>
        </w:tabs>
        <w:numPr>
          <w:ilvl w:val="0"/>
          <w:numId w:val="138"/>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240"/>
        <w:spacing w:after="0"/>
        <w:rPr>
          <w:sz w:val="20"/>
          <w:szCs w:val="20"/>
          <w:color w:val="auto"/>
        </w:rPr>
      </w:pPr>
      <w:r>
        <w:rPr>
          <w:rFonts w:ascii="Arial" w:cs="Arial" w:eastAsia="Arial" w:hAnsi="Arial"/>
          <w:sz w:val="16"/>
          <w:szCs w:val="16"/>
          <w:u w:val="single" w:color="auto"/>
          <w:color w:val="355889"/>
        </w:rPr>
        <w:t>STOCK OWNERSHIP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Series I Preferred Stock</w:t>
      </w:r>
    </w:p>
    <w:p>
      <w:pPr>
        <w:spacing w:after="0" w:line="23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following table sets forth the beneficial ownership of our Series I Cumulative Redeemable Preferred Stock, $0.01 par value, as of March 31, 2020, for (i) each of our directors, (ii) each of our named executive officers who is not a director and (iii) our directors and executive officers as a group. None of our executive officers or directors own any shares of our Series I Cumulative Redeemable Preferred Stock except as set forth below. As of March 31, 2020, there were 9,200,000 shares of our Series I Cumulative Redeemable Preferred Stock.</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3"/>
          </w:tcPr>
          <w:p>
            <w:pPr>
              <w:jc w:val="right"/>
              <w:spacing w:after="0"/>
              <w:rPr>
                <w:sz w:val="20"/>
                <w:szCs w:val="20"/>
                <w:color w:val="auto"/>
              </w:rPr>
            </w:pPr>
            <w:r>
              <w:rPr>
                <w:rFonts w:ascii="Arial" w:cs="Arial" w:eastAsia="Arial" w:hAnsi="Arial"/>
                <w:sz w:val="13"/>
                <w:szCs w:val="13"/>
                <w:b w:val="1"/>
                <w:bCs w:val="1"/>
                <w:color w:val="355889"/>
              </w:rPr>
              <w:t>Series I Cumulative Redeemable</w:t>
            </w:r>
          </w:p>
        </w:tc>
      </w:tr>
      <w:tr>
        <w:trPr>
          <w:trHeight w:val="199"/>
        </w:trPr>
        <w:tc>
          <w:tcPr>
            <w:tcW w:w="8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bottom w:val="single" w:sz="8" w:color="355889"/>
            </w:tcBorders>
            <w:gridSpan w:val="3"/>
          </w:tcPr>
          <w:p>
            <w:pPr>
              <w:jc w:val="right"/>
              <w:ind w:right="499"/>
              <w:spacing w:after="0"/>
              <w:rPr>
                <w:sz w:val="20"/>
                <w:szCs w:val="20"/>
                <w:color w:val="auto"/>
              </w:rPr>
            </w:pPr>
            <w:r>
              <w:rPr>
                <w:rFonts w:ascii="Arial" w:cs="Arial" w:eastAsia="Arial" w:hAnsi="Arial"/>
                <w:sz w:val="13"/>
                <w:szCs w:val="13"/>
                <w:b w:val="1"/>
                <w:bCs w:val="1"/>
                <w:color w:val="355889"/>
              </w:rPr>
              <w:t>Preferred Stock</w:t>
            </w:r>
          </w:p>
        </w:tc>
      </w:tr>
      <w:tr>
        <w:trPr>
          <w:trHeight w:val="159"/>
        </w:trPr>
        <w:tc>
          <w:tcPr>
            <w:tcW w:w="8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355889"/>
              </w:rPr>
              <w:t>Number of Shares</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355889"/>
              </w:rPr>
              <w:t>Percent of</w:t>
            </w:r>
          </w:p>
        </w:tc>
      </w:tr>
      <w:tr>
        <w:trPr>
          <w:trHeight w:val="199"/>
        </w:trPr>
        <w:tc>
          <w:tcPr>
            <w:tcW w:w="8940" w:type="dxa"/>
            <w:vAlign w:val="bottom"/>
          </w:tcPr>
          <w:p>
            <w:pPr>
              <w:spacing w:after="0"/>
              <w:rPr>
                <w:sz w:val="20"/>
                <w:szCs w:val="20"/>
                <w:color w:val="auto"/>
              </w:rPr>
            </w:pPr>
            <w:r>
              <w:rPr>
                <w:rFonts w:ascii="Arial" w:cs="Arial" w:eastAsia="Arial" w:hAnsi="Arial"/>
                <w:sz w:val="13"/>
                <w:szCs w:val="13"/>
                <w:b w:val="1"/>
                <w:bCs w:val="1"/>
                <w:color w:val="355889"/>
              </w:rPr>
              <w:t>Name**</w:t>
            </w:r>
          </w:p>
        </w:tc>
        <w:tc>
          <w:tcPr>
            <w:tcW w:w="12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355889"/>
              </w:rPr>
              <w:t>Beneficially Owned</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355889"/>
              </w:rPr>
              <w:t>Outstanding</w:t>
            </w:r>
          </w:p>
        </w:tc>
      </w:tr>
      <w:tr>
        <w:trPr>
          <w:trHeight w:val="250"/>
        </w:trPr>
        <w:tc>
          <w:tcPr>
            <w:tcW w:w="8940" w:type="dxa"/>
            <w:vAlign w:val="bottom"/>
            <w:tcBorders>
              <w:top w:val="single" w:sz="8" w:color="355889"/>
              <w:bottom w:val="single" w:sz="8" w:color="8797B7"/>
            </w:tcBorders>
          </w:tcPr>
          <w:p>
            <w:pPr>
              <w:spacing w:after="0"/>
              <w:rPr>
                <w:sz w:val="20"/>
                <w:szCs w:val="20"/>
                <w:color w:val="auto"/>
              </w:rPr>
            </w:pPr>
            <w:r>
              <w:rPr>
                <w:rFonts w:ascii="Arial" w:cs="Arial" w:eastAsia="Arial" w:hAnsi="Arial"/>
                <w:sz w:val="18"/>
                <w:szCs w:val="18"/>
                <w:color w:val="auto"/>
              </w:rPr>
              <w:t>Matthew J. DiLiberto</w:t>
            </w:r>
          </w:p>
        </w:tc>
        <w:tc>
          <w:tcPr>
            <w:tcW w:w="120" w:type="dxa"/>
            <w:vAlign w:val="bottom"/>
          </w:tcPr>
          <w:p>
            <w:pPr>
              <w:spacing w:after="0"/>
              <w:rPr>
                <w:sz w:val="21"/>
                <w:szCs w:val="21"/>
                <w:color w:val="auto"/>
              </w:rPr>
            </w:pPr>
          </w:p>
        </w:tc>
        <w:tc>
          <w:tcPr>
            <w:tcW w:w="1240" w:type="dxa"/>
            <w:vAlign w:val="bottom"/>
            <w:tcBorders>
              <w:top w:val="single" w:sz="8" w:color="355889"/>
              <w:bottom w:val="single" w:sz="8" w:color="8797B7"/>
            </w:tcBorders>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21"/>
                <w:szCs w:val="21"/>
                <w:color w:val="auto"/>
              </w:rPr>
            </w:pPr>
          </w:p>
        </w:tc>
        <w:tc>
          <w:tcPr>
            <w:tcW w:w="800" w:type="dxa"/>
            <w:vAlign w:val="bottom"/>
            <w:tcBorders>
              <w:top w:val="single" w:sz="8" w:color="355889"/>
              <w:bottom w:val="single" w:sz="8" w:color="8797B7"/>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940" w:type="dxa"/>
            <w:vAlign w:val="bottom"/>
          </w:tcPr>
          <w:p>
            <w:pPr>
              <w:spacing w:after="0"/>
              <w:rPr>
                <w:sz w:val="20"/>
                <w:szCs w:val="20"/>
                <w:color w:val="auto"/>
              </w:rPr>
            </w:pPr>
            <w:r>
              <w:rPr>
                <w:rFonts w:ascii="Arial" w:cs="Arial" w:eastAsia="Arial" w:hAnsi="Arial"/>
                <w:sz w:val="18"/>
                <w:szCs w:val="18"/>
                <w:color w:val="auto"/>
              </w:rPr>
              <w:t>Marc Holliday</w:t>
            </w:r>
          </w:p>
        </w:tc>
        <w:tc>
          <w:tcPr>
            <w:tcW w:w="12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92,130</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50"/>
        </w:trPr>
        <w:tc>
          <w:tcPr>
            <w:tcW w:w="8940" w:type="dxa"/>
            <w:vAlign w:val="bottom"/>
            <w:tcBorders>
              <w:top w:val="single" w:sz="8" w:color="8797B7"/>
              <w:bottom w:val="single" w:sz="8" w:color="8797B7"/>
            </w:tcBorders>
          </w:tcPr>
          <w:p>
            <w:pPr>
              <w:spacing w:after="0"/>
              <w:rPr>
                <w:sz w:val="20"/>
                <w:szCs w:val="20"/>
                <w:color w:val="auto"/>
              </w:rPr>
            </w:pPr>
            <w:r>
              <w:rPr>
                <w:rFonts w:ascii="Arial" w:cs="Arial" w:eastAsia="Arial" w:hAnsi="Arial"/>
                <w:sz w:val="18"/>
                <w:szCs w:val="18"/>
                <w:color w:val="auto"/>
              </w:rPr>
              <w:t>Andrew S. Levine</w:t>
            </w:r>
          </w:p>
        </w:tc>
        <w:tc>
          <w:tcPr>
            <w:tcW w:w="120" w:type="dxa"/>
            <w:vAlign w:val="bottom"/>
          </w:tcPr>
          <w:p>
            <w:pPr>
              <w:spacing w:after="0"/>
              <w:rPr>
                <w:sz w:val="21"/>
                <w:szCs w:val="21"/>
                <w:color w:val="auto"/>
              </w:rPr>
            </w:pPr>
          </w:p>
        </w:tc>
        <w:tc>
          <w:tcPr>
            <w:tcW w:w="1240" w:type="dxa"/>
            <w:vAlign w:val="bottom"/>
            <w:tcBorders>
              <w:top w:val="single" w:sz="8" w:color="8797B7"/>
              <w:bottom w:val="single" w:sz="8" w:color="8797B7"/>
            </w:tcBorders>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21"/>
                <w:szCs w:val="21"/>
                <w:color w:val="auto"/>
              </w:rPr>
            </w:pPr>
          </w:p>
        </w:tc>
        <w:tc>
          <w:tcPr>
            <w:tcW w:w="800" w:type="dxa"/>
            <w:vAlign w:val="bottom"/>
            <w:tcBorders>
              <w:top w:val="single" w:sz="8" w:color="8797B7"/>
              <w:bottom w:val="single" w:sz="8" w:color="8797B7"/>
            </w:tcBorders>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940" w:type="dxa"/>
            <w:vAlign w:val="bottom"/>
            <w:tcBorders>
              <w:bottom w:val="single" w:sz="8" w:color="355889"/>
            </w:tcBorders>
          </w:tcPr>
          <w:p>
            <w:pPr>
              <w:spacing w:after="0"/>
              <w:rPr>
                <w:sz w:val="20"/>
                <w:szCs w:val="20"/>
                <w:color w:val="auto"/>
              </w:rPr>
            </w:pPr>
            <w:r>
              <w:rPr>
                <w:rFonts w:ascii="Arial" w:cs="Arial" w:eastAsia="Arial" w:hAnsi="Arial"/>
                <w:sz w:val="18"/>
                <w:szCs w:val="18"/>
                <w:color w:val="auto"/>
              </w:rPr>
              <w:t>All Directors and Executive Officers as a Group (11 Persons)</w:t>
            </w:r>
          </w:p>
        </w:tc>
        <w:tc>
          <w:tcPr>
            <w:tcW w:w="120" w:type="dxa"/>
            <w:vAlign w:val="bottom"/>
          </w:tcPr>
          <w:p>
            <w:pPr>
              <w:spacing w:after="0"/>
              <w:rPr>
                <w:sz w:val="22"/>
                <w:szCs w:val="22"/>
                <w:color w:val="auto"/>
              </w:rPr>
            </w:pPr>
          </w:p>
        </w:tc>
        <w:tc>
          <w:tcPr>
            <w:tcW w:w="124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rPr>
              <w:t>100,130</w:t>
            </w:r>
          </w:p>
        </w:tc>
        <w:tc>
          <w:tcPr>
            <w:tcW w:w="140" w:type="dxa"/>
            <w:vAlign w:val="bottom"/>
          </w:tcPr>
          <w:p>
            <w:pPr>
              <w:spacing w:after="0"/>
              <w:rPr>
                <w:sz w:val="22"/>
                <w:szCs w:val="22"/>
                <w:color w:val="auto"/>
              </w:rPr>
            </w:pPr>
          </w:p>
        </w:tc>
        <w:tc>
          <w:tcPr>
            <w:tcW w:w="80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rPr>
              <w:t>1.09%</w:t>
            </w:r>
          </w:p>
        </w:tc>
      </w:tr>
    </w:tbl>
    <w:p>
      <w:pPr>
        <w:spacing w:after="0" w:line="107" w:lineRule="exact"/>
        <w:rPr>
          <w:sz w:val="20"/>
          <w:szCs w:val="20"/>
          <w:color w:val="auto"/>
        </w:rPr>
      </w:pPr>
    </w:p>
    <w:p>
      <w:pPr>
        <w:ind w:left="220" w:hanging="212"/>
        <w:spacing w:after="0"/>
        <w:tabs>
          <w:tab w:leader="none" w:pos="22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Section 16(a) of the Securities Exchange Act of 1934, as amended,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applicable to our executive officers, directors and persons who own more than 10% of a registered class of our equity securities were satisfied, with the exception of Mr. DiLiberto who inadvertently failed to file timely a Form 4 relating to (i) the redemption and conversion of LTIP units on March 8, 2019 and (ii) the sale of common stock on March 12, 2019. These transactions were subsequently reflected on a Form 4 filed on March 14, 2019.</w:t>
      </w:r>
    </w:p>
    <w:p>
      <w:pPr>
        <w:spacing w:after="0" w:line="186"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2020 Proxy Statement </w:t>
      </w:r>
      <w:r>
        <w:rPr>
          <w:rFonts w:ascii="Arial" w:cs="Arial" w:eastAsia="Arial" w:hAnsi="Arial"/>
          <w:sz w:val="16"/>
          <w:szCs w:val="16"/>
          <w:color w:val="355889"/>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55889"/>
        </w:rPr>
        <w:t>CERTAIN RELATIONSHIPS AND RELATED PARTY TRANSACTIONS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Policies and Procedures With Respect to Related Party Transactions</w:t>
      </w:r>
    </w:p>
    <w:p>
      <w:pPr>
        <w:spacing w:after="0" w:line="233"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All related party transactions (generally, transactions involving amounts exceeding $120,000 in which directors and executive officers or their immediate family members, or stockholders owning 5% of more of our outstanding common stock have an interest) are subject to approval or ratification in accordance with the procedures described below.</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Nominating and Corporate Governance Committee reviews the material facts of all related party transactions and either approves or disapproves the entry into such related party transaction. If advance approval of a related party transaction is not feasible, then the related party transaction will be considered and, if our Nominating and Corporate Governance Committee determines it to be appropriate, ratified, at the next regularly scheduled meeting of our Nominating and Corporate Governance Committee. In determining whether to approve or ratify a related party transaction, our Nominating and Corporate Governance Committee takes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209"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No director may participate in any discussion or approval of a related party transaction for which he or she is a related party, except that the director must provide all material information concerning the related party transaction to our Nominating and Corporate Governance Committee.</w:t>
      </w:r>
    </w:p>
    <w:p>
      <w:pPr>
        <w:spacing w:after="0" w:line="16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a related party transaction will be ongoing, our Nominating and Corporate Governance Committee may establish guidelines for our management to follow in its ongoing dealings with the related party. Thereafter, our Nominating and Corporate Governance Committee, on at least an annual basis, reviews and assesses ongoing relationships with such related party to see that our management is in compliance with our Nominating and Corporate Governance Committee’s guidelines and that such related party transaction remains appropriate.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Related party transactions are disclosed in our SEC filings.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Cleaning/Security/Messenger and Restoration Services</w:t>
      </w:r>
    </w:p>
    <w:p>
      <w:pPr>
        <w:spacing w:after="0" w:line="233"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Through Alliance Building Services, or Alliance, First Quality Maintenance, L.P., or First Quality, provides cleaning, extermination and related services, Classic Security LLC provides security services, Bright Star Couriers LLC provides messenger services, and Onyx Restoration Works provides restoration services with respect to certain properties owned by us. Alliance is partially owned by Gary Green, a son of Stephen L. Green, a director and the former chairman and current chairman emeritus of the Board. In addition, First Quality has the non-exclusive opportunity to provide cleaning and related services to individual tenants at our properties on a basis separately negotiated with any tenant seeking such additional services. A subsidiary through which we realize income from management, leasing and construction contracts with third parties and joint venture properties has entered into an arrangement with Alliance whereby it will receive profit participation above a certain threshold for services provided by Alliance to certain tenants at certain buildings above the base services specified in their lease agreements. Income earned from profit participation was approximately $ 3.9 million, $3.9 million and $ 3.9 million for the years ended December 31, 2019, 2018 and 2017, respectively. We also recorded expenses of approximately $18.8 million, $18.8 million and $ 22.6 million for the years ended December 31, 2019, 2018 and 2017, respectively, for these services (excluding services provided directly to tenants).</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Management Fees</w:t>
      </w:r>
    </w:p>
    <w:p>
      <w:pPr>
        <w:spacing w:after="0" w:line="233"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S.L. Green Management Corp., a consolidated entity, receives property management fees from an entity in which Stephen L. Green owns an interest. We received management fees from such entity of approximately $0.6 million, $0.6 million and $0.5 million for the years ended December 31, 2019, 2018 and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Marketing Services</w:t>
      </w:r>
    </w:p>
    <w:p>
      <w:pPr>
        <w:spacing w:after="0" w:line="233" w:lineRule="exact"/>
        <w:rPr>
          <w:sz w:val="20"/>
          <w:szCs w:val="20"/>
          <w:color w:val="auto"/>
        </w:rPr>
      </w:pPr>
    </w:p>
    <w:p>
      <w:pPr>
        <w:jc w:val="both"/>
        <w:ind w:right="320"/>
        <w:spacing w:after="0" w:line="238" w:lineRule="auto"/>
        <w:rPr>
          <w:sz w:val="20"/>
          <w:szCs w:val="20"/>
          <w:color w:val="auto"/>
        </w:rPr>
      </w:pPr>
      <w:r>
        <w:rPr>
          <w:rFonts w:ascii="Arial" w:cs="Arial" w:eastAsia="Arial" w:hAnsi="Arial"/>
          <w:sz w:val="18"/>
          <w:szCs w:val="18"/>
          <w:color w:val="auto"/>
        </w:rPr>
        <w:t>A-List Marketing, LLC, or A-List, provided marketing services to us. Deena Wolff, a sister of Marc Holliday, our Chief Executive Officer, is the founder of A-List. We recorded expenses of approximately $0.3 million for each of the years ended December 31, 2019, 2018 and 2017, for these services.</w:t>
      </w:r>
    </w:p>
    <w:p>
      <w:pPr>
        <w:spacing w:after="0" w:line="208" w:lineRule="exact"/>
        <w:rPr>
          <w:sz w:val="20"/>
          <w:szCs w:val="20"/>
          <w:color w:val="auto"/>
        </w:rPr>
      </w:pPr>
    </w:p>
    <w:p>
      <w:pPr>
        <w:ind w:left="300" w:hanging="292"/>
        <w:spacing w:after="0"/>
        <w:tabs>
          <w:tab w:leader="none" w:pos="300" w:val="left"/>
        </w:tabs>
        <w:numPr>
          <w:ilvl w:val="0"/>
          <w:numId w:val="140"/>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CERTAIN RELATIONSHIPS AND RELATED PARTY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Chairman Emeritus Agreement</w:t>
      </w:r>
    </w:p>
    <w:p>
      <w:pPr>
        <w:spacing w:after="0" w:line="23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On December 21, 2018, we and Stephen L. Green, the former Chairman of the Company, entered into a chairman emeritus agreement in connection with Mr. Green’s retirement as Chairman of the Company and transition into the role of Chairman Emeritus. Under the chairman emeritus agreement, subject to successive one-year renewal periods, Mr. Green provided services to us as Chairman Emeritus for an initial period from January 17, 2019 until December 31, 2019. The chairman emeritus agreement has been renewed for the period from January 1, 2020 to December 31, 2020. For these services, Mr. Green will receive a monthly retainer of $54,167, in addition to any fees to which Mr. Green is entitled as a non-employee director. We will also continue to provide Mr. Green with perquisites under the chairman emeritus agreement consistent with those he previously received as Chairman. In addition, Mr. Green will be entitled, to the extent eligible, to continue to participate in our group health insurance at the expense of the Company or, if Mr. Green is not eligible, monthly cash payments equal to the amount payable by Mr. Green under COBRA for continued participation in our group health insurance under COBRA.</w:t>
      </w:r>
    </w:p>
    <w:p>
      <w:pPr>
        <w:spacing w:after="0" w:line="214"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2020 Proxy Statement </w:t>
      </w:r>
      <w:r>
        <w:rPr>
          <w:rFonts w:ascii="Arial" w:cs="Arial" w:eastAsia="Arial" w:hAnsi="Arial"/>
          <w:sz w:val="16"/>
          <w:szCs w:val="16"/>
          <w:color w:val="355889"/>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55889"/>
        </w:rPr>
        <w:t>OTHER INFORMATION</w:t>
      </w:r>
    </w:p>
    <w:p>
      <w:pPr>
        <w:spacing w:after="0" w:line="26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These proxy materials are being made available in connection with the solicitation of proxies by the Board of Directors, or the Board, of SL Green Realty Corp., a Maryland corporation, for use at our 2020 annual meeting of stockholders to be held on Thursday, May 28, 2020 at 10:00 a.m., local time, at Andaz 5th Avenue (ground floor), 485 5th Ave, New York, NY 10017, or at any postponement or adjournment of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Who is entitled to vote at the annual meeting?</w:t>
      </w:r>
    </w:p>
    <w:p>
      <w:pPr>
        <w:spacing w:after="0" w:line="233"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color w:val="auto"/>
        </w:rPr>
        <w:t>Holders of record of our common stock, $0.01 par value per share, at the close of business on March 31, 2020,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What is the purpose of the annual meeting?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you will be asked to vote on the following proposals:</w:t>
      </w:r>
    </w:p>
    <w:p>
      <w:pPr>
        <w:spacing w:after="0" w:line="194" w:lineRule="exact"/>
        <w:rPr>
          <w:sz w:val="20"/>
          <w:szCs w:val="20"/>
          <w:color w:val="auto"/>
        </w:rPr>
      </w:pPr>
    </w:p>
    <w:p>
      <w:pPr>
        <w:ind w:left="540" w:right="180" w:hanging="262"/>
        <w:spacing w:after="0" w:line="260" w:lineRule="auto"/>
        <w:tabs>
          <w:tab w:leader="none" w:pos="540" w:val="left"/>
        </w:tabs>
        <w:numPr>
          <w:ilvl w:val="0"/>
          <w:numId w:val="141"/>
        </w:numPr>
        <w:rPr>
          <w:rFonts w:ascii="Arial" w:cs="Arial" w:eastAsia="Arial" w:hAnsi="Arial"/>
          <w:sz w:val="17"/>
          <w:szCs w:val="17"/>
          <w:color w:val="355889"/>
        </w:rPr>
      </w:pPr>
      <w:r>
        <w:rPr>
          <w:rFonts w:ascii="Arial" w:cs="Arial" w:eastAsia="Arial" w:hAnsi="Arial"/>
          <w:sz w:val="18"/>
          <w:szCs w:val="18"/>
          <w:i w:val="1"/>
          <w:iCs w:val="1"/>
          <w:color w:val="auto"/>
        </w:rPr>
        <w:t>Proposal 1</w:t>
      </w:r>
      <w:r>
        <w:rPr>
          <w:rFonts w:ascii="Arial" w:cs="Arial" w:eastAsia="Arial" w:hAnsi="Arial"/>
          <w:sz w:val="18"/>
          <w:szCs w:val="18"/>
          <w:color w:val="auto"/>
        </w:rPr>
        <w:t>: the election of the nine director nominees named in this proxy statement to serve on the Board for a one-year term and until</w:t>
      </w:r>
      <w:r>
        <w:rPr>
          <w:rFonts w:ascii="Arial" w:cs="Arial" w:eastAsia="Arial" w:hAnsi="Arial"/>
          <w:sz w:val="18"/>
          <w:szCs w:val="18"/>
          <w:i w:val="1"/>
          <w:iCs w:val="1"/>
          <w:color w:val="auto"/>
        </w:rPr>
        <w:t xml:space="preserve"> </w:t>
      </w:r>
      <w:r>
        <w:rPr>
          <w:rFonts w:ascii="Arial" w:cs="Arial" w:eastAsia="Arial" w:hAnsi="Arial"/>
          <w:sz w:val="18"/>
          <w:szCs w:val="18"/>
          <w:color w:val="auto"/>
        </w:rPr>
        <w:t>their successors are duly elected and qualify</w:t>
      </w:r>
    </w:p>
    <w:p>
      <w:pPr>
        <w:spacing w:after="0" w:line="64" w:lineRule="exact"/>
        <w:rPr>
          <w:rFonts w:ascii="Arial" w:cs="Arial" w:eastAsia="Arial" w:hAnsi="Arial"/>
          <w:sz w:val="17"/>
          <w:szCs w:val="17"/>
          <w:color w:val="355889"/>
        </w:rPr>
      </w:pPr>
    </w:p>
    <w:p>
      <w:pPr>
        <w:ind w:left="540" w:right="120" w:hanging="262"/>
        <w:spacing w:after="0" w:line="260" w:lineRule="auto"/>
        <w:tabs>
          <w:tab w:leader="none" w:pos="540" w:val="left"/>
        </w:tabs>
        <w:numPr>
          <w:ilvl w:val="0"/>
          <w:numId w:val="141"/>
        </w:numPr>
        <w:rPr>
          <w:rFonts w:ascii="Arial" w:cs="Arial" w:eastAsia="Arial" w:hAnsi="Arial"/>
          <w:sz w:val="17"/>
          <w:szCs w:val="17"/>
          <w:color w:val="355889"/>
        </w:rPr>
      </w:pPr>
      <w:r>
        <w:rPr>
          <w:rFonts w:ascii="Arial" w:cs="Arial" w:eastAsia="Arial" w:hAnsi="Arial"/>
          <w:sz w:val="18"/>
          <w:szCs w:val="18"/>
          <w:i w:val="1"/>
          <w:iCs w:val="1"/>
          <w:color w:val="auto"/>
        </w:rPr>
        <w:t>Proposal 2</w:t>
      </w:r>
      <w:r>
        <w:rPr>
          <w:rFonts w:ascii="Arial" w:cs="Arial" w:eastAsia="Arial" w:hAnsi="Arial"/>
          <w:sz w:val="18"/>
          <w:szCs w:val="18"/>
          <w:color w:val="auto"/>
        </w:rPr>
        <w:t>: the approval of an advisory resolution approving the compensation of our named executive officers as disclosed in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pursuant to Item 402 of Regulation S-K</w:t>
      </w:r>
    </w:p>
    <w:p>
      <w:pPr>
        <w:spacing w:after="0" w:line="64" w:lineRule="exact"/>
        <w:rPr>
          <w:rFonts w:ascii="Arial" w:cs="Arial" w:eastAsia="Arial" w:hAnsi="Arial"/>
          <w:sz w:val="17"/>
          <w:szCs w:val="17"/>
          <w:color w:val="355889"/>
        </w:rPr>
      </w:pPr>
    </w:p>
    <w:p>
      <w:pPr>
        <w:ind w:left="540" w:right="340" w:hanging="262"/>
        <w:spacing w:after="0" w:line="260" w:lineRule="auto"/>
        <w:tabs>
          <w:tab w:leader="none" w:pos="540" w:val="left"/>
        </w:tabs>
        <w:numPr>
          <w:ilvl w:val="0"/>
          <w:numId w:val="141"/>
        </w:numPr>
        <w:rPr>
          <w:rFonts w:ascii="Arial" w:cs="Arial" w:eastAsia="Arial" w:hAnsi="Arial"/>
          <w:sz w:val="17"/>
          <w:szCs w:val="17"/>
          <w:color w:val="355889"/>
        </w:rPr>
      </w:pPr>
      <w:r>
        <w:rPr>
          <w:rFonts w:ascii="Arial" w:cs="Arial" w:eastAsia="Arial" w:hAnsi="Arial"/>
          <w:sz w:val="18"/>
          <w:szCs w:val="18"/>
          <w:i w:val="1"/>
          <w:iCs w:val="1"/>
          <w:color w:val="auto"/>
        </w:rPr>
        <w:t>Proposal 3</w:t>
      </w:r>
      <w:r>
        <w:rPr>
          <w:rFonts w:ascii="Arial" w:cs="Arial" w:eastAsia="Arial" w:hAnsi="Arial"/>
          <w:sz w:val="18"/>
          <w:szCs w:val="18"/>
          <w:color w:val="auto"/>
        </w:rPr>
        <w:t>: the ratification of the appointment of Ernst &amp; Young LLP as our independent registered public accounting firm for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ending December 31, 2020</w:t>
      </w:r>
    </w:p>
    <w:p>
      <w:pPr>
        <w:spacing w:after="0" w:line="191" w:lineRule="exact"/>
        <w:rPr>
          <w:sz w:val="20"/>
          <w:szCs w:val="20"/>
          <w:color w:val="auto"/>
        </w:rPr>
      </w:pPr>
    </w:p>
    <w:p>
      <w:pPr>
        <w:ind w:right="800"/>
        <w:spacing w:after="0" w:line="239" w:lineRule="auto"/>
        <w:rPr>
          <w:sz w:val="20"/>
          <w:szCs w:val="20"/>
          <w:color w:val="auto"/>
        </w:rPr>
      </w:pPr>
      <w:r>
        <w:rPr>
          <w:rFonts w:ascii="Arial" w:cs="Arial" w:eastAsia="Arial" w:hAnsi="Arial"/>
          <w:sz w:val="18"/>
          <w:szCs w:val="18"/>
          <w:color w:val="auto"/>
        </w:rPr>
        <w:t>You also may be asked to consider and act upon any other matters that may properly be brought before the annual meeting and at any adjournments or postponements thereof.</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What constitutes a quorum?</w:t>
      </w:r>
    </w:p>
    <w:p>
      <w:pPr>
        <w:spacing w:after="0" w:line="23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presence, in person or by proxy, of holders of a majority of the total number of outstanding shares entitled to vote at the annual meeting is necessary to constitute a quorum for the transaction of any business at the annual meeting. As of the record date, there were 77,590,864 shares outstanding and entitled to vote at the annual meeting.</w:t>
      </w:r>
    </w:p>
    <w:p>
      <w:pPr>
        <w:spacing w:after="0" w:line="20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Each share of our common stock outstanding on the record date is entitled to one vote on each matter properly submitted at the annual meeting and, with respect to the election of directors, one vote for each director to be elected. Abstentions and “broker non-votes” (i.e., shares represented at the meeting held by brokers, as to which instructions have not been received from the beneficial owners or persons entitled to vote such shares and with respect to which, on a particular matter, the broker does not have discretionary voting power to vote such shares) will be counted for purposes of determining whether a quorum is present for the transaction of business at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What vote is required to approve each proposal?</w:t>
      </w:r>
    </w:p>
    <w:p>
      <w:pPr>
        <w:spacing w:after="0" w:line="233" w:lineRule="exact"/>
        <w:rPr>
          <w:sz w:val="20"/>
          <w:szCs w:val="20"/>
          <w:color w:val="auto"/>
        </w:rPr>
      </w:pPr>
    </w:p>
    <w:p>
      <w:pPr>
        <w:ind w:right="300"/>
        <w:spacing w:after="0" w:line="272" w:lineRule="auto"/>
        <w:rPr>
          <w:sz w:val="20"/>
          <w:szCs w:val="20"/>
          <w:color w:val="auto"/>
        </w:rPr>
      </w:pPr>
      <w:r>
        <w:rPr>
          <w:rFonts w:ascii="Arial" w:cs="Arial" w:eastAsia="Arial" w:hAnsi="Arial"/>
          <w:sz w:val="16"/>
          <w:szCs w:val="16"/>
          <w:color w:val="auto"/>
        </w:rPr>
        <w:t>For Proposal 1, a majority of all the votes cast with respect to a nominee’s election is required for such nominee to be elected to serve on the Board. This means that the number of votes cast “for” a nominee must exceed the number of votes cast “against” such nominee. Abstentions and broker non-votes are not counted as a vote cast either “for” or “against” a nominee, and therefore, will have no effect on the election of directors. For more information on the operation of our majority voting standard in director elections, see the section entitled “Our Board of Directors and Corporate Governance—Corporate Governance—Majority Voting Standard and Director Resignation Policy.”</w:t>
      </w:r>
    </w:p>
    <w:p>
      <w:pPr>
        <w:spacing w:after="0" w:line="18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majority of all of the votes cast with respect to the proposal is required for approval of each of Proposals 2 and 3. In respect of Proposals 2 and 3, abstentions and broker non-votes are not counted as votes cast, and therefore will have no effect on the votes for these proposals.</w:t>
      </w:r>
    </w:p>
    <w:p>
      <w:pPr>
        <w:spacing w:after="0" w:line="209" w:lineRule="exact"/>
        <w:rPr>
          <w:sz w:val="20"/>
          <w:szCs w:val="20"/>
          <w:color w:val="auto"/>
        </w:rPr>
      </w:pPr>
    </w:p>
    <w:p>
      <w:pPr>
        <w:ind w:left="300" w:hanging="292"/>
        <w:spacing w:after="0"/>
        <w:tabs>
          <w:tab w:leader="none" w:pos="300" w:val="left"/>
        </w:tabs>
        <w:numPr>
          <w:ilvl w:val="0"/>
          <w:numId w:val="142"/>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OTHER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Can I change my vote after I submit my proxy card?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If you cast a vote by proxy, you may revoke it at any time before it is voted by:</w:t>
      </w:r>
    </w:p>
    <w:p>
      <w:pPr>
        <w:spacing w:after="0" w:line="212" w:lineRule="exact"/>
        <w:rPr>
          <w:sz w:val="20"/>
          <w:szCs w:val="20"/>
          <w:color w:val="auto"/>
        </w:rPr>
      </w:pPr>
    </w:p>
    <w:p>
      <w:pPr>
        <w:ind w:left="540" w:hanging="262"/>
        <w:spacing w:after="0"/>
        <w:tabs>
          <w:tab w:leader="none" w:pos="540" w:val="left"/>
        </w:tabs>
        <w:numPr>
          <w:ilvl w:val="0"/>
          <w:numId w:val="143"/>
        </w:numPr>
        <w:rPr>
          <w:rFonts w:ascii="Arial" w:cs="Arial" w:eastAsia="Arial" w:hAnsi="Arial"/>
          <w:sz w:val="17"/>
          <w:szCs w:val="17"/>
          <w:color w:val="355889"/>
        </w:rPr>
      </w:pPr>
      <w:r>
        <w:rPr>
          <w:rFonts w:ascii="Arial" w:cs="Arial" w:eastAsia="Arial" w:hAnsi="Arial"/>
          <w:sz w:val="18"/>
          <w:szCs w:val="18"/>
          <w:color w:val="auto"/>
        </w:rPr>
        <w:t>filing a written notice revoking the proxy with our Secretary at our address</w:t>
      </w:r>
    </w:p>
    <w:p>
      <w:pPr>
        <w:spacing w:after="0" w:line="103" w:lineRule="exact"/>
        <w:rPr>
          <w:rFonts w:ascii="Arial" w:cs="Arial" w:eastAsia="Arial" w:hAnsi="Arial"/>
          <w:sz w:val="17"/>
          <w:szCs w:val="17"/>
          <w:color w:val="355889"/>
        </w:rPr>
      </w:pPr>
    </w:p>
    <w:p>
      <w:pPr>
        <w:ind w:left="540" w:hanging="262"/>
        <w:spacing w:after="0"/>
        <w:tabs>
          <w:tab w:leader="none" w:pos="540" w:val="left"/>
        </w:tabs>
        <w:numPr>
          <w:ilvl w:val="0"/>
          <w:numId w:val="143"/>
        </w:numPr>
        <w:rPr>
          <w:rFonts w:ascii="Arial" w:cs="Arial" w:eastAsia="Arial" w:hAnsi="Arial"/>
          <w:sz w:val="17"/>
          <w:szCs w:val="17"/>
          <w:color w:val="355889"/>
        </w:rPr>
      </w:pPr>
      <w:r>
        <w:rPr>
          <w:rFonts w:ascii="Arial" w:cs="Arial" w:eastAsia="Arial" w:hAnsi="Arial"/>
          <w:sz w:val="18"/>
          <w:szCs w:val="18"/>
          <w:color w:val="auto"/>
        </w:rPr>
        <w:t>properly signing and forwarding to us a proxy with a later date</w:t>
      </w:r>
    </w:p>
    <w:p>
      <w:pPr>
        <w:spacing w:after="0" w:line="103" w:lineRule="exact"/>
        <w:rPr>
          <w:rFonts w:ascii="Arial" w:cs="Arial" w:eastAsia="Arial" w:hAnsi="Arial"/>
          <w:sz w:val="17"/>
          <w:szCs w:val="17"/>
          <w:color w:val="355889"/>
        </w:rPr>
      </w:pPr>
    </w:p>
    <w:p>
      <w:pPr>
        <w:ind w:left="540" w:hanging="262"/>
        <w:spacing w:after="0"/>
        <w:tabs>
          <w:tab w:leader="none" w:pos="540" w:val="left"/>
        </w:tabs>
        <w:numPr>
          <w:ilvl w:val="0"/>
          <w:numId w:val="143"/>
        </w:numPr>
        <w:rPr>
          <w:rFonts w:ascii="Arial" w:cs="Arial" w:eastAsia="Arial" w:hAnsi="Arial"/>
          <w:sz w:val="17"/>
          <w:szCs w:val="17"/>
          <w:color w:val="355889"/>
        </w:rPr>
      </w:pPr>
      <w:r>
        <w:rPr>
          <w:rFonts w:ascii="Arial" w:cs="Arial" w:eastAsia="Arial" w:hAnsi="Arial"/>
          <w:sz w:val="18"/>
          <w:szCs w:val="18"/>
          <w:color w:val="auto"/>
        </w:rPr>
        <w:t>voting during the annual meeting</w:t>
      </w:r>
    </w:p>
    <w:p>
      <w:pPr>
        <w:spacing w:after="0" w:line="212"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If you attend the annual meeting, you may vote whether or not you previously have given a proxy, but your presence (without further action) at the annual meeting will not constitute revocation of a previously given proxy. Unless you have received a legal proxy to vote the shares, if you hold your shares through a bank, broker or other nominee, that is, in “street name,” only that bank, broker or other nominee can revoke your proxy on your behalf.</w:t>
      </w:r>
    </w:p>
    <w:p>
      <w:pPr>
        <w:spacing w:after="0" w:line="20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You may revoke a proxy for shares held by a bank, broker or other nominee by submitting new voting instructions to the bank, broker or other nominee or, if you have obtained a legal proxy from the bank, broker or other nominee giving you the right to vote the shares at the annual meeting, by attending the annual meeting and voting in person.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How do I vote?</w:t>
      </w:r>
    </w:p>
    <w:p>
      <w:pPr>
        <w:spacing w:after="0" w:line="21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i w:val="1"/>
          <w:iCs w:val="1"/>
          <w:color w:val="auto"/>
        </w:rPr>
        <w:t xml:space="preserve">Voting in Person at the Annual Meeting. </w:t>
      </w:r>
      <w:r>
        <w:rPr>
          <w:rFonts w:ascii="Arial" w:cs="Arial" w:eastAsia="Arial" w:hAnsi="Arial"/>
          <w:sz w:val="18"/>
          <w:szCs w:val="18"/>
          <w:color w:val="auto"/>
        </w:rPr>
        <w:t>If you hold your shares in your own name as a holder of record with our transfer agent, Computershare,</w:t>
      </w:r>
      <w:r>
        <w:rPr>
          <w:rFonts w:ascii="Arial" w:cs="Arial" w:eastAsia="Arial" w:hAnsi="Arial"/>
          <w:sz w:val="18"/>
          <w:szCs w:val="18"/>
          <w:i w:val="1"/>
          <w:iCs w:val="1"/>
          <w:color w:val="auto"/>
        </w:rPr>
        <w:t xml:space="preserve"> </w:t>
      </w:r>
      <w:r>
        <w:rPr>
          <w:rFonts w:ascii="Arial" w:cs="Arial" w:eastAsia="Arial" w:hAnsi="Arial"/>
          <w:sz w:val="18"/>
          <w:szCs w:val="18"/>
          <w:color w:val="auto"/>
        </w:rPr>
        <w:t>and attend the annual meeting, you may vote in person at the annual meeting. If your shares are held by a bank, broker or other nominee, that is, in “street name,” and you wish to vote in person at the annual meeting, you will need to obtain a “legal proxy” from the bank, broker or other nominee that holds your shares of record.</w:t>
      </w:r>
    </w:p>
    <w:p>
      <w:pPr>
        <w:spacing w:after="0" w:line="188" w:lineRule="exact"/>
        <w:rPr>
          <w:sz w:val="20"/>
          <w:szCs w:val="20"/>
          <w:color w:val="auto"/>
        </w:rPr>
      </w:pPr>
    </w:p>
    <w:p>
      <w:pPr>
        <w:jc w:val="both"/>
        <w:ind w:right="340"/>
        <w:spacing w:after="0" w:line="247" w:lineRule="auto"/>
        <w:rPr>
          <w:sz w:val="20"/>
          <w:szCs w:val="20"/>
          <w:color w:val="auto"/>
        </w:rPr>
      </w:pPr>
      <w:r>
        <w:rPr>
          <w:rFonts w:ascii="Arial" w:cs="Arial" w:eastAsia="Arial" w:hAnsi="Arial"/>
          <w:sz w:val="18"/>
          <w:szCs w:val="18"/>
          <w:i w:val="1"/>
          <w:iCs w:val="1"/>
          <w:color w:val="auto"/>
        </w:rPr>
        <w:t xml:space="preserve">Voting by Proxy. </w:t>
      </w:r>
      <w:r>
        <w:rPr>
          <w:rFonts w:ascii="Arial" w:cs="Arial" w:eastAsia="Arial" w:hAnsi="Arial"/>
          <w:sz w:val="18"/>
          <w:szCs w:val="18"/>
          <w:color w:val="auto"/>
        </w:rPr>
        <w:t>You should submit your proxy or voting instructions as soon as possible. You can vote by valid proxy received by telephone,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electronically via the Internet or by mail. The deadline for voting by telephone or electronically via the Internet is 11:59 p.m., Eastern Daylight Time, on May 27, 2020. If voting by mail, you must:</w:t>
      </w:r>
    </w:p>
    <w:p>
      <w:pPr>
        <w:spacing w:after="0" w:line="202" w:lineRule="exact"/>
        <w:rPr>
          <w:sz w:val="20"/>
          <w:szCs w:val="20"/>
          <w:color w:val="auto"/>
        </w:rPr>
      </w:pPr>
    </w:p>
    <w:p>
      <w:pPr>
        <w:ind w:left="540" w:hanging="262"/>
        <w:spacing w:after="0"/>
        <w:tabs>
          <w:tab w:leader="none" w:pos="540" w:val="left"/>
        </w:tabs>
        <w:numPr>
          <w:ilvl w:val="0"/>
          <w:numId w:val="144"/>
        </w:numPr>
        <w:rPr>
          <w:rFonts w:ascii="Arial" w:cs="Arial" w:eastAsia="Arial" w:hAnsi="Arial"/>
          <w:sz w:val="17"/>
          <w:szCs w:val="17"/>
          <w:color w:val="355889"/>
        </w:rPr>
      </w:pPr>
      <w:r>
        <w:rPr>
          <w:rFonts w:ascii="Arial" w:cs="Arial" w:eastAsia="Arial" w:hAnsi="Arial"/>
          <w:sz w:val="18"/>
          <w:szCs w:val="18"/>
          <w:color w:val="auto"/>
        </w:rPr>
        <w:t>indicate your instructions on the proxy</w:t>
      </w:r>
    </w:p>
    <w:p>
      <w:pPr>
        <w:spacing w:after="0" w:line="103" w:lineRule="exact"/>
        <w:rPr>
          <w:rFonts w:ascii="Arial" w:cs="Arial" w:eastAsia="Arial" w:hAnsi="Arial"/>
          <w:sz w:val="17"/>
          <w:szCs w:val="17"/>
          <w:color w:val="355889"/>
        </w:rPr>
      </w:pPr>
    </w:p>
    <w:p>
      <w:pPr>
        <w:ind w:left="540" w:hanging="262"/>
        <w:spacing w:after="0"/>
        <w:tabs>
          <w:tab w:leader="none" w:pos="540" w:val="left"/>
        </w:tabs>
        <w:numPr>
          <w:ilvl w:val="0"/>
          <w:numId w:val="144"/>
        </w:numPr>
        <w:rPr>
          <w:rFonts w:ascii="Arial" w:cs="Arial" w:eastAsia="Arial" w:hAnsi="Arial"/>
          <w:sz w:val="17"/>
          <w:szCs w:val="17"/>
          <w:color w:val="355889"/>
        </w:rPr>
      </w:pPr>
      <w:r>
        <w:rPr>
          <w:rFonts w:ascii="Arial" w:cs="Arial" w:eastAsia="Arial" w:hAnsi="Arial"/>
          <w:sz w:val="18"/>
          <w:szCs w:val="18"/>
          <w:color w:val="auto"/>
        </w:rPr>
        <w:t>date and sign the proxy .</w:t>
      </w:r>
    </w:p>
    <w:p>
      <w:pPr>
        <w:spacing w:after="0" w:line="103" w:lineRule="exact"/>
        <w:rPr>
          <w:rFonts w:ascii="Arial" w:cs="Arial" w:eastAsia="Arial" w:hAnsi="Arial"/>
          <w:sz w:val="17"/>
          <w:szCs w:val="17"/>
          <w:color w:val="355889"/>
        </w:rPr>
      </w:pPr>
    </w:p>
    <w:p>
      <w:pPr>
        <w:ind w:left="540" w:hanging="262"/>
        <w:spacing w:after="0"/>
        <w:tabs>
          <w:tab w:leader="none" w:pos="540" w:val="left"/>
        </w:tabs>
        <w:numPr>
          <w:ilvl w:val="0"/>
          <w:numId w:val="144"/>
        </w:numPr>
        <w:rPr>
          <w:rFonts w:ascii="Arial" w:cs="Arial" w:eastAsia="Arial" w:hAnsi="Arial"/>
          <w:sz w:val="17"/>
          <w:szCs w:val="17"/>
          <w:color w:val="355889"/>
        </w:rPr>
      </w:pPr>
      <w:r>
        <w:rPr>
          <w:rFonts w:ascii="Arial" w:cs="Arial" w:eastAsia="Arial" w:hAnsi="Arial"/>
          <w:sz w:val="18"/>
          <w:szCs w:val="18"/>
          <w:color w:val="auto"/>
        </w:rPr>
        <w:t>promptly mail the proxy in the enclosed envelope</w:t>
      </w:r>
    </w:p>
    <w:p>
      <w:pPr>
        <w:spacing w:after="0" w:line="103" w:lineRule="exact"/>
        <w:rPr>
          <w:rFonts w:ascii="Arial" w:cs="Arial" w:eastAsia="Arial" w:hAnsi="Arial"/>
          <w:sz w:val="17"/>
          <w:szCs w:val="17"/>
          <w:color w:val="355889"/>
        </w:rPr>
      </w:pPr>
    </w:p>
    <w:p>
      <w:pPr>
        <w:ind w:left="540" w:hanging="262"/>
        <w:spacing w:after="0"/>
        <w:tabs>
          <w:tab w:leader="none" w:pos="540" w:val="left"/>
        </w:tabs>
        <w:numPr>
          <w:ilvl w:val="0"/>
          <w:numId w:val="144"/>
        </w:numPr>
        <w:rPr>
          <w:rFonts w:ascii="Arial" w:cs="Arial" w:eastAsia="Arial" w:hAnsi="Arial"/>
          <w:sz w:val="17"/>
          <w:szCs w:val="17"/>
          <w:color w:val="355889"/>
        </w:rPr>
      </w:pPr>
      <w:r>
        <w:rPr>
          <w:rFonts w:ascii="Arial" w:cs="Arial" w:eastAsia="Arial" w:hAnsi="Arial"/>
          <w:sz w:val="18"/>
          <w:szCs w:val="18"/>
          <w:color w:val="auto"/>
        </w:rPr>
        <w:t>allow sufficient time for the proxy to be received before the date of the annual meeting</w:t>
      </w:r>
    </w:p>
    <w:p>
      <w:pPr>
        <w:spacing w:after="0" w:line="212"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If your shares are held in “street name” such as in a stock brokerage account, by a bank or other nominee, please follow the instructions you received from your broker or with respect to the voting of your shares.</w:t>
      </w:r>
    </w:p>
    <w:p>
      <w:pPr>
        <w:spacing w:after="0" w:line="20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If you have any questions regarding how to authorize your proxy by telephone or via the Internet, please call MacKenzie Partners, Inc., toll-free at (800) 322-2885 or collect at (212) 929-5500.</w:t>
      </w:r>
    </w:p>
    <w:p>
      <w:pPr>
        <w:spacing w:after="0" w:line="20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Even if you plan to attend the annual meeting, we recommend that you submit a proxy to vote your shares in advance so that your vote will be counted if you later are unable to attend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How is my vote counted?</w:t>
      </w:r>
    </w:p>
    <w:p>
      <w:pPr>
        <w:spacing w:after="0" w:line="23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If you authorize your proxy to vote your shares electronically via the Internet or by telephone, or, if you received a proxy card by mail and you properly marked, signed, dated and returned it, the shares that the proxy represents will be voted in the manner specified on the proxy. If no specification is made, your shares will be voted “for” the election of the nominees for directors named in this proxy statement, “for” advisory approval of the compensation of our named executive officers, and “for” ratification of the appointment of Ernst &amp; Young LLP as our independent registered public accounting firm for the fiscal year ending December 31, 2020. It is not anticipated that any matters other than those set forth in this proxy statement will be presented at the annual meeting. If other matters are presented, proxies will be voted in accordance with the discretion of the proxy holders.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How does the Board recommend that I vote on each of the proposals?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you vote:</w:t>
      </w:r>
    </w:p>
    <w:p>
      <w:pPr>
        <w:spacing w:after="0" w:line="185" w:lineRule="exact"/>
        <w:rPr>
          <w:sz w:val="20"/>
          <w:szCs w:val="20"/>
          <w:color w:val="auto"/>
        </w:rPr>
      </w:pPr>
    </w:p>
    <w:p>
      <w:pPr>
        <w:ind w:left="540" w:right="560" w:hanging="262"/>
        <w:spacing w:after="0" w:line="259" w:lineRule="auto"/>
        <w:tabs>
          <w:tab w:leader="none" w:pos="540" w:val="left"/>
        </w:tabs>
        <w:numPr>
          <w:ilvl w:val="0"/>
          <w:numId w:val="145"/>
        </w:numPr>
        <w:rPr>
          <w:rFonts w:ascii="Arial" w:cs="Arial" w:eastAsia="Arial" w:hAnsi="Arial"/>
          <w:sz w:val="17"/>
          <w:szCs w:val="17"/>
          <w:color w:val="355889"/>
        </w:rPr>
      </w:pPr>
      <w:r>
        <w:rPr>
          <w:rFonts w:ascii="Arial" w:cs="Arial" w:eastAsia="Arial" w:hAnsi="Arial"/>
          <w:sz w:val="18"/>
          <w:szCs w:val="18"/>
          <w:b w:val="1"/>
          <w:bCs w:val="1"/>
          <w:color w:val="auto"/>
        </w:rPr>
        <w:t xml:space="preserve">FOR </w:t>
      </w:r>
      <w:r>
        <w:rPr>
          <w:rFonts w:ascii="Arial" w:cs="Arial" w:eastAsia="Arial" w:hAnsi="Arial"/>
          <w:sz w:val="17"/>
          <w:szCs w:val="17"/>
          <w:i w:val="1"/>
          <w:iCs w:val="1"/>
          <w:color w:val="auto"/>
        </w:rPr>
        <w:t>Proposal 1</w:t>
      </w:r>
      <w:r>
        <w:rPr>
          <w:rFonts w:ascii="Arial" w:cs="Arial" w:eastAsia="Arial" w:hAnsi="Arial"/>
          <w:sz w:val="17"/>
          <w:szCs w:val="17"/>
          <w:color w:val="auto"/>
        </w:rPr>
        <w:t>: the election of John H. Alschuler, Betsy Atkins, Edwin T. Burton, III, Lauren B. Dillard, Stephen L. Green, Craig M.</w:t>
      </w:r>
      <w:r>
        <w:rPr>
          <w:rFonts w:ascii="Arial" w:cs="Arial" w:eastAsia="Arial" w:hAnsi="Arial"/>
          <w:sz w:val="18"/>
          <w:szCs w:val="18"/>
          <w:b w:val="1"/>
          <w:bCs w:val="1"/>
          <w:color w:val="auto"/>
        </w:rPr>
        <w:t xml:space="preserve"> </w:t>
      </w:r>
      <w:r>
        <w:rPr>
          <w:rFonts w:ascii="Arial" w:cs="Arial" w:eastAsia="Arial" w:hAnsi="Arial"/>
          <w:sz w:val="17"/>
          <w:szCs w:val="17"/>
          <w:color w:val="auto"/>
        </w:rPr>
        <w:t>Hatkoff, Marc Holliday, John S. Levy and Andrew W. Mathias as directors to serve on the Board for a one-year term and until their successors are duly elected and qualify</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OTHER INFORMATION</w:t>
      </w:r>
    </w:p>
    <w:p>
      <w:pPr>
        <w:spacing w:after="0" w:line="190" w:lineRule="exact"/>
        <w:rPr>
          <w:sz w:val="20"/>
          <w:szCs w:val="20"/>
          <w:color w:val="auto"/>
        </w:rPr>
      </w:pPr>
    </w:p>
    <w:p>
      <w:pPr>
        <w:ind w:left="500" w:right="180" w:hanging="222"/>
        <w:spacing w:after="0" w:line="211" w:lineRule="auto"/>
        <w:tabs>
          <w:tab w:leader="none" w:pos="500" w:val="left"/>
        </w:tabs>
        <w:numPr>
          <w:ilvl w:val="0"/>
          <w:numId w:val="146"/>
        </w:numPr>
        <w:rPr>
          <w:rFonts w:ascii="Arial" w:cs="Arial" w:eastAsia="Arial" w:hAnsi="Arial"/>
          <w:sz w:val="25"/>
          <w:szCs w:val="25"/>
          <w:color w:val="355889"/>
          <w:vertAlign w:val="superscript"/>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2</w:t>
      </w:r>
      <w:r>
        <w:rPr>
          <w:rFonts w:ascii="Arial" w:cs="Arial" w:eastAsia="Arial" w:hAnsi="Arial"/>
          <w:sz w:val="18"/>
          <w:szCs w:val="18"/>
          <w:color w:val="auto"/>
        </w:rPr>
        <w:t>: the approval of an advisory resolution approving the compensation of our named executive officers as disclosed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pursuant to Item 402 of Regulation S-K</w:t>
      </w:r>
    </w:p>
    <w:p>
      <w:pPr>
        <w:spacing w:after="0" w:line="37" w:lineRule="exact"/>
        <w:rPr>
          <w:rFonts w:ascii="Arial" w:cs="Arial" w:eastAsia="Arial" w:hAnsi="Arial"/>
          <w:sz w:val="25"/>
          <w:szCs w:val="25"/>
          <w:color w:val="355889"/>
          <w:vertAlign w:val="superscript"/>
        </w:rPr>
      </w:pPr>
    </w:p>
    <w:p>
      <w:pPr>
        <w:ind w:left="500" w:right="360" w:hanging="222"/>
        <w:spacing w:after="0" w:line="211" w:lineRule="auto"/>
        <w:tabs>
          <w:tab w:leader="none" w:pos="500" w:val="left"/>
        </w:tabs>
        <w:numPr>
          <w:ilvl w:val="0"/>
          <w:numId w:val="146"/>
        </w:numPr>
        <w:rPr>
          <w:rFonts w:ascii="Arial" w:cs="Arial" w:eastAsia="Arial" w:hAnsi="Arial"/>
          <w:sz w:val="25"/>
          <w:szCs w:val="25"/>
          <w:color w:val="355889"/>
          <w:vertAlign w:val="superscript"/>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3</w:t>
      </w:r>
      <w:r>
        <w:rPr>
          <w:rFonts w:ascii="Arial" w:cs="Arial" w:eastAsia="Arial" w:hAnsi="Arial"/>
          <w:sz w:val="18"/>
          <w:szCs w:val="18"/>
          <w:color w:val="auto"/>
        </w:rPr>
        <w:t>: the ratification of the appointment of Ernst &amp; Young LLP as our independent registered public accounting firm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ending December 31, 2020</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What other information should I review before voting?</w:t>
      </w:r>
    </w:p>
    <w:p>
      <w:pPr>
        <w:spacing w:after="0" w:line="23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2019 annual report, including financial statements for the fiscal year ended December 31, 2019, is being made available to you along with this proxy statement. You may obtain, free of charge, copies of our 2019 annual report and our Annual Report on Form 10-K for the fiscal year ended December 31, 2019, which contains additional information about the Company, on our website at http://www.slgreen.com or by directing your request in writing to SL Green Realty Corp., 420 Lexington Avenue, New York, New York 10170-1881, Attention: Investor Relations. The 2019 annual report and the Annual Report on Form 10-K, however, are not part of the proxy solicitation materials, and the information found on, or accessible through, our website is not incorporated into, and does not form a part of, this proxy statement or any other report or document we file with or furnish to the SEC.</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How do I change how I receive proxy materials in the future?</w:t>
      </w:r>
    </w:p>
    <w:p>
      <w:pPr>
        <w:spacing w:after="0" w:line="23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For this year’s meeting, stockholders will receive paper copies of the proxy materials by mail and will not receive a Notice of Internet Availability of Proxy Materials. For future meetings, stockholders may elect to receive links to proxy materials by e-mail or to receive a paper copy of the proxy materials and a paper proxy card by mail, in each case, instead of receiving a Notice of Internet Availability of Proxy Materials by mail, as applicable. If you elect to receive proxy materials by e-mail, you will not receive proxy materials in the mail (including, if applicable, a Notice of Internet Availability of Proxy Materials). Instead, you will receive an e-mail with links to proxy materials and online voting. If you received a paper copy of the proxy materials in the mail, you can eliminate all such paper mailings (including, if applicable, a Notice of Internet Availability of Proxy Materials) in the future by electing to receive an e-mail that will provide Internet links to these documents.</w:t>
      </w:r>
    </w:p>
    <w:p>
      <w:pPr>
        <w:spacing w:after="0" w:line="19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Opting to receive all future proxy materials online will save us the cost of producing and mailing such documents to you and help us conserve natural resources. You can change your election by directing your request in writing to SL Green Realty Corp., 420 Lexington Avenue, New York, New York 10170-1881, Attention: Investor Relations, by sending a blank e-mail with the 16-digit control number on your proxy card to sendmaterial@proxyvote.com, via the internet at http://www.proxyvote. com or by telephone at (800) 579-7639. Your election will remain in effect until you change it.</w:t>
      </w:r>
    </w:p>
    <w:p>
      <w:pPr>
        <w:spacing w:after="0" w:line="189"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Solicitation of Proxies</w:t>
      </w:r>
    </w:p>
    <w:p>
      <w:pPr>
        <w:spacing w:after="0" w:line="23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Proxy Statement to and obtain proxies from such beneficial owners. We will reimburse such holders for their reasonable expenses. In addition, we intend to utilize the proxy solicitation services of MacKenzie Partners, Inc. at an aggregate estimated cost of $10,000 plus out-of-pocket expenses.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Stockholder Proposals and Nominations</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Proposals for Inclusion in our 2020 Proxy Materials</w:t>
      </w:r>
    </w:p>
    <w:p>
      <w:pPr>
        <w:spacing w:after="0" w:line="235"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SEC rules permit stockholders to submit proposals to be included in our proxy materials if the stockholder and the proposal satisfy the requirements specified in Rule 14a-8 under the Exchange Act. For a stockholder proposal to be considered for inclusion in our proxy materials for the 2020 annual meeting, the proposal must be delivered to our Secretary at the address provided below by December 25, 2020.</w:t>
      </w:r>
    </w:p>
    <w:p>
      <w:pPr>
        <w:spacing w:after="0" w:line="177" w:lineRule="exact"/>
        <w:rPr>
          <w:sz w:val="20"/>
          <w:szCs w:val="20"/>
          <w:color w:val="auto"/>
        </w:rPr>
      </w:pPr>
    </w:p>
    <w:p>
      <w:pPr>
        <w:ind w:left="300" w:hanging="292"/>
        <w:spacing w:after="0"/>
        <w:tabs>
          <w:tab w:leader="none" w:pos="300" w:val="left"/>
        </w:tabs>
        <w:numPr>
          <w:ilvl w:val="0"/>
          <w:numId w:val="147"/>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889"/>
        </w:rPr>
        <w:t>OTHER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Director Nominations for Inclusion in our 2021 Proxy Materials (Proxy Access)</w:t>
      </w:r>
    </w:p>
    <w:p>
      <w:pPr>
        <w:spacing w:after="0" w:line="23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proxy access bylaw permits a stockholder (or a group of up to 20 stockholders) owning 3% or more of our outstanding common stock continuously for at least three years to nominate and include in the Company’s proxy materials director candidates constituting up to the greater of two individuals or 20% of the Board, if the nominating stockholder(s) and the nominee(s) satisfy the requirements specified in our bylaws. For the 2021 annual meeting, notice of a proxy access nomination must be delivered to our Secretary at the address provided below no later than December 25, 2020 and no earlier than November 25, 2020.</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Other Proposals or Nominations to be brought before our 2020 Annual Meeting</w:t>
      </w:r>
    </w:p>
    <w:p>
      <w:pPr>
        <w:spacing w:after="0" w:line="23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bylaws permit a stockholder to propose items of business and/or nominate director candidates that are not intended to be included in our proxy materials if the stockholder complies with the procedures set forth in our bylaws. For the 2021 annual meeting, notice of such proposals or nominations must be delivered to our Secretary at the address provided below no later than February 27, 2021 and no earlier than January 28, 2021.</w:t>
      </w:r>
    </w:p>
    <w:p>
      <w:pPr>
        <w:spacing w:after="0" w:line="20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the Company moves the 2021 annual meeting to a date that is more than 25 days before or after the date which is the one year anniversary of this year’s annual meeting date (i.e., May 28, 2021), the Company must receive such notice no later than the close of business on the 10th day following the earlier of the day on which the Company makes a public announcement of the meeting date or they day on which notice of the meeting date is first distributed to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355889"/>
        </w:rPr>
        <w:t>Address for Submission of Notices and Additional Information</w:t>
      </w:r>
    </w:p>
    <w:p>
      <w:pPr>
        <w:spacing w:after="0" w:line="2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All stockholder nominations of individuals for election as directors or proposals of other items of business to be considered by stockholders at the 2021 annual meeting (whether or not intended for inclusion in our proxy materials) must be submitted in writing to SL Green Realty Corp., 420 Lexington Avenue, New York, New York 10170-1881, Attention: Andrew S. Levine, Secretary.</w:t>
      </w:r>
    </w:p>
    <w:p>
      <w:pPr>
        <w:spacing w:after="0" w:line="20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both the proxy access and the advance notice provisions of our bylaws require a stockholder’s notice of a nomination or other item of business to include certain information. Director nominees must also meet certain eligibility requirements. Any stockholder considering introducing a nomination or other item of business should carefully review our bylaws.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55889"/>
        </w:rPr>
        <w:t>Householding of Proxy Materials</w:t>
      </w:r>
    </w:p>
    <w:p>
      <w:pPr>
        <w:spacing w:after="0" w:line="23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SEC adopted rules that permit companies and intermediaries (such as banks and brokers) to satisfy the delivery requirements for proxy materials with respect to two or more stockholders sharing the same address by delivering a single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p>
    <w:p>
      <w:pPr>
        <w:spacing w:after="0" w:line="208" w:lineRule="exact"/>
        <w:rPr>
          <w:sz w:val="20"/>
          <w:szCs w:val="20"/>
          <w:color w:val="auto"/>
        </w:rPr>
      </w:pPr>
    </w:p>
    <w:p>
      <w:pPr>
        <w:ind w:right="480"/>
        <w:spacing w:after="0" w:line="275" w:lineRule="auto"/>
        <w:rPr>
          <w:sz w:val="20"/>
          <w:szCs w:val="20"/>
          <w:color w:val="auto"/>
        </w:rPr>
      </w:pPr>
      <w:r>
        <w:rPr>
          <w:rFonts w:ascii="Arial" w:cs="Arial" w:eastAsia="Arial" w:hAnsi="Arial"/>
          <w:sz w:val="16"/>
          <w:szCs w:val="16"/>
          <w:color w:val="auto"/>
        </w:rPr>
        <w:t>This year, a number of brokers with account holders who are our stockholders will be “householding” our proxy materials. A single proxy statement will be delivered to multiple stockholders sharing an address unless contrary instructions have been received from the affected stockholders. Once you have received notice from your broker that such broker will be “householding” communications, including the proxy materials, to your address, “householding” will continue until you are notified otherwise or until you revoke your consent.</w:t>
      </w:r>
    </w:p>
    <w:p>
      <w:pPr>
        <w:spacing w:after="0" w:line="18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Stockholders who currently receive only one copy of the proxy materials at their address and would like to receive additional copies and/or stockholders who no longer wish to participate in “householding” and would prefer to receive separate proxy materials in the future should direct their request either to their broker or to the Company in writing to SL Green Realty Corp., 420 Lexington Avenue, New York, New York 10170-1881, Attention: Investor Relations or by telephone at (212) 594-2700.</w:t>
      </w:r>
    </w:p>
    <w:p>
      <w:pPr>
        <w:spacing w:after="0" w:line="20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Stockholders who currently receive multiple copies of the proxy materials at their address and would like to request “householding” of their future communications should direct their request either to their broker or to the Company at the address of telephone number above.</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55889"/>
        </w:rPr>
        <w:t>APPENDIX A:</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355889"/>
        </w:rPr>
        <w:t>INFORMATION REGARDING CERTAIN FINANCIAL MEASURES</w:t>
      </w:r>
    </w:p>
    <w:p>
      <w:pPr>
        <w:spacing w:after="0" w:line="22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Below are reconciliations of net income attributable to our stockholders to Normalized FFO per share and FFO per share for the twelve months ended December 31, 2019, 2018, 2017, 2016 and 2015 (amounts 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355889"/>
            </w:tcBorders>
          </w:tcPr>
          <w:p>
            <w:pPr>
              <w:spacing w:after="0"/>
              <w:rPr>
                <w:sz w:val="17"/>
                <w:szCs w:val="17"/>
                <w:color w:val="auto"/>
              </w:rPr>
            </w:pPr>
          </w:p>
        </w:tc>
        <w:tc>
          <w:tcPr>
            <w:tcW w:w="740" w:type="dxa"/>
            <w:vAlign w:val="bottom"/>
            <w:tcBorders>
              <w:bottom w:val="single" w:sz="8" w:color="355889"/>
            </w:tcBorders>
          </w:tcPr>
          <w:p>
            <w:pPr>
              <w:spacing w:after="0"/>
              <w:rPr>
                <w:sz w:val="17"/>
                <w:szCs w:val="17"/>
                <w:color w:val="auto"/>
              </w:rPr>
            </w:pPr>
          </w:p>
        </w:tc>
        <w:tc>
          <w:tcPr>
            <w:tcW w:w="220" w:type="dxa"/>
            <w:vAlign w:val="bottom"/>
            <w:tcBorders>
              <w:bottom w:val="single" w:sz="8" w:color="355889"/>
            </w:tcBorders>
          </w:tcPr>
          <w:p>
            <w:pPr>
              <w:spacing w:after="0"/>
              <w:rPr>
                <w:sz w:val="17"/>
                <w:szCs w:val="17"/>
                <w:color w:val="auto"/>
              </w:rPr>
            </w:pPr>
          </w:p>
        </w:tc>
        <w:tc>
          <w:tcPr>
            <w:tcW w:w="120" w:type="dxa"/>
            <w:vAlign w:val="bottom"/>
            <w:tcBorders>
              <w:bottom w:val="single" w:sz="8" w:color="355889"/>
            </w:tcBorders>
          </w:tcPr>
          <w:p>
            <w:pPr>
              <w:spacing w:after="0"/>
              <w:rPr>
                <w:sz w:val="17"/>
                <w:szCs w:val="17"/>
                <w:color w:val="auto"/>
              </w:rPr>
            </w:pPr>
          </w:p>
        </w:tc>
        <w:tc>
          <w:tcPr>
            <w:tcW w:w="2980" w:type="dxa"/>
            <w:vAlign w:val="bottom"/>
            <w:tcBorders>
              <w:bottom w:val="single" w:sz="8" w:color="355889"/>
            </w:tcBorders>
            <w:gridSpan w:val="7"/>
          </w:tcPr>
          <w:p>
            <w:pPr>
              <w:jc w:val="right"/>
              <w:ind w:right="614"/>
              <w:spacing w:after="0"/>
              <w:rPr>
                <w:sz w:val="20"/>
                <w:szCs w:val="20"/>
                <w:color w:val="auto"/>
              </w:rPr>
            </w:pPr>
            <w:r>
              <w:rPr>
                <w:rFonts w:ascii="Arial" w:cs="Arial" w:eastAsia="Arial" w:hAnsi="Arial"/>
                <w:sz w:val="13"/>
                <w:szCs w:val="13"/>
                <w:b w:val="1"/>
                <w:bCs w:val="1"/>
                <w:color w:val="355889"/>
              </w:rPr>
              <w:t>Year Ended December 31,</w:t>
            </w:r>
          </w:p>
        </w:tc>
        <w:tc>
          <w:tcPr>
            <w:tcW w:w="200" w:type="dxa"/>
            <w:vAlign w:val="bottom"/>
            <w:tcBorders>
              <w:bottom w:val="single" w:sz="8" w:color="355889"/>
            </w:tcBorders>
          </w:tcPr>
          <w:p>
            <w:pPr>
              <w:spacing w:after="0"/>
              <w:rPr>
                <w:sz w:val="17"/>
                <w:szCs w:val="17"/>
                <w:color w:val="auto"/>
              </w:rPr>
            </w:pPr>
          </w:p>
        </w:tc>
        <w:tc>
          <w:tcPr>
            <w:tcW w:w="120" w:type="dxa"/>
            <w:vAlign w:val="bottom"/>
            <w:tcBorders>
              <w:bottom w:val="single" w:sz="8" w:color="355889"/>
            </w:tcBorders>
          </w:tcPr>
          <w:p>
            <w:pPr>
              <w:spacing w:after="0"/>
              <w:rPr>
                <w:sz w:val="17"/>
                <w:szCs w:val="17"/>
                <w:color w:val="auto"/>
              </w:rPr>
            </w:pPr>
          </w:p>
        </w:tc>
        <w:tc>
          <w:tcPr>
            <w:tcW w:w="780" w:type="dxa"/>
            <w:vAlign w:val="bottom"/>
            <w:tcBorders>
              <w:bottom w:val="single" w:sz="8" w:color="355889"/>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0" w:type="dxa"/>
            <w:vAlign w:val="bottom"/>
            <w:tcBorders>
              <w:bottom w:val="single" w:sz="8" w:color="355889"/>
            </w:tcBorders>
          </w:tcPr>
          <w:p>
            <w:pPr>
              <w:spacing w:after="0"/>
              <w:rPr>
                <w:sz w:val="18"/>
                <w:szCs w:val="18"/>
                <w:color w:val="auto"/>
              </w:rPr>
            </w:pPr>
          </w:p>
        </w:tc>
        <w:tc>
          <w:tcPr>
            <w:tcW w:w="60" w:type="dxa"/>
            <w:vAlign w:val="bottom"/>
            <w:tcBorders>
              <w:bottom w:val="single" w:sz="8" w:color="355889"/>
            </w:tcBorders>
          </w:tcPr>
          <w:p>
            <w:pPr>
              <w:spacing w:after="0"/>
              <w:rPr>
                <w:sz w:val="18"/>
                <w:szCs w:val="18"/>
                <w:color w:val="auto"/>
              </w:rPr>
            </w:pPr>
          </w:p>
        </w:tc>
        <w:tc>
          <w:tcPr>
            <w:tcW w:w="5340" w:type="dxa"/>
            <w:vAlign w:val="bottom"/>
            <w:tcBorders>
              <w:bottom w:val="single" w:sz="8" w:color="355889"/>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355889"/>
            </w:tcBorders>
          </w:tcPr>
          <w:p>
            <w:pPr>
              <w:spacing w:after="0"/>
              <w:rPr>
                <w:sz w:val="18"/>
                <w:szCs w:val="18"/>
                <w:color w:val="auto"/>
              </w:rPr>
            </w:pPr>
          </w:p>
        </w:tc>
        <w:tc>
          <w:tcPr>
            <w:tcW w:w="740" w:type="dxa"/>
            <w:vAlign w:val="bottom"/>
            <w:tcBorders>
              <w:bottom w:val="single" w:sz="8" w:color="355889"/>
            </w:tcBorders>
          </w:tcPr>
          <w:p>
            <w:pPr>
              <w:jc w:val="right"/>
              <w:ind w:right="174"/>
              <w:spacing w:after="0"/>
              <w:rPr>
                <w:sz w:val="20"/>
                <w:szCs w:val="20"/>
                <w:color w:val="auto"/>
              </w:rPr>
            </w:pPr>
            <w:r>
              <w:rPr>
                <w:rFonts w:ascii="Arial" w:cs="Arial" w:eastAsia="Arial" w:hAnsi="Arial"/>
                <w:sz w:val="13"/>
                <w:szCs w:val="13"/>
                <w:b w:val="1"/>
                <w:bCs w:val="1"/>
                <w:color w:val="355889"/>
              </w:rPr>
              <w:t>2019</w:t>
            </w:r>
          </w:p>
        </w:tc>
        <w:tc>
          <w:tcPr>
            <w:tcW w:w="220" w:type="dxa"/>
            <w:vAlign w:val="bottom"/>
          </w:tcPr>
          <w:p>
            <w:pPr>
              <w:spacing w:after="0"/>
              <w:rPr>
                <w:sz w:val="18"/>
                <w:szCs w:val="18"/>
                <w:color w:val="auto"/>
              </w:rPr>
            </w:pPr>
          </w:p>
        </w:tc>
        <w:tc>
          <w:tcPr>
            <w:tcW w:w="120" w:type="dxa"/>
            <w:vAlign w:val="bottom"/>
            <w:tcBorders>
              <w:bottom w:val="single" w:sz="8" w:color="355889"/>
            </w:tcBorders>
          </w:tcPr>
          <w:p>
            <w:pPr>
              <w:spacing w:after="0"/>
              <w:rPr>
                <w:sz w:val="18"/>
                <w:szCs w:val="18"/>
                <w:color w:val="auto"/>
              </w:rPr>
            </w:pPr>
          </w:p>
        </w:tc>
        <w:tc>
          <w:tcPr>
            <w:tcW w:w="780" w:type="dxa"/>
            <w:vAlign w:val="bottom"/>
            <w:tcBorders>
              <w:bottom w:val="single" w:sz="8" w:color="355889"/>
            </w:tcBorders>
          </w:tcPr>
          <w:p>
            <w:pPr>
              <w:jc w:val="right"/>
              <w:ind w:right="215"/>
              <w:spacing w:after="0"/>
              <w:rPr>
                <w:sz w:val="20"/>
                <w:szCs w:val="20"/>
                <w:color w:val="auto"/>
              </w:rPr>
            </w:pPr>
            <w:r>
              <w:rPr>
                <w:rFonts w:ascii="Arial" w:cs="Arial" w:eastAsia="Arial" w:hAnsi="Arial"/>
                <w:sz w:val="13"/>
                <w:szCs w:val="13"/>
                <w:b w:val="1"/>
                <w:bCs w:val="1"/>
                <w:color w:val="355889"/>
              </w:rPr>
              <w:t>2018</w:t>
            </w:r>
          </w:p>
        </w:tc>
        <w:tc>
          <w:tcPr>
            <w:tcW w:w="220" w:type="dxa"/>
            <w:vAlign w:val="bottom"/>
          </w:tcPr>
          <w:p>
            <w:pPr>
              <w:spacing w:after="0"/>
              <w:rPr>
                <w:sz w:val="18"/>
                <w:szCs w:val="18"/>
                <w:color w:val="auto"/>
              </w:rPr>
            </w:pPr>
          </w:p>
        </w:tc>
        <w:tc>
          <w:tcPr>
            <w:tcW w:w="120" w:type="dxa"/>
            <w:vAlign w:val="bottom"/>
            <w:tcBorders>
              <w:bottom w:val="single" w:sz="8" w:color="355889"/>
            </w:tcBorders>
          </w:tcPr>
          <w:p>
            <w:pPr>
              <w:spacing w:after="0"/>
              <w:rPr>
                <w:sz w:val="18"/>
                <w:szCs w:val="18"/>
                <w:color w:val="auto"/>
              </w:rPr>
            </w:pPr>
          </w:p>
        </w:tc>
        <w:tc>
          <w:tcPr>
            <w:tcW w:w="780" w:type="dxa"/>
            <w:vAlign w:val="bottom"/>
            <w:tcBorders>
              <w:bottom w:val="single" w:sz="8" w:color="355889"/>
            </w:tcBorders>
          </w:tcPr>
          <w:p>
            <w:pPr>
              <w:jc w:val="right"/>
              <w:ind w:right="214"/>
              <w:spacing w:after="0"/>
              <w:rPr>
                <w:sz w:val="20"/>
                <w:szCs w:val="20"/>
                <w:color w:val="auto"/>
              </w:rPr>
            </w:pPr>
            <w:r>
              <w:rPr>
                <w:rFonts w:ascii="Arial" w:cs="Arial" w:eastAsia="Arial" w:hAnsi="Arial"/>
                <w:sz w:val="13"/>
                <w:szCs w:val="13"/>
                <w:b w:val="1"/>
                <w:bCs w:val="1"/>
                <w:color w:val="355889"/>
              </w:rPr>
              <w:t>2017</w:t>
            </w:r>
          </w:p>
        </w:tc>
        <w:tc>
          <w:tcPr>
            <w:tcW w:w="220" w:type="dxa"/>
            <w:vAlign w:val="bottom"/>
          </w:tcPr>
          <w:p>
            <w:pPr>
              <w:spacing w:after="0"/>
              <w:rPr>
                <w:sz w:val="18"/>
                <w:szCs w:val="18"/>
                <w:color w:val="auto"/>
              </w:rPr>
            </w:pPr>
          </w:p>
        </w:tc>
        <w:tc>
          <w:tcPr>
            <w:tcW w:w="120" w:type="dxa"/>
            <w:vAlign w:val="bottom"/>
            <w:tcBorders>
              <w:bottom w:val="single" w:sz="8" w:color="355889"/>
            </w:tcBorders>
          </w:tcPr>
          <w:p>
            <w:pPr>
              <w:spacing w:after="0"/>
              <w:rPr>
                <w:sz w:val="18"/>
                <w:szCs w:val="18"/>
                <w:color w:val="auto"/>
              </w:rPr>
            </w:pPr>
          </w:p>
        </w:tc>
        <w:tc>
          <w:tcPr>
            <w:tcW w:w="740" w:type="dxa"/>
            <w:vAlign w:val="bottom"/>
            <w:tcBorders>
              <w:bottom w:val="single" w:sz="8" w:color="355889"/>
            </w:tcBorders>
          </w:tcPr>
          <w:p>
            <w:pPr>
              <w:jc w:val="right"/>
              <w:ind w:right="194"/>
              <w:spacing w:after="0"/>
              <w:rPr>
                <w:sz w:val="20"/>
                <w:szCs w:val="20"/>
                <w:color w:val="auto"/>
              </w:rPr>
            </w:pPr>
            <w:r>
              <w:rPr>
                <w:rFonts w:ascii="Arial" w:cs="Arial" w:eastAsia="Arial" w:hAnsi="Arial"/>
                <w:sz w:val="13"/>
                <w:szCs w:val="13"/>
                <w:b w:val="1"/>
                <w:bCs w:val="1"/>
                <w:color w:val="355889"/>
              </w:rPr>
              <w:t>2016</w:t>
            </w:r>
          </w:p>
        </w:tc>
        <w:tc>
          <w:tcPr>
            <w:tcW w:w="200" w:type="dxa"/>
            <w:vAlign w:val="bottom"/>
          </w:tcPr>
          <w:p>
            <w:pPr>
              <w:spacing w:after="0"/>
              <w:rPr>
                <w:sz w:val="18"/>
                <w:szCs w:val="18"/>
                <w:color w:val="auto"/>
              </w:rPr>
            </w:pPr>
          </w:p>
        </w:tc>
        <w:tc>
          <w:tcPr>
            <w:tcW w:w="120" w:type="dxa"/>
            <w:vAlign w:val="bottom"/>
            <w:tcBorders>
              <w:bottom w:val="single" w:sz="8" w:color="355889"/>
            </w:tcBorders>
          </w:tcPr>
          <w:p>
            <w:pPr>
              <w:spacing w:after="0"/>
              <w:rPr>
                <w:sz w:val="18"/>
                <w:szCs w:val="18"/>
                <w:color w:val="auto"/>
              </w:rPr>
            </w:pPr>
          </w:p>
        </w:tc>
        <w:tc>
          <w:tcPr>
            <w:tcW w:w="780" w:type="dxa"/>
            <w:vAlign w:val="bottom"/>
            <w:tcBorders>
              <w:bottom w:val="single" w:sz="8" w:color="355889"/>
            </w:tcBorders>
          </w:tcPr>
          <w:p>
            <w:pPr>
              <w:jc w:val="right"/>
              <w:ind w:right="214"/>
              <w:spacing w:after="0"/>
              <w:rPr>
                <w:sz w:val="20"/>
                <w:szCs w:val="20"/>
                <w:color w:val="auto"/>
              </w:rPr>
            </w:pPr>
            <w:r>
              <w:rPr>
                <w:rFonts w:ascii="Arial" w:cs="Arial" w:eastAsia="Arial" w:hAnsi="Arial"/>
                <w:sz w:val="13"/>
                <w:szCs w:val="13"/>
                <w:b w:val="1"/>
                <w:bCs w:val="1"/>
                <w:color w:val="355889"/>
              </w:rPr>
              <w:t>2015</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8797B7"/>
            </w:tcBorders>
            <w:gridSpan w:val="3"/>
          </w:tcPr>
          <w:p>
            <w:pPr>
              <w:spacing w:after="0"/>
              <w:rPr>
                <w:sz w:val="20"/>
                <w:szCs w:val="20"/>
                <w:color w:val="auto"/>
              </w:rPr>
            </w:pPr>
            <w:r>
              <w:rPr>
                <w:rFonts w:ascii="Arial" w:cs="Arial" w:eastAsia="Arial" w:hAnsi="Arial"/>
                <w:sz w:val="18"/>
                <w:szCs w:val="18"/>
                <w:b w:val="1"/>
                <w:bCs w:val="1"/>
                <w:color w:val="auto"/>
              </w:rPr>
              <w:t>FFO Reconciliation:</w:t>
            </w:r>
          </w:p>
        </w:tc>
        <w:tc>
          <w:tcPr>
            <w:tcW w:w="220" w:type="dxa"/>
            <w:vAlign w:val="bottom"/>
          </w:tcPr>
          <w:p>
            <w:pPr>
              <w:spacing w:after="0"/>
              <w:rPr>
                <w:sz w:val="19"/>
                <w:szCs w:val="19"/>
                <w:color w:val="auto"/>
              </w:rPr>
            </w:pPr>
          </w:p>
        </w:tc>
        <w:tc>
          <w:tcPr>
            <w:tcW w:w="100" w:type="dxa"/>
            <w:vAlign w:val="bottom"/>
            <w:tcBorders>
              <w:bottom w:val="single" w:sz="8" w:color="8797B7"/>
            </w:tcBorders>
          </w:tcPr>
          <w:p>
            <w:pPr>
              <w:spacing w:after="0"/>
              <w:rPr>
                <w:sz w:val="19"/>
                <w:szCs w:val="19"/>
                <w:color w:val="auto"/>
              </w:rPr>
            </w:pPr>
          </w:p>
        </w:tc>
        <w:tc>
          <w:tcPr>
            <w:tcW w:w="740" w:type="dxa"/>
            <w:vAlign w:val="bottom"/>
            <w:tcBorders>
              <w:bottom w:val="single" w:sz="8" w:color="8797B7"/>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8797B7"/>
            </w:tcBorders>
          </w:tcPr>
          <w:p>
            <w:pPr>
              <w:spacing w:after="0"/>
              <w:rPr>
                <w:sz w:val="19"/>
                <w:szCs w:val="19"/>
                <w:color w:val="auto"/>
              </w:rPr>
            </w:pPr>
          </w:p>
        </w:tc>
        <w:tc>
          <w:tcPr>
            <w:tcW w:w="780" w:type="dxa"/>
            <w:vAlign w:val="bottom"/>
            <w:tcBorders>
              <w:bottom w:val="single" w:sz="8" w:color="8797B7"/>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8797B7"/>
            </w:tcBorders>
          </w:tcPr>
          <w:p>
            <w:pPr>
              <w:spacing w:after="0"/>
              <w:rPr>
                <w:sz w:val="19"/>
                <w:szCs w:val="19"/>
                <w:color w:val="auto"/>
              </w:rPr>
            </w:pPr>
          </w:p>
        </w:tc>
        <w:tc>
          <w:tcPr>
            <w:tcW w:w="780" w:type="dxa"/>
            <w:vAlign w:val="bottom"/>
            <w:tcBorders>
              <w:bottom w:val="single" w:sz="8" w:color="8797B7"/>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8797B7"/>
            </w:tcBorders>
          </w:tcPr>
          <w:p>
            <w:pPr>
              <w:spacing w:after="0"/>
              <w:rPr>
                <w:sz w:val="19"/>
                <w:szCs w:val="19"/>
                <w:color w:val="auto"/>
              </w:rPr>
            </w:pPr>
          </w:p>
        </w:tc>
        <w:tc>
          <w:tcPr>
            <w:tcW w:w="740" w:type="dxa"/>
            <w:vAlign w:val="bottom"/>
            <w:tcBorders>
              <w:bottom w:val="single" w:sz="8" w:color="8797B7"/>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8797B7"/>
            </w:tcBorders>
          </w:tcPr>
          <w:p>
            <w:pPr>
              <w:spacing w:after="0"/>
              <w:rPr>
                <w:sz w:val="19"/>
                <w:szCs w:val="19"/>
                <w:color w:val="auto"/>
              </w:rPr>
            </w:pPr>
          </w:p>
        </w:tc>
        <w:tc>
          <w:tcPr>
            <w:tcW w:w="780" w:type="dxa"/>
            <w:vAlign w:val="bottom"/>
            <w:tcBorders>
              <w:bottom w:val="single" w:sz="8" w:color="8797B7"/>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760" w:type="dxa"/>
            <w:vAlign w:val="bottom"/>
            <w:tcBorders>
              <w:bottom w:val="single" w:sz="8" w:color="8797B7"/>
            </w:tcBorders>
            <w:gridSpan w:val="3"/>
          </w:tcPr>
          <w:p>
            <w:pPr>
              <w:spacing w:after="0" w:line="196" w:lineRule="exact"/>
              <w:rPr>
                <w:sz w:val="20"/>
                <w:szCs w:val="20"/>
                <w:color w:val="auto"/>
              </w:rPr>
            </w:pPr>
            <w:r>
              <w:rPr>
                <w:rFonts w:ascii="Arial" w:cs="Arial" w:eastAsia="Arial" w:hAnsi="Arial"/>
                <w:sz w:val="18"/>
                <w:szCs w:val="18"/>
                <w:color w:val="auto"/>
              </w:rPr>
              <w:t>Net income attributable to SL Green common stockholders</w:t>
            </w:r>
          </w:p>
        </w:tc>
        <w:tc>
          <w:tcPr>
            <w:tcW w:w="220" w:type="dxa"/>
            <w:vAlign w:val="bottom"/>
          </w:tcPr>
          <w:p>
            <w:pPr>
              <w:spacing w:after="0"/>
              <w:rPr>
                <w:sz w:val="17"/>
                <w:szCs w:val="17"/>
                <w:color w:val="auto"/>
              </w:rPr>
            </w:pPr>
          </w:p>
        </w:tc>
        <w:tc>
          <w:tcPr>
            <w:tcW w:w="10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w w:val="98"/>
              </w:rPr>
              <w:t>255,484</w:t>
            </w:r>
          </w:p>
        </w:tc>
        <w:tc>
          <w:tcPr>
            <w:tcW w:w="220" w:type="dxa"/>
            <w:vAlign w:val="bottom"/>
          </w:tcPr>
          <w:p>
            <w:pPr>
              <w:spacing w:after="0"/>
              <w:rPr>
                <w:sz w:val="17"/>
                <w:szCs w:val="17"/>
                <w:color w:val="auto"/>
              </w:rPr>
            </w:pPr>
          </w:p>
        </w:tc>
        <w:tc>
          <w:tcPr>
            <w:tcW w:w="12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232,312</w:t>
            </w:r>
          </w:p>
        </w:tc>
        <w:tc>
          <w:tcPr>
            <w:tcW w:w="220" w:type="dxa"/>
            <w:vAlign w:val="bottom"/>
          </w:tcPr>
          <w:p>
            <w:pPr>
              <w:spacing w:after="0"/>
              <w:rPr>
                <w:sz w:val="17"/>
                <w:szCs w:val="17"/>
                <w:color w:val="auto"/>
              </w:rPr>
            </w:pPr>
          </w:p>
        </w:tc>
        <w:tc>
          <w:tcPr>
            <w:tcW w:w="12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86,424</w:t>
            </w:r>
          </w:p>
        </w:tc>
        <w:tc>
          <w:tcPr>
            <w:tcW w:w="220" w:type="dxa"/>
            <w:vAlign w:val="bottom"/>
          </w:tcPr>
          <w:p>
            <w:pPr>
              <w:spacing w:after="0"/>
              <w:rPr>
                <w:sz w:val="17"/>
                <w:szCs w:val="17"/>
                <w:color w:val="auto"/>
              </w:rPr>
            </w:pPr>
          </w:p>
        </w:tc>
        <w:tc>
          <w:tcPr>
            <w:tcW w:w="12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8797B7"/>
            </w:tcBorders>
          </w:tcPr>
          <w:p>
            <w:pPr>
              <w:jc w:val="right"/>
              <w:ind w:right="14"/>
              <w:spacing w:after="0" w:line="196" w:lineRule="exact"/>
              <w:rPr>
                <w:sz w:val="20"/>
                <w:szCs w:val="20"/>
                <w:color w:val="auto"/>
              </w:rPr>
            </w:pPr>
            <w:r>
              <w:rPr>
                <w:rFonts w:ascii="Arial" w:cs="Arial" w:eastAsia="Arial" w:hAnsi="Arial"/>
                <w:sz w:val="18"/>
                <w:szCs w:val="18"/>
                <w:color w:val="auto"/>
                <w:w w:val="95"/>
              </w:rPr>
              <w:t>234,946</w:t>
            </w:r>
          </w:p>
        </w:tc>
        <w:tc>
          <w:tcPr>
            <w:tcW w:w="200" w:type="dxa"/>
            <w:vAlign w:val="bottom"/>
          </w:tcPr>
          <w:p>
            <w:pPr>
              <w:spacing w:after="0"/>
              <w:rPr>
                <w:sz w:val="17"/>
                <w:szCs w:val="17"/>
                <w:color w:val="auto"/>
              </w:rPr>
            </w:pPr>
          </w:p>
        </w:tc>
        <w:tc>
          <w:tcPr>
            <w:tcW w:w="12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8797B7"/>
            </w:tcBorders>
          </w:tcPr>
          <w:p>
            <w:pPr>
              <w:jc w:val="right"/>
              <w:ind w:right="54"/>
              <w:spacing w:after="0" w:line="196" w:lineRule="exact"/>
              <w:rPr>
                <w:sz w:val="20"/>
                <w:szCs w:val="20"/>
                <w:color w:val="auto"/>
              </w:rPr>
            </w:pPr>
            <w:r>
              <w:rPr>
                <w:rFonts w:ascii="Arial" w:cs="Arial" w:eastAsia="Arial" w:hAnsi="Arial"/>
                <w:sz w:val="18"/>
                <w:szCs w:val="18"/>
                <w:color w:val="auto"/>
                <w:w w:val="95"/>
              </w:rPr>
              <w:t>269,132</w:t>
            </w:r>
          </w:p>
        </w:tc>
        <w:tc>
          <w:tcPr>
            <w:tcW w:w="0" w:type="dxa"/>
            <w:vAlign w:val="bottom"/>
          </w:tcPr>
          <w:p>
            <w:pPr>
              <w:spacing w:after="0"/>
              <w:rPr>
                <w:sz w:val="1"/>
                <w:szCs w:val="1"/>
                <w:color w:val="auto"/>
              </w:rPr>
            </w:pPr>
          </w:p>
        </w:tc>
      </w:tr>
      <w:tr>
        <w:trPr>
          <w:trHeight w:val="169"/>
        </w:trPr>
        <w:tc>
          <w:tcPr>
            <w:tcW w:w="5980" w:type="dxa"/>
            <w:vAlign w:val="bottom"/>
            <w:gridSpan w:val="4"/>
          </w:tcPr>
          <w:p>
            <w:pPr>
              <w:spacing w:after="0" w:line="169" w:lineRule="exact"/>
              <w:rPr>
                <w:sz w:val="20"/>
                <w:szCs w:val="20"/>
                <w:color w:val="auto"/>
              </w:rPr>
            </w:pPr>
            <w:r>
              <w:rPr>
                <w:rFonts w:ascii="Arial" w:cs="Arial" w:eastAsia="Arial" w:hAnsi="Arial"/>
                <w:sz w:val="18"/>
                <w:szCs w:val="18"/>
                <w:color w:val="auto"/>
              </w:rPr>
              <w:t>Add: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8797B7"/>
            </w:tcBorders>
          </w:tcPr>
          <w:p>
            <w:pPr>
              <w:spacing w:after="0" w:line="20" w:lineRule="exact"/>
              <w:rPr>
                <w:sz w:val="1"/>
                <w:szCs w:val="1"/>
                <w:color w:val="auto"/>
              </w:rPr>
            </w:pPr>
          </w:p>
        </w:tc>
        <w:tc>
          <w:tcPr>
            <w:tcW w:w="60" w:type="dxa"/>
            <w:vAlign w:val="bottom"/>
            <w:tcBorders>
              <w:bottom w:val="single" w:sz="8" w:color="8797B7"/>
            </w:tcBorders>
          </w:tcPr>
          <w:p>
            <w:pPr>
              <w:spacing w:after="0" w:line="20" w:lineRule="exact"/>
              <w:rPr>
                <w:sz w:val="1"/>
                <w:szCs w:val="1"/>
                <w:color w:val="auto"/>
              </w:rPr>
            </w:pPr>
          </w:p>
        </w:tc>
        <w:tc>
          <w:tcPr>
            <w:tcW w:w="5340" w:type="dxa"/>
            <w:vAlign w:val="bottom"/>
            <w:tcBorders>
              <w:bottom w:val="single" w:sz="8" w:color="8797B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272,358</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279,507</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403,320</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vMerge w:val="restart"/>
          </w:tcPr>
          <w:p>
            <w:pPr>
              <w:jc w:val="right"/>
              <w:ind w:right="14"/>
              <w:spacing w:after="0"/>
              <w:rPr>
                <w:sz w:val="20"/>
                <w:szCs w:val="20"/>
                <w:color w:val="auto"/>
              </w:rPr>
            </w:pPr>
            <w:r>
              <w:rPr>
                <w:rFonts w:ascii="Arial" w:cs="Arial" w:eastAsia="Arial" w:hAnsi="Arial"/>
                <w:sz w:val="18"/>
                <w:szCs w:val="18"/>
                <w:color w:val="auto"/>
                <w:w w:val="95"/>
              </w:rPr>
              <w:t>821,041</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right"/>
              <w:ind w:right="54"/>
              <w:spacing w:after="0"/>
              <w:rPr>
                <w:sz w:val="20"/>
                <w:szCs w:val="20"/>
                <w:color w:val="auto"/>
              </w:rPr>
            </w:pPr>
            <w:r>
              <w:rPr>
                <w:rFonts w:ascii="Arial" w:cs="Arial" w:eastAsia="Arial" w:hAnsi="Arial"/>
                <w:sz w:val="18"/>
                <w:szCs w:val="18"/>
                <w:color w:val="auto"/>
                <w:w w:val="95"/>
              </w:rPr>
              <w:t>560,887</w:t>
            </w:r>
          </w:p>
        </w:tc>
        <w:tc>
          <w:tcPr>
            <w:tcW w:w="0" w:type="dxa"/>
            <w:vAlign w:val="bottom"/>
          </w:tcPr>
          <w:p>
            <w:pPr>
              <w:spacing w:after="0" w:line="20" w:lineRule="exact"/>
              <w:rPr>
                <w:sz w:val="1"/>
                <w:szCs w:val="1"/>
                <w:color w:val="auto"/>
              </w:rPr>
            </w:pPr>
          </w:p>
        </w:tc>
      </w:tr>
      <w:tr>
        <w:trPr>
          <w:trHeight w:val="183"/>
        </w:trPr>
        <w:tc>
          <w:tcPr>
            <w:tcW w:w="5760" w:type="dxa"/>
            <w:vAlign w:val="bottom"/>
            <w:tcBorders>
              <w:bottom w:val="single" w:sz="8" w:color="8797B7"/>
            </w:tcBorders>
            <w:gridSpan w:val="3"/>
          </w:tcPr>
          <w:p>
            <w:pPr>
              <w:spacing w:after="0" w:line="183" w:lineRule="exact"/>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5"/>
                <w:szCs w:val="15"/>
                <w:color w:val="auto"/>
              </w:rPr>
            </w:pPr>
          </w:p>
        </w:tc>
        <w:tc>
          <w:tcPr>
            <w:tcW w:w="100" w:type="dxa"/>
            <w:vAlign w:val="bottom"/>
            <w:tcBorders>
              <w:bottom w:val="single" w:sz="8" w:color="8797B7"/>
            </w:tcBorders>
          </w:tcPr>
          <w:p>
            <w:pPr>
              <w:spacing w:after="0"/>
              <w:rPr>
                <w:sz w:val="15"/>
                <w:szCs w:val="15"/>
                <w:color w:val="auto"/>
              </w:rPr>
            </w:pPr>
          </w:p>
        </w:tc>
        <w:tc>
          <w:tcPr>
            <w:tcW w:w="740" w:type="dxa"/>
            <w:vAlign w:val="bottom"/>
            <w:tcBorders>
              <w:bottom w:val="single" w:sz="8" w:color="8797B7"/>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8797B7"/>
            </w:tcBorders>
          </w:tcPr>
          <w:p>
            <w:pPr>
              <w:spacing w:after="0"/>
              <w:rPr>
                <w:sz w:val="15"/>
                <w:szCs w:val="15"/>
                <w:color w:val="auto"/>
              </w:rPr>
            </w:pPr>
          </w:p>
        </w:tc>
        <w:tc>
          <w:tcPr>
            <w:tcW w:w="780" w:type="dxa"/>
            <w:vAlign w:val="bottom"/>
            <w:tcBorders>
              <w:bottom w:val="single" w:sz="8" w:color="8797B7"/>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8797B7"/>
            </w:tcBorders>
          </w:tcPr>
          <w:p>
            <w:pPr>
              <w:spacing w:after="0"/>
              <w:rPr>
                <w:sz w:val="15"/>
                <w:szCs w:val="15"/>
                <w:color w:val="auto"/>
              </w:rPr>
            </w:pPr>
          </w:p>
        </w:tc>
        <w:tc>
          <w:tcPr>
            <w:tcW w:w="780" w:type="dxa"/>
            <w:vAlign w:val="bottom"/>
            <w:tcBorders>
              <w:bottom w:val="single" w:sz="8" w:color="8797B7"/>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8797B7"/>
            </w:tcBorders>
          </w:tcPr>
          <w:p>
            <w:pPr>
              <w:spacing w:after="0"/>
              <w:rPr>
                <w:sz w:val="15"/>
                <w:szCs w:val="15"/>
                <w:color w:val="auto"/>
              </w:rPr>
            </w:pPr>
          </w:p>
        </w:tc>
        <w:tc>
          <w:tcPr>
            <w:tcW w:w="740" w:type="dxa"/>
            <w:vAlign w:val="bottom"/>
            <w:tcBorders>
              <w:bottom w:val="single" w:sz="8" w:color="8797B7"/>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8797B7"/>
            </w:tcBorders>
          </w:tcPr>
          <w:p>
            <w:pPr>
              <w:spacing w:after="0"/>
              <w:rPr>
                <w:sz w:val="15"/>
                <w:szCs w:val="15"/>
                <w:color w:val="auto"/>
              </w:rPr>
            </w:pPr>
          </w:p>
        </w:tc>
        <w:tc>
          <w:tcPr>
            <w:tcW w:w="780" w:type="dxa"/>
            <w:vAlign w:val="bottom"/>
            <w:tcBorders>
              <w:bottom w:val="single" w:sz="8" w:color="8797B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60" w:type="dxa"/>
            <w:vAlign w:val="bottom"/>
            <w:tcBorders>
              <w:bottom w:val="single" w:sz="8" w:color="8797B7"/>
            </w:tcBorders>
            <w:gridSpan w:val="3"/>
          </w:tcPr>
          <w:p>
            <w:pPr>
              <w:spacing w:after="0" w:line="196" w:lineRule="exact"/>
              <w:rPr>
                <w:sz w:val="20"/>
                <w:szCs w:val="20"/>
                <w:color w:val="auto"/>
              </w:rPr>
            </w:pPr>
            <w:r>
              <w:rPr>
                <w:rFonts w:ascii="Arial" w:cs="Arial" w:eastAsia="Arial" w:hAnsi="Arial"/>
                <w:sz w:val="18"/>
                <w:szCs w:val="18"/>
                <w:color w:val="auto"/>
              </w:rPr>
              <w:t>Joint venture depreciation and noncontrolling interest adjustments</w:t>
            </w:r>
          </w:p>
        </w:tc>
        <w:tc>
          <w:tcPr>
            <w:tcW w:w="220" w:type="dxa"/>
            <w:vAlign w:val="bottom"/>
          </w:tcPr>
          <w:p>
            <w:pPr>
              <w:spacing w:after="0"/>
              <w:rPr>
                <w:sz w:val="17"/>
                <w:szCs w:val="17"/>
                <w:color w:val="auto"/>
              </w:rPr>
            </w:pPr>
          </w:p>
        </w:tc>
        <w:tc>
          <w:tcPr>
            <w:tcW w:w="100" w:type="dxa"/>
            <w:vAlign w:val="bottom"/>
            <w:tcBorders>
              <w:bottom w:val="single" w:sz="8" w:color="8797B7"/>
            </w:tcBorders>
          </w:tcPr>
          <w:p>
            <w:pPr>
              <w:spacing w:after="0"/>
              <w:rPr>
                <w:sz w:val="17"/>
                <w:szCs w:val="17"/>
                <w:color w:val="auto"/>
              </w:rPr>
            </w:pPr>
          </w:p>
        </w:tc>
        <w:tc>
          <w:tcPr>
            <w:tcW w:w="74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w w:val="98"/>
              </w:rPr>
              <w:t>192,426</w:t>
            </w: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187,147</w:t>
            </w: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102,334</w:t>
            </w: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40" w:type="dxa"/>
            <w:vAlign w:val="bottom"/>
            <w:tcBorders>
              <w:bottom w:val="single" w:sz="8" w:color="8797B7"/>
            </w:tcBorders>
          </w:tcPr>
          <w:p>
            <w:pPr>
              <w:jc w:val="right"/>
              <w:ind w:right="14"/>
              <w:spacing w:after="0" w:line="196" w:lineRule="exact"/>
              <w:rPr>
                <w:sz w:val="20"/>
                <w:szCs w:val="20"/>
                <w:color w:val="auto"/>
              </w:rPr>
            </w:pPr>
            <w:r>
              <w:rPr>
                <w:rFonts w:ascii="Arial" w:cs="Arial" w:eastAsia="Arial" w:hAnsi="Arial"/>
                <w:sz w:val="18"/>
                <w:szCs w:val="18"/>
                <w:color w:val="auto"/>
              </w:rPr>
              <w:t>69,853</w:t>
            </w:r>
          </w:p>
        </w:tc>
        <w:tc>
          <w:tcPr>
            <w:tcW w:w="20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ind w:right="54"/>
              <w:spacing w:after="0" w:line="196" w:lineRule="exact"/>
              <w:rPr>
                <w:sz w:val="20"/>
                <w:szCs w:val="20"/>
                <w:color w:val="auto"/>
              </w:rPr>
            </w:pPr>
            <w:r>
              <w:rPr>
                <w:rFonts w:ascii="Arial" w:cs="Arial" w:eastAsia="Arial" w:hAnsi="Arial"/>
                <w:sz w:val="18"/>
                <w:szCs w:val="18"/>
                <w:color w:val="auto"/>
              </w:rPr>
              <w:t>34,226</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8797B7"/>
            </w:tcBorders>
            <w:gridSpan w:val="3"/>
          </w:tcPr>
          <w:p>
            <w:pPr>
              <w:spacing w:after="0" w:line="196" w:lineRule="exact"/>
              <w:rPr>
                <w:sz w:val="20"/>
                <w:szCs w:val="20"/>
                <w:color w:val="auto"/>
              </w:rPr>
            </w:pPr>
            <w:r>
              <w:rPr>
                <w:rFonts w:ascii="Arial" w:cs="Arial" w:eastAsia="Arial" w:hAnsi="Arial"/>
                <w:sz w:val="18"/>
                <w:szCs w:val="18"/>
                <w:color w:val="auto"/>
              </w:rPr>
              <w:t>Net income (loss) attributable to noncontrolling interests</w:t>
            </w:r>
          </w:p>
        </w:tc>
        <w:tc>
          <w:tcPr>
            <w:tcW w:w="220" w:type="dxa"/>
            <w:vAlign w:val="bottom"/>
          </w:tcPr>
          <w:p>
            <w:pPr>
              <w:spacing w:after="0"/>
              <w:rPr>
                <w:sz w:val="17"/>
                <w:szCs w:val="17"/>
                <w:color w:val="auto"/>
              </w:rPr>
            </w:pPr>
          </w:p>
        </w:tc>
        <w:tc>
          <w:tcPr>
            <w:tcW w:w="100" w:type="dxa"/>
            <w:vAlign w:val="bottom"/>
            <w:tcBorders>
              <w:bottom w:val="single" w:sz="8" w:color="8797B7"/>
            </w:tcBorders>
          </w:tcPr>
          <w:p>
            <w:pPr>
              <w:spacing w:after="0"/>
              <w:rPr>
                <w:sz w:val="17"/>
                <w:szCs w:val="17"/>
                <w:color w:val="auto"/>
              </w:rPr>
            </w:pPr>
          </w:p>
        </w:tc>
        <w:tc>
          <w:tcPr>
            <w:tcW w:w="74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10,142</w:t>
            </w: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12,210</w:t>
            </w: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(11,706)</w:t>
            </w: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40" w:type="dxa"/>
            <w:vAlign w:val="bottom"/>
            <w:tcBorders>
              <w:bottom w:val="single" w:sz="8" w:color="8797B7"/>
            </w:tcBorders>
          </w:tcPr>
          <w:p>
            <w:pPr>
              <w:jc w:val="right"/>
              <w:ind w:right="14"/>
              <w:spacing w:after="0" w:line="196" w:lineRule="exact"/>
              <w:rPr>
                <w:sz w:val="20"/>
                <w:szCs w:val="20"/>
                <w:color w:val="auto"/>
              </w:rPr>
            </w:pPr>
            <w:r>
              <w:rPr>
                <w:rFonts w:ascii="Arial" w:cs="Arial" w:eastAsia="Arial" w:hAnsi="Arial"/>
                <w:sz w:val="18"/>
                <w:szCs w:val="18"/>
                <w:color w:val="auto"/>
              </w:rPr>
              <w:t>17,780</w:t>
            </w:r>
          </w:p>
        </w:tc>
        <w:tc>
          <w:tcPr>
            <w:tcW w:w="20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ind w:right="54"/>
              <w:spacing w:after="0" w:line="196" w:lineRule="exact"/>
              <w:rPr>
                <w:sz w:val="20"/>
                <w:szCs w:val="20"/>
                <w:color w:val="auto"/>
              </w:rPr>
            </w:pPr>
            <w:r>
              <w:rPr>
                <w:rFonts w:ascii="Arial" w:cs="Arial" w:eastAsia="Arial" w:hAnsi="Arial"/>
                <w:sz w:val="18"/>
                <w:szCs w:val="18"/>
                <w:color w:val="auto"/>
              </w:rPr>
              <w:t>26,408</w:t>
            </w:r>
          </w:p>
        </w:tc>
        <w:tc>
          <w:tcPr>
            <w:tcW w:w="0" w:type="dxa"/>
            <w:vAlign w:val="bottom"/>
          </w:tcPr>
          <w:p>
            <w:pPr>
              <w:spacing w:after="0"/>
              <w:rPr>
                <w:sz w:val="1"/>
                <w:szCs w:val="1"/>
                <w:color w:val="auto"/>
              </w:rPr>
            </w:pPr>
          </w:p>
        </w:tc>
      </w:tr>
      <w:tr>
        <w:trPr>
          <w:trHeight w:val="169"/>
        </w:trPr>
        <w:tc>
          <w:tcPr>
            <w:tcW w:w="5980" w:type="dxa"/>
            <w:vAlign w:val="bottom"/>
            <w:gridSpan w:val="4"/>
          </w:tcPr>
          <w:p>
            <w:pPr>
              <w:spacing w:after="0" w:line="169" w:lineRule="exact"/>
              <w:rPr>
                <w:sz w:val="20"/>
                <w:szCs w:val="20"/>
                <w:color w:val="auto"/>
              </w:rPr>
            </w:pPr>
            <w:r>
              <w:rPr>
                <w:rFonts w:ascii="Arial" w:cs="Arial" w:eastAsia="Arial" w:hAnsi="Arial"/>
                <w:sz w:val="18"/>
                <w:szCs w:val="18"/>
                <w:color w:val="auto"/>
              </w:rPr>
              <w:t>Less: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8797B7"/>
            </w:tcBorders>
          </w:tcPr>
          <w:p>
            <w:pPr>
              <w:spacing w:after="0" w:line="20" w:lineRule="exact"/>
              <w:rPr>
                <w:sz w:val="1"/>
                <w:szCs w:val="1"/>
                <w:color w:val="auto"/>
              </w:rPr>
            </w:pPr>
          </w:p>
        </w:tc>
        <w:tc>
          <w:tcPr>
            <w:tcW w:w="60" w:type="dxa"/>
            <w:vAlign w:val="bottom"/>
            <w:tcBorders>
              <w:top w:val="single" w:sz="8" w:color="auto"/>
              <w:bottom w:val="single" w:sz="8" w:color="8797B7"/>
            </w:tcBorders>
          </w:tcPr>
          <w:p>
            <w:pPr>
              <w:spacing w:after="0" w:line="20" w:lineRule="exact"/>
              <w:rPr>
                <w:sz w:val="1"/>
                <w:szCs w:val="1"/>
                <w:color w:val="auto"/>
              </w:rPr>
            </w:pPr>
          </w:p>
        </w:tc>
        <w:tc>
          <w:tcPr>
            <w:tcW w:w="5340" w:type="dxa"/>
            <w:vAlign w:val="bottom"/>
            <w:tcBorders>
              <w:bottom w:val="single" w:sz="8" w:color="8797B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(16,749)</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(30,757)</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73,241</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vMerge w:val="restart"/>
          </w:tcPr>
          <w:p>
            <w:pPr>
              <w:jc w:val="right"/>
              <w:ind w:right="14"/>
              <w:spacing w:after="0"/>
              <w:rPr>
                <w:sz w:val="20"/>
                <w:szCs w:val="20"/>
                <w:color w:val="auto"/>
              </w:rPr>
            </w:pPr>
            <w:r>
              <w:rPr>
                <w:rFonts w:ascii="Arial" w:cs="Arial" w:eastAsia="Arial" w:hAnsi="Arial"/>
                <w:sz w:val="18"/>
                <w:szCs w:val="18"/>
                <w:color w:val="auto"/>
                <w:w w:val="95"/>
              </w:rPr>
              <w:t>238,116</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right"/>
              <w:ind w:right="54"/>
              <w:spacing w:after="0"/>
              <w:rPr>
                <w:sz w:val="20"/>
                <w:szCs w:val="20"/>
                <w:color w:val="auto"/>
              </w:rPr>
            </w:pPr>
            <w:r>
              <w:rPr>
                <w:rFonts w:ascii="Arial" w:cs="Arial" w:eastAsia="Arial" w:hAnsi="Arial"/>
                <w:sz w:val="18"/>
                <w:szCs w:val="18"/>
                <w:color w:val="auto"/>
                <w:w w:val="95"/>
              </w:rPr>
              <w:t>190,096</w:t>
            </w:r>
          </w:p>
        </w:tc>
        <w:tc>
          <w:tcPr>
            <w:tcW w:w="0" w:type="dxa"/>
            <w:vAlign w:val="bottom"/>
          </w:tcPr>
          <w:p>
            <w:pPr>
              <w:spacing w:after="0" w:line="20" w:lineRule="exact"/>
              <w:rPr>
                <w:sz w:val="1"/>
                <w:szCs w:val="1"/>
                <w:color w:val="auto"/>
              </w:rPr>
            </w:pPr>
          </w:p>
        </w:tc>
      </w:tr>
      <w:tr>
        <w:trPr>
          <w:trHeight w:val="183"/>
        </w:trPr>
        <w:tc>
          <w:tcPr>
            <w:tcW w:w="5760" w:type="dxa"/>
            <w:vAlign w:val="bottom"/>
            <w:tcBorders>
              <w:bottom w:val="single" w:sz="8" w:color="8797B7"/>
            </w:tcBorders>
            <w:gridSpan w:val="3"/>
          </w:tcPr>
          <w:p>
            <w:pPr>
              <w:spacing w:after="0" w:line="183" w:lineRule="exact"/>
              <w:rPr>
                <w:sz w:val="20"/>
                <w:szCs w:val="20"/>
                <w:color w:val="auto"/>
              </w:rPr>
            </w:pPr>
            <w:r>
              <w:rPr>
                <w:rFonts w:ascii="Arial" w:cs="Arial" w:eastAsia="Arial" w:hAnsi="Arial"/>
                <w:sz w:val="18"/>
                <w:szCs w:val="18"/>
                <w:color w:val="auto"/>
              </w:rPr>
              <w:t>(Loss) gain on sale of real estate and discontinued operations, net</w:t>
            </w:r>
          </w:p>
        </w:tc>
        <w:tc>
          <w:tcPr>
            <w:tcW w:w="220" w:type="dxa"/>
            <w:vAlign w:val="bottom"/>
          </w:tcPr>
          <w:p>
            <w:pPr>
              <w:spacing w:after="0"/>
              <w:rPr>
                <w:sz w:val="15"/>
                <w:szCs w:val="15"/>
                <w:color w:val="auto"/>
              </w:rPr>
            </w:pPr>
          </w:p>
        </w:tc>
        <w:tc>
          <w:tcPr>
            <w:tcW w:w="100" w:type="dxa"/>
            <w:vAlign w:val="bottom"/>
            <w:tcBorders>
              <w:bottom w:val="single" w:sz="8" w:color="8797B7"/>
            </w:tcBorders>
          </w:tcPr>
          <w:p>
            <w:pPr>
              <w:spacing w:after="0"/>
              <w:rPr>
                <w:sz w:val="15"/>
                <w:szCs w:val="15"/>
                <w:color w:val="auto"/>
              </w:rPr>
            </w:pPr>
          </w:p>
        </w:tc>
        <w:tc>
          <w:tcPr>
            <w:tcW w:w="740" w:type="dxa"/>
            <w:vAlign w:val="bottom"/>
            <w:tcBorders>
              <w:bottom w:val="single" w:sz="8" w:color="8797B7"/>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8797B7"/>
            </w:tcBorders>
          </w:tcPr>
          <w:p>
            <w:pPr>
              <w:spacing w:after="0"/>
              <w:rPr>
                <w:sz w:val="15"/>
                <w:szCs w:val="15"/>
                <w:color w:val="auto"/>
              </w:rPr>
            </w:pPr>
          </w:p>
        </w:tc>
        <w:tc>
          <w:tcPr>
            <w:tcW w:w="780" w:type="dxa"/>
            <w:vAlign w:val="bottom"/>
            <w:tcBorders>
              <w:bottom w:val="single" w:sz="8" w:color="8797B7"/>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8797B7"/>
            </w:tcBorders>
          </w:tcPr>
          <w:p>
            <w:pPr>
              <w:spacing w:after="0"/>
              <w:rPr>
                <w:sz w:val="15"/>
                <w:szCs w:val="15"/>
                <w:color w:val="auto"/>
              </w:rPr>
            </w:pPr>
          </w:p>
        </w:tc>
        <w:tc>
          <w:tcPr>
            <w:tcW w:w="780" w:type="dxa"/>
            <w:vAlign w:val="bottom"/>
            <w:tcBorders>
              <w:bottom w:val="single" w:sz="8" w:color="8797B7"/>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8797B7"/>
            </w:tcBorders>
          </w:tcPr>
          <w:p>
            <w:pPr>
              <w:spacing w:after="0"/>
              <w:rPr>
                <w:sz w:val="15"/>
                <w:szCs w:val="15"/>
                <w:color w:val="auto"/>
              </w:rPr>
            </w:pPr>
          </w:p>
        </w:tc>
        <w:tc>
          <w:tcPr>
            <w:tcW w:w="740" w:type="dxa"/>
            <w:vAlign w:val="bottom"/>
            <w:tcBorders>
              <w:bottom w:val="single" w:sz="8" w:color="8797B7"/>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8797B7"/>
            </w:tcBorders>
          </w:tcPr>
          <w:p>
            <w:pPr>
              <w:spacing w:after="0"/>
              <w:rPr>
                <w:sz w:val="15"/>
                <w:szCs w:val="15"/>
                <w:color w:val="auto"/>
              </w:rPr>
            </w:pPr>
          </w:p>
        </w:tc>
        <w:tc>
          <w:tcPr>
            <w:tcW w:w="780" w:type="dxa"/>
            <w:vAlign w:val="bottom"/>
            <w:tcBorders>
              <w:bottom w:val="single" w:sz="8" w:color="8797B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980" w:type="dxa"/>
            <w:vAlign w:val="bottom"/>
            <w:gridSpan w:val="4"/>
          </w:tcPr>
          <w:p>
            <w:pPr>
              <w:spacing w:after="0" w:line="199" w:lineRule="exact"/>
              <w:rPr>
                <w:sz w:val="20"/>
                <w:szCs w:val="20"/>
                <w:color w:val="auto"/>
              </w:rPr>
            </w:pPr>
            <w:r>
              <w:rPr>
                <w:rFonts w:ascii="Arial" w:cs="Arial" w:eastAsia="Arial" w:hAnsi="Arial"/>
                <w:sz w:val="18"/>
                <w:szCs w:val="18"/>
                <w:color w:val="auto"/>
              </w:rPr>
              <w:t>Equity in net gain on sale of interest in unconsolidated joint venture/real</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760" w:type="dxa"/>
            <w:vAlign w:val="bottom"/>
            <w:tcBorders>
              <w:bottom w:val="single" w:sz="8" w:color="8797B7"/>
            </w:tcBorders>
            <w:gridSpan w:val="3"/>
          </w:tcPr>
          <w:p>
            <w:pPr>
              <w:spacing w:after="0" w:line="200" w:lineRule="exact"/>
              <w:rPr>
                <w:sz w:val="20"/>
                <w:szCs w:val="20"/>
                <w:color w:val="auto"/>
              </w:rPr>
            </w:pPr>
            <w:r>
              <w:rPr>
                <w:rFonts w:ascii="Arial" w:cs="Arial" w:eastAsia="Arial" w:hAnsi="Arial"/>
                <w:sz w:val="18"/>
                <w:szCs w:val="18"/>
                <w:color w:val="auto"/>
              </w:rPr>
              <w:t>estate</w:t>
            </w:r>
          </w:p>
        </w:tc>
        <w:tc>
          <w:tcPr>
            <w:tcW w:w="220" w:type="dxa"/>
            <w:vAlign w:val="bottom"/>
          </w:tcPr>
          <w:p>
            <w:pPr>
              <w:spacing w:after="0"/>
              <w:rPr>
                <w:sz w:val="17"/>
                <w:szCs w:val="17"/>
                <w:color w:val="auto"/>
              </w:rPr>
            </w:pPr>
          </w:p>
        </w:tc>
        <w:tc>
          <w:tcPr>
            <w:tcW w:w="100" w:type="dxa"/>
            <w:vAlign w:val="bottom"/>
            <w:tcBorders>
              <w:bottom w:val="single" w:sz="8" w:color="8797B7"/>
            </w:tcBorders>
          </w:tcPr>
          <w:p>
            <w:pPr>
              <w:spacing w:after="0"/>
              <w:rPr>
                <w:sz w:val="17"/>
                <w:szCs w:val="17"/>
                <w:color w:val="auto"/>
              </w:rPr>
            </w:pPr>
          </w:p>
        </w:tc>
        <w:tc>
          <w:tcPr>
            <w:tcW w:w="740" w:type="dxa"/>
            <w:vAlign w:val="bottom"/>
            <w:tcBorders>
              <w:bottom w:val="single" w:sz="8" w:color="8797B7"/>
            </w:tcBorders>
          </w:tcPr>
          <w:p>
            <w:pPr>
              <w:jc w:val="right"/>
              <w:spacing w:after="0" w:line="200" w:lineRule="exact"/>
              <w:rPr>
                <w:sz w:val="20"/>
                <w:szCs w:val="20"/>
                <w:color w:val="auto"/>
              </w:rPr>
            </w:pPr>
            <w:r>
              <w:rPr>
                <w:rFonts w:ascii="Arial" w:cs="Arial" w:eastAsia="Arial" w:hAnsi="Arial"/>
                <w:sz w:val="18"/>
                <w:szCs w:val="18"/>
                <w:color w:val="auto"/>
              </w:rPr>
              <w:t>76,181</w:t>
            </w: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spacing w:after="0" w:line="200" w:lineRule="exact"/>
              <w:rPr>
                <w:sz w:val="20"/>
                <w:szCs w:val="20"/>
                <w:color w:val="auto"/>
              </w:rPr>
            </w:pPr>
            <w:r>
              <w:rPr>
                <w:rFonts w:ascii="Arial" w:cs="Arial" w:eastAsia="Arial" w:hAnsi="Arial"/>
                <w:sz w:val="18"/>
                <w:szCs w:val="18"/>
                <w:color w:val="auto"/>
              </w:rPr>
              <w:t>303,967</w:t>
            </w: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spacing w:after="0" w:line="200" w:lineRule="exact"/>
              <w:rPr>
                <w:sz w:val="20"/>
                <w:szCs w:val="20"/>
                <w:color w:val="auto"/>
              </w:rPr>
            </w:pPr>
            <w:r>
              <w:rPr>
                <w:rFonts w:ascii="Arial" w:cs="Arial" w:eastAsia="Arial" w:hAnsi="Arial"/>
                <w:sz w:val="18"/>
                <w:szCs w:val="18"/>
                <w:color w:val="auto"/>
              </w:rPr>
              <w:t>16,166</w:t>
            </w: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40" w:type="dxa"/>
            <w:vAlign w:val="bottom"/>
            <w:tcBorders>
              <w:bottom w:val="single" w:sz="8" w:color="8797B7"/>
            </w:tcBorders>
          </w:tcPr>
          <w:p>
            <w:pPr>
              <w:jc w:val="right"/>
              <w:ind w:right="14"/>
              <w:spacing w:after="0" w:line="200" w:lineRule="exact"/>
              <w:rPr>
                <w:sz w:val="20"/>
                <w:szCs w:val="20"/>
                <w:color w:val="auto"/>
              </w:rPr>
            </w:pPr>
            <w:r>
              <w:rPr>
                <w:rFonts w:ascii="Arial" w:cs="Arial" w:eastAsia="Arial" w:hAnsi="Arial"/>
                <w:sz w:val="18"/>
                <w:szCs w:val="18"/>
                <w:color w:val="auto"/>
              </w:rPr>
              <w:t>44,009</w:t>
            </w:r>
          </w:p>
        </w:tc>
        <w:tc>
          <w:tcPr>
            <w:tcW w:w="20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ind w:right="54"/>
              <w:spacing w:after="0" w:line="200" w:lineRule="exact"/>
              <w:rPr>
                <w:sz w:val="20"/>
                <w:szCs w:val="20"/>
                <w:color w:val="auto"/>
              </w:rPr>
            </w:pPr>
            <w:r>
              <w:rPr>
                <w:rFonts w:ascii="Arial" w:cs="Arial" w:eastAsia="Arial" w:hAnsi="Arial"/>
                <w:sz w:val="18"/>
                <w:szCs w:val="18"/>
                <w:color w:val="auto"/>
              </w:rPr>
              <w:t>15,844</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8797B7"/>
            </w:tcBorders>
            <w:gridSpan w:val="3"/>
          </w:tcPr>
          <w:p>
            <w:pPr>
              <w:spacing w:after="0" w:line="196" w:lineRule="exact"/>
              <w:rPr>
                <w:sz w:val="20"/>
                <w:szCs w:val="20"/>
                <w:color w:val="auto"/>
              </w:rPr>
            </w:pPr>
            <w:r>
              <w:rPr>
                <w:rFonts w:ascii="Arial" w:cs="Arial" w:eastAsia="Arial" w:hAnsi="Arial"/>
                <w:sz w:val="18"/>
                <w:szCs w:val="18"/>
                <w:color w:val="auto"/>
              </w:rPr>
              <w:t>Purchase price and other fair value adjustments</w:t>
            </w:r>
          </w:p>
        </w:tc>
        <w:tc>
          <w:tcPr>
            <w:tcW w:w="220" w:type="dxa"/>
            <w:vAlign w:val="bottom"/>
          </w:tcPr>
          <w:p>
            <w:pPr>
              <w:spacing w:after="0"/>
              <w:rPr>
                <w:sz w:val="17"/>
                <w:szCs w:val="17"/>
                <w:color w:val="auto"/>
              </w:rPr>
            </w:pPr>
          </w:p>
        </w:tc>
        <w:tc>
          <w:tcPr>
            <w:tcW w:w="100" w:type="dxa"/>
            <w:vAlign w:val="bottom"/>
            <w:tcBorders>
              <w:bottom w:val="single" w:sz="8" w:color="8797B7"/>
            </w:tcBorders>
          </w:tcPr>
          <w:p>
            <w:pPr>
              <w:spacing w:after="0"/>
              <w:rPr>
                <w:sz w:val="17"/>
                <w:szCs w:val="17"/>
                <w:color w:val="auto"/>
              </w:rPr>
            </w:pPr>
          </w:p>
        </w:tc>
        <w:tc>
          <w:tcPr>
            <w:tcW w:w="74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69,389</w:t>
            </w: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57,385</w:t>
            </w: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40" w:type="dxa"/>
            <w:vAlign w:val="bottom"/>
            <w:tcBorders>
              <w:bottom w:val="single" w:sz="8" w:color="8797B7"/>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ind w:right="54"/>
              <w:spacing w:after="0" w:line="196" w:lineRule="exact"/>
              <w:rPr>
                <w:sz w:val="20"/>
                <w:szCs w:val="20"/>
                <w:color w:val="auto"/>
              </w:rPr>
            </w:pPr>
            <w:r>
              <w:rPr>
                <w:rFonts w:ascii="Arial" w:cs="Arial" w:eastAsia="Arial" w:hAnsi="Arial"/>
                <w:sz w:val="18"/>
                <w:szCs w:val="18"/>
                <w:color w:val="auto"/>
              </w:rPr>
              <w:t>40,078</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8797B7"/>
            </w:tcBorders>
            <w:gridSpan w:val="3"/>
          </w:tcPr>
          <w:p>
            <w:pPr>
              <w:spacing w:after="0" w:line="196" w:lineRule="exact"/>
              <w:rPr>
                <w:sz w:val="20"/>
                <w:szCs w:val="20"/>
                <w:color w:val="auto"/>
              </w:rPr>
            </w:pPr>
            <w:r>
              <w:rPr>
                <w:rFonts w:ascii="Arial" w:cs="Arial" w:eastAsia="Arial" w:hAnsi="Arial"/>
                <w:sz w:val="18"/>
                <w:szCs w:val="18"/>
                <w:color w:val="auto"/>
              </w:rPr>
              <w:t>Depreciable real estate reserves and impairment</w:t>
            </w:r>
          </w:p>
        </w:tc>
        <w:tc>
          <w:tcPr>
            <w:tcW w:w="220" w:type="dxa"/>
            <w:vAlign w:val="bottom"/>
          </w:tcPr>
          <w:p>
            <w:pPr>
              <w:spacing w:after="0"/>
              <w:rPr>
                <w:sz w:val="17"/>
                <w:szCs w:val="17"/>
                <w:color w:val="auto"/>
              </w:rPr>
            </w:pPr>
          </w:p>
        </w:tc>
        <w:tc>
          <w:tcPr>
            <w:tcW w:w="100" w:type="dxa"/>
            <w:vAlign w:val="bottom"/>
            <w:tcBorders>
              <w:bottom w:val="single" w:sz="8" w:color="8797B7"/>
            </w:tcBorders>
          </w:tcPr>
          <w:p>
            <w:pPr>
              <w:spacing w:after="0"/>
              <w:rPr>
                <w:sz w:val="17"/>
                <w:szCs w:val="17"/>
                <w:color w:val="auto"/>
              </w:rPr>
            </w:pPr>
          </w:p>
        </w:tc>
        <w:tc>
          <w:tcPr>
            <w:tcW w:w="74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(7,047)</w:t>
            </w: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w w:val="95"/>
              </w:rPr>
              <w:t>(227,543)</w:t>
            </w: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w w:val="95"/>
              </w:rPr>
              <w:t>(178,520)</w:t>
            </w: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4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(10,387)</w:t>
            </w:r>
          </w:p>
        </w:tc>
        <w:tc>
          <w:tcPr>
            <w:tcW w:w="20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(19,226)</w:t>
            </w:r>
          </w:p>
        </w:tc>
        <w:tc>
          <w:tcPr>
            <w:tcW w:w="0" w:type="dxa"/>
            <w:vAlign w:val="bottom"/>
          </w:tcPr>
          <w:p>
            <w:pPr>
              <w:spacing w:after="0"/>
              <w:rPr>
                <w:sz w:val="1"/>
                <w:szCs w:val="1"/>
                <w:color w:val="auto"/>
              </w:rPr>
            </w:pPr>
          </w:p>
        </w:tc>
      </w:tr>
      <w:tr>
        <w:trPr>
          <w:trHeight w:val="196"/>
        </w:trPr>
        <w:tc>
          <w:tcPr>
            <w:tcW w:w="5980" w:type="dxa"/>
            <w:vAlign w:val="bottom"/>
            <w:gridSpan w:val="4"/>
          </w:tcPr>
          <w:p>
            <w:pPr>
              <w:spacing w:after="0" w:line="196" w:lineRule="exact"/>
              <w:rPr>
                <w:sz w:val="20"/>
                <w:szCs w:val="20"/>
                <w:color w:val="auto"/>
              </w:rPr>
            </w:pPr>
            <w:r>
              <w:rPr>
                <w:rFonts w:ascii="Arial" w:cs="Arial" w:eastAsia="Arial" w:hAnsi="Arial"/>
                <w:sz w:val="18"/>
                <w:szCs w:val="18"/>
                <w:color w:val="auto"/>
              </w:rPr>
              <w:t>Depreciation on non-rental real estate assets</w:t>
            </w:r>
          </w:p>
        </w:tc>
        <w:tc>
          <w:tcPr>
            <w:tcW w:w="1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2,935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2,404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2,191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4"/>
              <w:spacing w:after="0" w:line="196" w:lineRule="exact"/>
              <w:rPr>
                <w:sz w:val="20"/>
                <w:szCs w:val="20"/>
                <w:color w:val="auto"/>
              </w:rPr>
            </w:pPr>
            <w:r>
              <w:rPr>
                <w:rFonts w:ascii="Arial" w:cs="Arial" w:eastAsia="Arial" w:hAnsi="Arial"/>
                <w:sz w:val="18"/>
                <w:szCs w:val="18"/>
                <w:color w:val="auto"/>
              </w:rPr>
              <w:t>2,027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54"/>
              <w:spacing w:after="0" w:line="196" w:lineRule="exact"/>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177"/>
        </w:trPr>
        <w:tc>
          <w:tcPr>
            <w:tcW w:w="5760" w:type="dxa"/>
            <w:vAlign w:val="bottom"/>
            <w:tcBorders>
              <w:top w:val="single" w:sz="8" w:color="8797B7"/>
            </w:tcBorders>
            <w:gridSpan w:val="3"/>
          </w:tcPr>
          <w:p>
            <w:pPr>
              <w:spacing w:after="0" w:line="177" w:lineRule="exact"/>
              <w:rPr>
                <w:sz w:val="20"/>
                <w:szCs w:val="20"/>
                <w:color w:val="auto"/>
              </w:rPr>
            </w:pPr>
            <w:r>
              <w:rPr>
                <w:rFonts w:ascii="Arial" w:cs="Arial" w:eastAsia="Arial" w:hAnsi="Arial"/>
                <w:sz w:val="18"/>
                <w:szCs w:val="18"/>
                <w:b w:val="1"/>
                <w:bCs w:val="1"/>
                <w:color w:val="auto"/>
              </w:rPr>
              <w:t>Funds From Operations attributable to SL Green common</w:t>
            </w:r>
          </w:p>
        </w:tc>
        <w:tc>
          <w:tcPr>
            <w:tcW w:w="220" w:type="dxa"/>
            <w:vAlign w:val="bottom"/>
          </w:tcPr>
          <w:p>
            <w:pPr>
              <w:spacing w:after="0"/>
              <w:rPr>
                <w:sz w:val="15"/>
                <w:szCs w:val="15"/>
                <w:color w:val="auto"/>
              </w:rPr>
            </w:pPr>
          </w:p>
        </w:tc>
        <w:tc>
          <w:tcPr>
            <w:tcW w:w="100" w:type="dxa"/>
            <w:vAlign w:val="bottom"/>
            <w:tcBorders>
              <w:top w:val="single" w:sz="8" w:color="8797B7"/>
            </w:tcBorders>
          </w:tcPr>
          <w:p>
            <w:pPr>
              <w:spacing w:after="0"/>
              <w:rPr>
                <w:sz w:val="15"/>
                <w:szCs w:val="15"/>
                <w:color w:val="auto"/>
              </w:rPr>
            </w:pPr>
          </w:p>
        </w:tc>
        <w:tc>
          <w:tcPr>
            <w:tcW w:w="740" w:type="dxa"/>
            <w:vAlign w:val="bottom"/>
            <w:tcBorders>
              <w:top w:val="single" w:sz="8" w:color="8797B7"/>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8797B7"/>
            </w:tcBorders>
          </w:tcPr>
          <w:p>
            <w:pPr>
              <w:spacing w:after="0"/>
              <w:rPr>
                <w:sz w:val="15"/>
                <w:szCs w:val="15"/>
                <w:color w:val="auto"/>
              </w:rPr>
            </w:pPr>
          </w:p>
        </w:tc>
        <w:tc>
          <w:tcPr>
            <w:tcW w:w="780" w:type="dxa"/>
            <w:vAlign w:val="bottom"/>
            <w:tcBorders>
              <w:top w:val="single" w:sz="8" w:color="8797B7"/>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8797B7"/>
            </w:tcBorders>
          </w:tcPr>
          <w:p>
            <w:pPr>
              <w:spacing w:after="0"/>
              <w:rPr>
                <w:sz w:val="15"/>
                <w:szCs w:val="15"/>
                <w:color w:val="auto"/>
              </w:rPr>
            </w:pPr>
          </w:p>
        </w:tc>
        <w:tc>
          <w:tcPr>
            <w:tcW w:w="780" w:type="dxa"/>
            <w:vAlign w:val="bottom"/>
            <w:tcBorders>
              <w:top w:val="single" w:sz="8" w:color="8797B7"/>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8797B7"/>
            </w:tcBorders>
          </w:tcPr>
          <w:p>
            <w:pPr>
              <w:spacing w:after="0"/>
              <w:rPr>
                <w:sz w:val="15"/>
                <w:szCs w:val="15"/>
                <w:color w:val="auto"/>
              </w:rPr>
            </w:pPr>
          </w:p>
        </w:tc>
        <w:tc>
          <w:tcPr>
            <w:tcW w:w="740" w:type="dxa"/>
            <w:vAlign w:val="bottom"/>
            <w:tcBorders>
              <w:top w:val="single" w:sz="8" w:color="8797B7"/>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8797B7"/>
            </w:tcBorders>
          </w:tcPr>
          <w:p>
            <w:pPr>
              <w:spacing w:after="0"/>
              <w:rPr>
                <w:sz w:val="15"/>
                <w:szCs w:val="15"/>
                <w:color w:val="auto"/>
              </w:rPr>
            </w:pPr>
          </w:p>
        </w:tc>
        <w:tc>
          <w:tcPr>
            <w:tcW w:w="780" w:type="dxa"/>
            <w:vAlign w:val="bottom"/>
            <w:tcBorders>
              <w:top w:val="single" w:sz="8" w:color="8797B7"/>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760" w:type="dxa"/>
            <w:vAlign w:val="bottom"/>
            <w:tcBorders>
              <w:bottom w:val="single" w:sz="8" w:color="8797B7"/>
            </w:tcBorders>
            <w:gridSpan w:val="3"/>
          </w:tcPr>
          <w:p>
            <w:pPr>
              <w:spacing w:after="0"/>
              <w:rPr>
                <w:sz w:val="20"/>
                <w:szCs w:val="20"/>
                <w:color w:val="auto"/>
              </w:rPr>
            </w:pPr>
            <w:r>
              <w:rPr>
                <w:rFonts w:ascii="Arial" w:cs="Arial" w:eastAsia="Arial" w:hAnsi="Arial"/>
                <w:sz w:val="18"/>
                <w:szCs w:val="18"/>
                <w:b w:val="1"/>
                <w:bCs w:val="1"/>
                <w:color w:val="auto"/>
              </w:rPr>
              <w:t>stockholders and noncontrolling interests</w:t>
            </w:r>
          </w:p>
        </w:tc>
        <w:tc>
          <w:tcPr>
            <w:tcW w:w="220" w:type="dxa"/>
            <w:vAlign w:val="bottom"/>
          </w:tcPr>
          <w:p>
            <w:pPr>
              <w:spacing w:after="0"/>
              <w:rPr>
                <w:sz w:val="19"/>
                <w:szCs w:val="19"/>
                <w:color w:val="auto"/>
              </w:rPr>
            </w:pPr>
          </w:p>
        </w:tc>
        <w:tc>
          <w:tcPr>
            <w:tcW w:w="10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w w:val="98"/>
              </w:rPr>
              <w:t>605,701</w:t>
            </w:r>
          </w:p>
        </w:tc>
        <w:tc>
          <w:tcPr>
            <w:tcW w:w="220" w:type="dxa"/>
            <w:vAlign w:val="bottom"/>
          </w:tcPr>
          <w:p>
            <w:pPr>
              <w:spacing w:after="0"/>
              <w:rPr>
                <w:sz w:val="19"/>
                <w:szCs w:val="19"/>
                <w:color w:val="auto"/>
              </w:rPr>
            </w:pPr>
          </w:p>
        </w:tc>
        <w:tc>
          <w:tcPr>
            <w:tcW w:w="12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605,720</w:t>
            </w:r>
          </w:p>
        </w:tc>
        <w:tc>
          <w:tcPr>
            <w:tcW w:w="220" w:type="dxa"/>
            <w:vAlign w:val="bottom"/>
          </w:tcPr>
          <w:p>
            <w:pPr>
              <w:spacing w:after="0"/>
              <w:rPr>
                <w:sz w:val="19"/>
                <w:szCs w:val="19"/>
                <w:color w:val="auto"/>
              </w:rPr>
            </w:pPr>
          </w:p>
        </w:tc>
        <w:tc>
          <w:tcPr>
            <w:tcW w:w="12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667,294</w:t>
            </w:r>
          </w:p>
        </w:tc>
        <w:tc>
          <w:tcPr>
            <w:tcW w:w="220" w:type="dxa"/>
            <w:vAlign w:val="bottom"/>
          </w:tcPr>
          <w:p>
            <w:pPr>
              <w:spacing w:after="0"/>
              <w:rPr>
                <w:sz w:val="19"/>
                <w:szCs w:val="19"/>
                <w:color w:val="auto"/>
              </w:rPr>
            </w:pPr>
          </w:p>
        </w:tc>
        <w:tc>
          <w:tcPr>
            <w:tcW w:w="12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8797B7"/>
            </w:tcBorders>
          </w:tcPr>
          <w:p>
            <w:pPr>
              <w:jc w:val="right"/>
              <w:ind w:right="14"/>
              <w:spacing w:after="0"/>
              <w:rPr>
                <w:sz w:val="20"/>
                <w:szCs w:val="20"/>
                <w:color w:val="auto"/>
              </w:rPr>
            </w:pPr>
            <w:r>
              <w:rPr>
                <w:rFonts w:ascii="Arial" w:cs="Arial" w:eastAsia="Arial" w:hAnsi="Arial"/>
                <w:sz w:val="18"/>
                <w:szCs w:val="18"/>
                <w:color w:val="auto"/>
                <w:w w:val="95"/>
              </w:rPr>
              <w:t>869,855</w:t>
            </w:r>
          </w:p>
        </w:tc>
        <w:tc>
          <w:tcPr>
            <w:tcW w:w="200" w:type="dxa"/>
            <w:vAlign w:val="bottom"/>
          </w:tcPr>
          <w:p>
            <w:pPr>
              <w:spacing w:after="0"/>
              <w:rPr>
                <w:sz w:val="19"/>
                <w:szCs w:val="19"/>
                <w:color w:val="auto"/>
              </w:rPr>
            </w:pPr>
          </w:p>
        </w:tc>
        <w:tc>
          <w:tcPr>
            <w:tcW w:w="12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8797B7"/>
            </w:tcBorders>
          </w:tcPr>
          <w:p>
            <w:pPr>
              <w:jc w:val="right"/>
              <w:ind w:right="54"/>
              <w:spacing w:after="0"/>
              <w:rPr>
                <w:sz w:val="20"/>
                <w:szCs w:val="20"/>
                <w:color w:val="auto"/>
              </w:rPr>
            </w:pPr>
            <w:r>
              <w:rPr>
                <w:rFonts w:ascii="Arial" w:cs="Arial" w:eastAsia="Arial" w:hAnsi="Arial"/>
                <w:sz w:val="18"/>
                <w:szCs w:val="18"/>
                <w:color w:val="auto"/>
                <w:w w:val="95"/>
              </w:rPr>
              <w:t>661,825</w:t>
            </w:r>
          </w:p>
        </w:tc>
        <w:tc>
          <w:tcPr>
            <w:tcW w:w="0" w:type="dxa"/>
            <w:vAlign w:val="bottom"/>
          </w:tcPr>
          <w:p>
            <w:pPr>
              <w:spacing w:after="0"/>
              <w:rPr>
                <w:sz w:val="1"/>
                <w:szCs w:val="1"/>
                <w:color w:val="auto"/>
              </w:rPr>
            </w:pPr>
          </w:p>
        </w:tc>
      </w:tr>
      <w:tr>
        <w:trPr>
          <w:trHeight w:val="199"/>
        </w:trPr>
        <w:tc>
          <w:tcPr>
            <w:tcW w:w="5980" w:type="dxa"/>
            <w:vAlign w:val="bottom"/>
            <w:gridSpan w:val="4"/>
          </w:tcPr>
          <w:p>
            <w:pPr>
              <w:spacing w:after="0" w:line="199" w:lineRule="exact"/>
              <w:rPr>
                <w:sz w:val="20"/>
                <w:szCs w:val="20"/>
                <w:color w:val="auto"/>
              </w:rPr>
            </w:pPr>
            <w:r>
              <w:rPr>
                <w:rFonts w:ascii="Arial" w:cs="Arial" w:eastAsia="Arial" w:hAnsi="Arial"/>
                <w:sz w:val="18"/>
                <w:szCs w:val="18"/>
                <w:color w:val="auto"/>
              </w:rPr>
              <w:t>FFO attributable to the early repayment of the debt at One Madison</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760" w:type="dxa"/>
            <w:vAlign w:val="bottom"/>
            <w:tcBorders>
              <w:bottom w:val="single" w:sz="8" w:color="8797B7"/>
            </w:tcBorders>
            <w:gridSpan w:val="3"/>
          </w:tcPr>
          <w:p>
            <w:pPr>
              <w:spacing w:after="0" w:line="200" w:lineRule="exact"/>
              <w:rPr>
                <w:sz w:val="20"/>
                <w:szCs w:val="20"/>
                <w:color w:val="auto"/>
              </w:rPr>
            </w:pPr>
            <w:r>
              <w:rPr>
                <w:rFonts w:ascii="Arial" w:cs="Arial" w:eastAsia="Arial" w:hAnsi="Arial"/>
                <w:sz w:val="18"/>
                <w:szCs w:val="18"/>
                <w:color w:val="auto"/>
              </w:rPr>
              <w:t>Avenue in 2018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spacing w:after="0" w:line="200" w:lineRule="exact"/>
              <w:rPr>
                <w:sz w:val="20"/>
                <w:szCs w:val="20"/>
                <w:color w:val="auto"/>
              </w:rPr>
            </w:pPr>
            <w:r>
              <w:rPr>
                <w:rFonts w:ascii="Arial" w:cs="Arial" w:eastAsia="Arial" w:hAnsi="Arial"/>
                <w:sz w:val="18"/>
                <w:szCs w:val="18"/>
                <w:color w:val="auto"/>
              </w:rPr>
              <w:t>(14,889)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80" w:type="dxa"/>
            <w:vAlign w:val="bottom"/>
            <w:gridSpan w:val="4"/>
          </w:tcPr>
          <w:p>
            <w:pPr>
              <w:spacing w:after="0" w:line="199" w:lineRule="exact"/>
              <w:rPr>
                <w:sz w:val="20"/>
                <w:szCs w:val="20"/>
                <w:color w:val="auto"/>
              </w:rPr>
            </w:pPr>
            <w:r>
              <w:rPr>
                <w:rFonts w:ascii="Arial" w:cs="Arial" w:eastAsia="Arial" w:hAnsi="Arial"/>
                <w:sz w:val="18"/>
                <w:szCs w:val="18"/>
                <w:color w:val="auto"/>
              </w:rPr>
              <w:t>FFO attributable to the write-off of accounting related balances and the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4"/>
          </w:tcPr>
          <w:p>
            <w:pPr>
              <w:spacing w:after="0" w:line="202" w:lineRule="exact"/>
              <w:rPr>
                <w:sz w:val="20"/>
                <w:szCs w:val="20"/>
                <w:color w:val="auto"/>
              </w:rPr>
            </w:pPr>
            <w:r>
              <w:rPr>
                <w:rFonts w:ascii="Arial" w:cs="Arial" w:eastAsia="Arial" w:hAnsi="Arial"/>
                <w:sz w:val="18"/>
                <w:szCs w:val="18"/>
                <w:color w:val="auto"/>
              </w:rPr>
              <w:t>2017 portion of the lease termination fee related to the sale of 388-390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80" w:type="dxa"/>
            <w:vAlign w:val="bottom"/>
            <w:gridSpan w:val="4"/>
          </w:tcPr>
          <w:p>
            <w:pPr>
              <w:spacing w:after="0" w:line="200" w:lineRule="exact"/>
              <w:rPr>
                <w:sz w:val="20"/>
                <w:szCs w:val="20"/>
                <w:color w:val="auto"/>
              </w:rPr>
            </w:pPr>
            <w:r>
              <w:rPr>
                <w:rFonts w:ascii="Arial" w:cs="Arial" w:eastAsia="Arial" w:hAnsi="Arial"/>
                <w:sz w:val="18"/>
                <w:szCs w:val="18"/>
                <w:color w:val="auto"/>
              </w:rPr>
              <w:t>Greenwich Street to Citigroup, Inc. in 2016</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4"/>
              <w:spacing w:after="0" w:line="200" w:lineRule="exact"/>
              <w:rPr>
                <w:sz w:val="20"/>
                <w:szCs w:val="20"/>
                <w:color w:val="auto"/>
              </w:rPr>
            </w:pPr>
            <w:r>
              <w:rPr>
                <w:rFonts w:ascii="Arial" w:cs="Arial" w:eastAsia="Arial" w:hAnsi="Arial"/>
                <w:sz w:val="18"/>
                <w:szCs w:val="18"/>
                <w:color w:val="auto"/>
                <w:w w:val="95"/>
              </w:rPr>
              <w:t>126,905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760" w:type="dxa"/>
            <w:vAlign w:val="bottom"/>
            <w:tcBorders>
              <w:top w:val="single" w:sz="8" w:color="8797B7"/>
            </w:tcBorders>
            <w:gridSpan w:val="3"/>
          </w:tcPr>
          <w:p>
            <w:pPr>
              <w:spacing w:after="0" w:line="177" w:lineRule="exact"/>
              <w:rPr>
                <w:sz w:val="20"/>
                <w:szCs w:val="20"/>
                <w:color w:val="auto"/>
              </w:rPr>
            </w:pPr>
            <w:r>
              <w:rPr>
                <w:rFonts w:ascii="Arial" w:cs="Arial" w:eastAsia="Arial" w:hAnsi="Arial"/>
                <w:sz w:val="18"/>
                <w:szCs w:val="18"/>
                <w:b w:val="1"/>
                <w:bCs w:val="1"/>
                <w:color w:val="auto"/>
              </w:rPr>
              <w:t>Normalized Funds From Operations attributable to SL Green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8797B7"/>
            </w:tcBorders>
          </w:tcPr>
          <w:p>
            <w:pPr>
              <w:spacing w:after="0"/>
              <w:rPr>
                <w:sz w:val="15"/>
                <w:szCs w:val="15"/>
                <w:color w:val="auto"/>
              </w:rPr>
            </w:pPr>
          </w:p>
        </w:tc>
        <w:tc>
          <w:tcPr>
            <w:tcW w:w="740" w:type="dxa"/>
            <w:vAlign w:val="bottom"/>
            <w:tcBorders>
              <w:top w:val="single" w:sz="8" w:color="8797B7"/>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760" w:type="dxa"/>
            <w:vAlign w:val="bottom"/>
            <w:tcBorders>
              <w:bottom w:val="single" w:sz="8" w:color="8797B7"/>
            </w:tcBorders>
            <w:gridSpan w:val="3"/>
          </w:tcPr>
          <w:p>
            <w:pPr>
              <w:spacing w:after="0"/>
              <w:rPr>
                <w:sz w:val="20"/>
                <w:szCs w:val="20"/>
                <w:color w:val="auto"/>
              </w:rPr>
            </w:pPr>
            <w:r>
              <w:rPr>
                <w:rFonts w:ascii="Arial" w:cs="Arial" w:eastAsia="Arial" w:hAnsi="Arial"/>
                <w:sz w:val="18"/>
                <w:szCs w:val="18"/>
                <w:b w:val="1"/>
                <w:bCs w:val="1"/>
                <w:color w:val="auto"/>
              </w:rPr>
              <w:t>common stockholders and noncontrolling interests</w:t>
            </w:r>
          </w:p>
        </w:tc>
        <w:tc>
          <w:tcPr>
            <w:tcW w:w="220" w:type="dxa"/>
            <w:vAlign w:val="bottom"/>
          </w:tcPr>
          <w:p>
            <w:pPr>
              <w:spacing w:after="0"/>
              <w:rPr>
                <w:sz w:val="19"/>
                <w:szCs w:val="19"/>
                <w:color w:val="auto"/>
              </w:rPr>
            </w:pPr>
          </w:p>
        </w:tc>
        <w:tc>
          <w:tcPr>
            <w:tcW w:w="10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w w:val="98"/>
              </w:rPr>
              <w:t>605,701</w:t>
            </w:r>
          </w:p>
        </w:tc>
        <w:tc>
          <w:tcPr>
            <w:tcW w:w="220" w:type="dxa"/>
            <w:vAlign w:val="bottom"/>
          </w:tcPr>
          <w:p>
            <w:pPr>
              <w:spacing w:after="0"/>
              <w:rPr>
                <w:sz w:val="19"/>
                <w:szCs w:val="19"/>
                <w:color w:val="auto"/>
              </w:rPr>
            </w:pPr>
          </w:p>
        </w:tc>
        <w:tc>
          <w:tcPr>
            <w:tcW w:w="12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620,609</w:t>
            </w:r>
          </w:p>
        </w:tc>
        <w:tc>
          <w:tcPr>
            <w:tcW w:w="220" w:type="dxa"/>
            <w:vAlign w:val="bottom"/>
          </w:tcPr>
          <w:p>
            <w:pPr>
              <w:spacing w:after="0"/>
              <w:rPr>
                <w:sz w:val="19"/>
                <w:szCs w:val="19"/>
                <w:color w:val="auto"/>
              </w:rPr>
            </w:pPr>
          </w:p>
        </w:tc>
        <w:tc>
          <w:tcPr>
            <w:tcW w:w="120" w:type="dxa"/>
            <w:vAlign w:val="bottom"/>
            <w:tcBorders>
              <w:bottom w:val="single" w:sz="8" w:color="8797B7"/>
            </w:tcBorders>
          </w:tcPr>
          <w:p>
            <w:pPr>
              <w:spacing w:after="0"/>
              <w:rPr>
                <w:sz w:val="19"/>
                <w:szCs w:val="19"/>
                <w:color w:val="auto"/>
              </w:rPr>
            </w:pPr>
          </w:p>
        </w:tc>
        <w:tc>
          <w:tcPr>
            <w:tcW w:w="780" w:type="dxa"/>
            <w:vAlign w:val="bottom"/>
            <w:tcBorders>
              <w:bottom w:val="single" w:sz="8" w:color="8797B7"/>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8797B7"/>
            </w:tcBorders>
          </w:tcPr>
          <w:p>
            <w:pPr>
              <w:jc w:val="right"/>
              <w:ind w:right="14"/>
              <w:spacing w:after="0"/>
              <w:rPr>
                <w:sz w:val="20"/>
                <w:szCs w:val="20"/>
                <w:color w:val="auto"/>
              </w:rPr>
            </w:pPr>
            <w:r>
              <w:rPr>
                <w:rFonts w:ascii="Arial" w:cs="Arial" w:eastAsia="Arial" w:hAnsi="Arial"/>
                <w:sz w:val="18"/>
                <w:szCs w:val="18"/>
                <w:color w:val="auto"/>
                <w:w w:val="95"/>
              </w:rPr>
              <w:t>742,950</w:t>
            </w:r>
          </w:p>
        </w:tc>
        <w:tc>
          <w:tcPr>
            <w:tcW w:w="200" w:type="dxa"/>
            <w:vAlign w:val="bottom"/>
          </w:tcPr>
          <w:p>
            <w:pPr>
              <w:spacing w:after="0"/>
              <w:rPr>
                <w:sz w:val="19"/>
                <w:szCs w:val="19"/>
                <w:color w:val="auto"/>
              </w:rPr>
            </w:pPr>
          </w:p>
        </w:tc>
        <w:tc>
          <w:tcPr>
            <w:tcW w:w="120" w:type="dxa"/>
            <w:vAlign w:val="bottom"/>
            <w:tcBorders>
              <w:bottom w:val="single" w:sz="8" w:color="8797B7"/>
            </w:tcBorders>
          </w:tcPr>
          <w:p>
            <w:pPr>
              <w:spacing w:after="0"/>
              <w:rPr>
                <w:sz w:val="19"/>
                <w:szCs w:val="19"/>
                <w:color w:val="auto"/>
              </w:rPr>
            </w:pPr>
          </w:p>
        </w:tc>
        <w:tc>
          <w:tcPr>
            <w:tcW w:w="780" w:type="dxa"/>
            <w:vAlign w:val="bottom"/>
            <w:tcBorders>
              <w:bottom w:val="single" w:sz="8" w:color="8797B7"/>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760" w:type="dxa"/>
            <w:vAlign w:val="bottom"/>
            <w:tcBorders>
              <w:bottom w:val="single" w:sz="8" w:color="8797B7"/>
            </w:tcBorders>
            <w:gridSpan w:val="3"/>
          </w:tcPr>
          <w:p>
            <w:pPr>
              <w:spacing w:after="0" w:line="196" w:lineRule="exact"/>
              <w:rPr>
                <w:sz w:val="20"/>
                <w:szCs w:val="20"/>
                <w:color w:val="auto"/>
              </w:rPr>
            </w:pPr>
            <w:r>
              <w:rPr>
                <w:rFonts w:ascii="Arial" w:cs="Arial" w:eastAsia="Arial" w:hAnsi="Arial"/>
                <w:sz w:val="18"/>
                <w:szCs w:val="18"/>
                <w:color w:val="auto"/>
              </w:rPr>
              <w:t>Diluted weighted average shares and units outstanding</w:t>
            </w:r>
          </w:p>
        </w:tc>
        <w:tc>
          <w:tcPr>
            <w:tcW w:w="220" w:type="dxa"/>
            <w:vAlign w:val="bottom"/>
          </w:tcPr>
          <w:p>
            <w:pPr>
              <w:spacing w:after="0"/>
              <w:rPr>
                <w:sz w:val="17"/>
                <w:szCs w:val="17"/>
                <w:color w:val="auto"/>
              </w:rPr>
            </w:pPr>
          </w:p>
        </w:tc>
        <w:tc>
          <w:tcPr>
            <w:tcW w:w="100" w:type="dxa"/>
            <w:vAlign w:val="bottom"/>
            <w:tcBorders>
              <w:bottom w:val="single" w:sz="8" w:color="8797B7"/>
            </w:tcBorders>
          </w:tcPr>
          <w:p>
            <w:pPr>
              <w:spacing w:after="0"/>
              <w:rPr>
                <w:sz w:val="17"/>
                <w:szCs w:val="17"/>
                <w:color w:val="auto"/>
              </w:rPr>
            </w:pPr>
          </w:p>
        </w:tc>
        <w:tc>
          <w:tcPr>
            <w:tcW w:w="74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86,562</w:t>
            </w: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91,530</w:t>
            </w: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103,403</w:t>
            </w:r>
          </w:p>
        </w:tc>
        <w:tc>
          <w:tcPr>
            <w:tcW w:w="22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40" w:type="dxa"/>
            <w:vAlign w:val="bottom"/>
            <w:tcBorders>
              <w:bottom w:val="single" w:sz="8" w:color="8797B7"/>
            </w:tcBorders>
          </w:tcPr>
          <w:p>
            <w:pPr>
              <w:jc w:val="right"/>
              <w:ind w:right="14"/>
              <w:spacing w:after="0" w:line="196" w:lineRule="exact"/>
              <w:rPr>
                <w:sz w:val="20"/>
                <w:szCs w:val="20"/>
                <w:color w:val="auto"/>
              </w:rPr>
            </w:pPr>
            <w:r>
              <w:rPr>
                <w:rFonts w:ascii="Arial" w:cs="Arial" w:eastAsia="Arial" w:hAnsi="Arial"/>
                <w:sz w:val="18"/>
                <w:szCs w:val="18"/>
                <w:color w:val="auto"/>
                <w:w w:val="95"/>
              </w:rPr>
              <w:t>104,880</w:t>
            </w:r>
          </w:p>
        </w:tc>
        <w:tc>
          <w:tcPr>
            <w:tcW w:w="200" w:type="dxa"/>
            <w:vAlign w:val="bottom"/>
          </w:tcPr>
          <w:p>
            <w:pPr>
              <w:spacing w:after="0"/>
              <w:rPr>
                <w:sz w:val="17"/>
                <w:szCs w:val="17"/>
                <w:color w:val="auto"/>
              </w:rPr>
            </w:pPr>
          </w:p>
        </w:tc>
        <w:tc>
          <w:tcPr>
            <w:tcW w:w="120" w:type="dxa"/>
            <w:vAlign w:val="bottom"/>
            <w:tcBorders>
              <w:bottom w:val="single" w:sz="8" w:color="8797B7"/>
            </w:tcBorders>
          </w:tcPr>
          <w:p>
            <w:pPr>
              <w:spacing w:after="0"/>
              <w:rPr>
                <w:sz w:val="17"/>
                <w:szCs w:val="17"/>
                <w:color w:val="auto"/>
              </w:rPr>
            </w:pPr>
          </w:p>
        </w:tc>
        <w:tc>
          <w:tcPr>
            <w:tcW w:w="780" w:type="dxa"/>
            <w:vAlign w:val="bottom"/>
            <w:tcBorders>
              <w:bottom w:val="single" w:sz="8" w:color="8797B7"/>
            </w:tcBorders>
          </w:tcPr>
          <w:p>
            <w:pPr>
              <w:jc w:val="right"/>
              <w:ind w:right="54"/>
              <w:spacing w:after="0" w:line="196" w:lineRule="exact"/>
              <w:rPr>
                <w:sz w:val="20"/>
                <w:szCs w:val="20"/>
                <w:color w:val="auto"/>
              </w:rPr>
            </w:pPr>
            <w:r>
              <w:rPr>
                <w:rFonts w:ascii="Arial" w:cs="Arial" w:eastAsia="Arial" w:hAnsi="Arial"/>
                <w:sz w:val="18"/>
                <w:szCs w:val="18"/>
                <w:color w:val="auto"/>
                <w:w w:val="95"/>
              </w:rPr>
              <w:t>103,735</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355889"/>
            </w:tcBorders>
            <w:gridSpan w:val="3"/>
          </w:tcPr>
          <w:p>
            <w:pPr>
              <w:spacing w:after="0" w:line="196" w:lineRule="exact"/>
              <w:rPr>
                <w:sz w:val="20"/>
                <w:szCs w:val="20"/>
                <w:color w:val="auto"/>
              </w:rPr>
            </w:pPr>
            <w:r>
              <w:rPr>
                <w:rFonts w:ascii="Arial" w:cs="Arial" w:eastAsia="Arial" w:hAnsi="Arial"/>
                <w:sz w:val="18"/>
                <w:szCs w:val="18"/>
                <w:b w:val="1"/>
                <w:bCs w:val="1"/>
                <w:color w:val="auto"/>
              </w:rPr>
              <w:t>Normalized FFO / FFO per share</w:t>
            </w:r>
          </w:p>
        </w:tc>
        <w:tc>
          <w:tcPr>
            <w:tcW w:w="220" w:type="dxa"/>
            <w:vAlign w:val="bottom"/>
          </w:tcPr>
          <w:p>
            <w:pPr>
              <w:spacing w:after="0"/>
              <w:rPr>
                <w:sz w:val="17"/>
                <w:szCs w:val="17"/>
                <w:color w:val="auto"/>
              </w:rPr>
            </w:pPr>
          </w:p>
        </w:tc>
        <w:tc>
          <w:tcPr>
            <w:tcW w:w="100" w:type="dxa"/>
            <w:vAlign w:val="bottom"/>
            <w:tcBorders>
              <w:bottom w:val="single" w:sz="8" w:color="355889"/>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355889"/>
            </w:tcBorders>
          </w:tcPr>
          <w:p>
            <w:pPr>
              <w:jc w:val="right"/>
              <w:spacing w:after="0" w:line="196" w:lineRule="exact"/>
              <w:rPr>
                <w:sz w:val="20"/>
                <w:szCs w:val="20"/>
                <w:color w:val="auto"/>
              </w:rPr>
            </w:pPr>
            <w:r>
              <w:rPr>
                <w:rFonts w:ascii="Arial" w:cs="Arial" w:eastAsia="Arial" w:hAnsi="Arial"/>
                <w:sz w:val="18"/>
                <w:szCs w:val="18"/>
                <w:color w:val="auto"/>
              </w:rPr>
              <w:t>7.00</w:t>
            </w:r>
          </w:p>
        </w:tc>
        <w:tc>
          <w:tcPr>
            <w:tcW w:w="220" w:type="dxa"/>
            <w:vAlign w:val="bottom"/>
          </w:tcPr>
          <w:p>
            <w:pPr>
              <w:spacing w:after="0"/>
              <w:rPr>
                <w:sz w:val="17"/>
                <w:szCs w:val="17"/>
                <w:color w:val="auto"/>
              </w:rPr>
            </w:pPr>
          </w:p>
        </w:tc>
        <w:tc>
          <w:tcPr>
            <w:tcW w:w="120" w:type="dxa"/>
            <w:vAlign w:val="bottom"/>
            <w:tcBorders>
              <w:bottom w:val="single" w:sz="8" w:color="355889"/>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355889"/>
            </w:tcBorders>
          </w:tcPr>
          <w:p>
            <w:pPr>
              <w:jc w:val="right"/>
              <w:spacing w:after="0" w:line="196" w:lineRule="exact"/>
              <w:rPr>
                <w:sz w:val="20"/>
                <w:szCs w:val="20"/>
                <w:color w:val="auto"/>
              </w:rPr>
            </w:pPr>
            <w:r>
              <w:rPr>
                <w:rFonts w:ascii="Arial" w:cs="Arial" w:eastAsia="Arial" w:hAnsi="Arial"/>
                <w:sz w:val="18"/>
                <w:szCs w:val="18"/>
                <w:color w:val="auto"/>
              </w:rPr>
              <w:t>6.78</w:t>
            </w:r>
          </w:p>
        </w:tc>
        <w:tc>
          <w:tcPr>
            <w:tcW w:w="220" w:type="dxa"/>
            <w:vAlign w:val="bottom"/>
          </w:tcPr>
          <w:p>
            <w:pPr>
              <w:spacing w:after="0"/>
              <w:rPr>
                <w:sz w:val="17"/>
                <w:szCs w:val="17"/>
                <w:color w:val="auto"/>
              </w:rPr>
            </w:pPr>
          </w:p>
        </w:tc>
        <w:tc>
          <w:tcPr>
            <w:tcW w:w="120" w:type="dxa"/>
            <w:vAlign w:val="bottom"/>
            <w:tcBorders>
              <w:bottom w:val="single" w:sz="8" w:color="355889"/>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355889"/>
            </w:tcBorders>
          </w:tcPr>
          <w:p>
            <w:pPr>
              <w:jc w:val="right"/>
              <w:spacing w:after="0" w:line="196" w:lineRule="exact"/>
              <w:rPr>
                <w:sz w:val="20"/>
                <w:szCs w:val="20"/>
                <w:color w:val="auto"/>
              </w:rPr>
            </w:pPr>
            <w:r>
              <w:rPr>
                <w:rFonts w:ascii="Arial" w:cs="Arial" w:eastAsia="Arial" w:hAnsi="Arial"/>
                <w:sz w:val="18"/>
                <w:szCs w:val="18"/>
                <w:color w:val="auto"/>
              </w:rPr>
              <w:t>6.45</w:t>
            </w:r>
          </w:p>
        </w:tc>
        <w:tc>
          <w:tcPr>
            <w:tcW w:w="220" w:type="dxa"/>
            <w:vAlign w:val="bottom"/>
          </w:tcPr>
          <w:p>
            <w:pPr>
              <w:spacing w:after="0"/>
              <w:rPr>
                <w:sz w:val="17"/>
                <w:szCs w:val="17"/>
                <w:color w:val="auto"/>
              </w:rPr>
            </w:pPr>
          </w:p>
        </w:tc>
        <w:tc>
          <w:tcPr>
            <w:tcW w:w="120" w:type="dxa"/>
            <w:vAlign w:val="bottom"/>
            <w:tcBorders>
              <w:bottom w:val="single" w:sz="8" w:color="355889"/>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355889"/>
            </w:tcBorders>
          </w:tcPr>
          <w:p>
            <w:pPr>
              <w:jc w:val="right"/>
              <w:ind w:right="14"/>
              <w:spacing w:after="0" w:line="196" w:lineRule="exact"/>
              <w:rPr>
                <w:sz w:val="20"/>
                <w:szCs w:val="20"/>
                <w:color w:val="auto"/>
              </w:rPr>
            </w:pPr>
            <w:r>
              <w:rPr>
                <w:rFonts w:ascii="Arial" w:cs="Arial" w:eastAsia="Arial" w:hAnsi="Arial"/>
                <w:sz w:val="18"/>
                <w:szCs w:val="18"/>
                <w:color w:val="auto"/>
              </w:rPr>
              <w:t>7.08</w:t>
            </w:r>
          </w:p>
        </w:tc>
        <w:tc>
          <w:tcPr>
            <w:tcW w:w="200" w:type="dxa"/>
            <w:vAlign w:val="bottom"/>
          </w:tcPr>
          <w:p>
            <w:pPr>
              <w:spacing w:after="0"/>
              <w:rPr>
                <w:sz w:val="17"/>
                <w:szCs w:val="17"/>
                <w:color w:val="auto"/>
              </w:rPr>
            </w:pPr>
          </w:p>
        </w:tc>
        <w:tc>
          <w:tcPr>
            <w:tcW w:w="120" w:type="dxa"/>
            <w:vAlign w:val="bottom"/>
            <w:tcBorders>
              <w:bottom w:val="single" w:sz="8" w:color="355889"/>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355889"/>
            </w:tcBorders>
          </w:tcPr>
          <w:p>
            <w:pPr>
              <w:jc w:val="right"/>
              <w:ind w:right="54"/>
              <w:spacing w:after="0" w:line="196" w:lineRule="exact"/>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355889"/>
        </w:rPr>
        <w:t xml:space="preserve">A-1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4960"/>
        <w:spacing w:after="0"/>
        <w:rPr>
          <w:sz w:val="20"/>
          <w:szCs w:val="20"/>
          <w:color w:val="auto"/>
        </w:rPr>
      </w:pPr>
      <w:r>
        <w:rPr>
          <w:rFonts w:ascii="Arial" w:cs="Arial" w:eastAsia="Arial" w:hAnsi="Arial"/>
          <w:sz w:val="16"/>
          <w:szCs w:val="16"/>
          <w:u w:val="single" w:color="auto"/>
          <w:color w:val="355889"/>
        </w:rPr>
        <w:t>APPENDIX A: INFORMATION REGARDING CERTAIN FINANCIAL MEASURES</w:t>
      </w:r>
    </w:p>
    <w:p>
      <w:pPr>
        <w:spacing w:after="0" w:line="23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Below are reconciliations of net income to operating income, same-store cash net operating income and same-store cash net operating income excluding lease termination income for the twelve months ended December 31, 2019 and 2018 (amounts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3"/>
          </w:tcPr>
          <w:p>
            <w:pPr>
              <w:jc w:val="right"/>
              <w:ind w:right="173"/>
              <w:spacing w:after="0"/>
              <w:rPr>
                <w:sz w:val="20"/>
                <w:szCs w:val="20"/>
                <w:color w:val="auto"/>
              </w:rPr>
            </w:pPr>
            <w:r>
              <w:rPr>
                <w:rFonts w:ascii="Arial" w:cs="Arial" w:eastAsia="Arial" w:hAnsi="Arial"/>
                <w:sz w:val="13"/>
                <w:szCs w:val="13"/>
                <w:b w:val="1"/>
                <w:bCs w:val="1"/>
                <w:color w:val="355889"/>
              </w:rPr>
              <w:t>Year Ended December 31,</w:t>
            </w:r>
          </w:p>
        </w:tc>
      </w:tr>
      <w:tr>
        <w:trPr>
          <w:trHeight w:val="223"/>
        </w:trPr>
        <w:tc>
          <w:tcPr>
            <w:tcW w:w="8840" w:type="dxa"/>
            <w:vAlign w:val="bottom"/>
            <w:tcBorders>
              <w:bottom w:val="single" w:sz="8" w:color="355889"/>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bottom w:val="single" w:sz="8" w:color="355889"/>
            </w:tcBorders>
          </w:tcPr>
          <w:p>
            <w:pPr>
              <w:jc w:val="right"/>
              <w:ind w:right="233"/>
              <w:spacing w:after="0"/>
              <w:rPr>
                <w:sz w:val="20"/>
                <w:szCs w:val="20"/>
                <w:color w:val="auto"/>
              </w:rPr>
            </w:pPr>
            <w:r>
              <w:rPr>
                <w:rFonts w:ascii="Arial" w:cs="Arial" w:eastAsia="Arial" w:hAnsi="Arial"/>
                <w:sz w:val="13"/>
                <w:szCs w:val="13"/>
                <w:b w:val="1"/>
                <w:bCs w:val="1"/>
                <w:color w:val="355889"/>
              </w:rPr>
              <w:t>2019</w:t>
            </w:r>
          </w:p>
        </w:tc>
        <w:tc>
          <w:tcPr>
            <w:tcW w:w="200" w:type="dxa"/>
            <w:vAlign w:val="bottom"/>
          </w:tcPr>
          <w:p>
            <w:pPr>
              <w:spacing w:after="0"/>
              <w:rPr>
                <w:sz w:val="19"/>
                <w:szCs w:val="19"/>
                <w:color w:val="auto"/>
              </w:rPr>
            </w:pPr>
          </w:p>
        </w:tc>
        <w:tc>
          <w:tcPr>
            <w:tcW w:w="1060" w:type="dxa"/>
            <w:vAlign w:val="bottom"/>
            <w:tcBorders>
              <w:bottom w:val="single" w:sz="8" w:color="355889"/>
            </w:tcBorders>
          </w:tcPr>
          <w:p>
            <w:pPr>
              <w:jc w:val="right"/>
              <w:ind w:right="293"/>
              <w:spacing w:after="0"/>
              <w:rPr>
                <w:sz w:val="20"/>
                <w:szCs w:val="20"/>
                <w:color w:val="auto"/>
              </w:rPr>
            </w:pPr>
            <w:r>
              <w:rPr>
                <w:rFonts w:ascii="Arial" w:cs="Arial" w:eastAsia="Arial" w:hAnsi="Arial"/>
                <w:sz w:val="13"/>
                <w:szCs w:val="13"/>
                <w:b w:val="1"/>
                <w:bCs w:val="1"/>
                <w:color w:val="355889"/>
              </w:rPr>
              <w:t>2018</w:t>
            </w:r>
          </w:p>
        </w:tc>
      </w:tr>
      <w:tr>
        <w:trPr>
          <w:trHeight w:val="243"/>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and Same-store NOI Reconciliation</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196"/>
        </w:trPr>
        <w:tc>
          <w:tcPr>
            <w:tcW w:w="8840" w:type="dxa"/>
            <w:vAlign w:val="bottom"/>
            <w:tcBorders>
              <w:top w:val="single" w:sz="8" w:color="8797B7"/>
              <w:bottom w:val="single" w:sz="8" w:color="8797B7"/>
            </w:tcBorders>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220" w:type="dxa"/>
            <w:vAlign w:val="bottom"/>
          </w:tcPr>
          <w:p>
            <w:pPr>
              <w:spacing w:after="0"/>
              <w:rPr>
                <w:sz w:val="17"/>
                <w:szCs w:val="17"/>
                <w:color w:val="auto"/>
              </w:rPr>
            </w:pPr>
          </w:p>
        </w:tc>
        <w:tc>
          <w:tcPr>
            <w:tcW w:w="920" w:type="dxa"/>
            <w:vAlign w:val="bottom"/>
            <w:tcBorders>
              <w:top w:val="single" w:sz="8" w:color="8797B7"/>
              <w:bottom w:val="single" w:sz="8" w:color="8797B7"/>
            </w:tcBorders>
          </w:tcPr>
          <w:p>
            <w:pPr>
              <w:jc w:val="right"/>
              <w:ind w:right="33"/>
              <w:spacing w:after="0" w:line="196" w:lineRule="exact"/>
              <w:rPr>
                <w:sz w:val="20"/>
                <w:szCs w:val="20"/>
                <w:color w:val="auto"/>
              </w:rPr>
            </w:pPr>
            <w:r>
              <w:rPr>
                <w:rFonts w:ascii="Arial" w:cs="Arial" w:eastAsia="Arial" w:hAnsi="Arial"/>
                <w:sz w:val="18"/>
                <w:szCs w:val="18"/>
                <w:b w:val="1"/>
                <w:bCs w:val="1"/>
                <w:color w:val="auto"/>
                <w:w w:val="97"/>
              </w:rPr>
              <w:t>$ 291,487</w:t>
            </w:r>
          </w:p>
        </w:tc>
        <w:tc>
          <w:tcPr>
            <w:tcW w:w="200" w:type="dxa"/>
            <w:vAlign w:val="bottom"/>
          </w:tcPr>
          <w:p>
            <w:pPr>
              <w:spacing w:after="0"/>
              <w:rPr>
                <w:sz w:val="17"/>
                <w:szCs w:val="17"/>
                <w:color w:val="auto"/>
              </w:rPr>
            </w:pPr>
          </w:p>
        </w:tc>
        <w:tc>
          <w:tcPr>
            <w:tcW w:w="1060" w:type="dxa"/>
            <w:vAlign w:val="bottom"/>
            <w:tcBorders>
              <w:top w:val="single" w:sz="8" w:color="8797B7"/>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270,856</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Equity in net gain on sale of interest in unconsolidated joint venture/real estate</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(76,181)</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(303,967)</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Purchase price and other fair value adjustments</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(69,389)</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(57,385)</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Loss on sale of real estate, net</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ind w:right="33"/>
              <w:spacing w:after="0" w:line="196" w:lineRule="exact"/>
              <w:rPr>
                <w:sz w:val="20"/>
                <w:szCs w:val="20"/>
                <w:color w:val="auto"/>
              </w:rPr>
            </w:pPr>
            <w:r>
              <w:rPr>
                <w:rFonts w:ascii="Arial" w:cs="Arial" w:eastAsia="Arial" w:hAnsi="Arial"/>
                <w:sz w:val="18"/>
                <w:szCs w:val="18"/>
                <w:color w:val="auto"/>
              </w:rPr>
              <w:t>16,749</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30,757</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Depreciable real estate reserves and impairment</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ind w:right="33"/>
              <w:spacing w:after="0" w:line="196" w:lineRule="exact"/>
              <w:rPr>
                <w:sz w:val="20"/>
                <w:szCs w:val="20"/>
                <w:color w:val="auto"/>
              </w:rPr>
            </w:pPr>
            <w:r>
              <w:rPr>
                <w:rFonts w:ascii="Arial" w:cs="Arial" w:eastAsia="Arial" w:hAnsi="Arial"/>
                <w:sz w:val="18"/>
                <w:szCs w:val="18"/>
                <w:color w:val="auto"/>
              </w:rPr>
              <w:t>7,047</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227,543</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ind w:right="33"/>
              <w:spacing w:after="0" w:line="196" w:lineRule="exact"/>
              <w:rPr>
                <w:sz w:val="20"/>
                <w:szCs w:val="20"/>
                <w:color w:val="auto"/>
              </w:rPr>
            </w:pPr>
            <w:r>
              <w:rPr>
                <w:rFonts w:ascii="Arial" w:cs="Arial" w:eastAsia="Arial" w:hAnsi="Arial"/>
                <w:sz w:val="18"/>
                <w:szCs w:val="18"/>
                <w:color w:val="auto"/>
              </w:rPr>
              <w:t>272,358</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279,507</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Interest expense, net of interest income</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ind w:right="33"/>
              <w:spacing w:after="0" w:line="196" w:lineRule="exact"/>
              <w:rPr>
                <w:sz w:val="20"/>
                <w:szCs w:val="20"/>
                <w:color w:val="auto"/>
              </w:rPr>
            </w:pPr>
            <w:r>
              <w:rPr>
                <w:rFonts w:ascii="Arial" w:cs="Arial" w:eastAsia="Arial" w:hAnsi="Arial"/>
                <w:sz w:val="18"/>
                <w:szCs w:val="18"/>
                <w:color w:val="auto"/>
              </w:rPr>
              <w:t>190,521</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208,669</w:t>
            </w:r>
          </w:p>
        </w:tc>
      </w:tr>
      <w:tr>
        <w:trPr>
          <w:trHeight w:val="196"/>
        </w:trPr>
        <w:tc>
          <w:tcPr>
            <w:tcW w:w="9060" w:type="dxa"/>
            <w:vAlign w:val="bottom"/>
            <w:gridSpan w:val="2"/>
          </w:tcPr>
          <w:p>
            <w:pPr>
              <w:spacing w:after="0" w:line="196" w:lineRule="exact"/>
              <w:rPr>
                <w:sz w:val="20"/>
                <w:szCs w:val="20"/>
                <w:color w:val="auto"/>
              </w:rPr>
            </w:pPr>
            <w:r>
              <w:rPr>
                <w:rFonts w:ascii="Arial" w:cs="Arial" w:eastAsia="Arial" w:hAnsi="Arial"/>
                <w:sz w:val="18"/>
                <w:szCs w:val="18"/>
                <w:color w:val="auto"/>
              </w:rPr>
              <w:t>Amortization of deferred financing costs</w:t>
            </w:r>
          </w:p>
        </w:tc>
        <w:tc>
          <w:tcPr>
            <w:tcW w:w="92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11,653</w:t>
            </w:r>
          </w:p>
        </w:tc>
        <w:tc>
          <w:tcPr>
            <w:tcW w:w="200" w:type="dxa"/>
            <w:vAlign w:val="bottom"/>
          </w:tcPr>
          <w:p>
            <w:pPr>
              <w:spacing w:after="0"/>
              <w:rPr>
                <w:sz w:val="17"/>
                <w:szCs w:val="17"/>
                <w:color w:val="auto"/>
              </w:rPr>
            </w:pPr>
          </w:p>
        </w:tc>
        <w:tc>
          <w:tcPr>
            <w:tcW w:w="106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12,408</w:t>
            </w:r>
          </w:p>
        </w:tc>
      </w:tr>
      <w:tr>
        <w:trPr>
          <w:trHeight w:val="196"/>
        </w:trPr>
        <w:tc>
          <w:tcPr>
            <w:tcW w:w="8840" w:type="dxa"/>
            <w:vAlign w:val="bottom"/>
            <w:tcBorders>
              <w:top w:val="single" w:sz="8" w:color="8797B7"/>
              <w:bottom w:val="single" w:sz="8" w:color="8797B7"/>
            </w:tcBorders>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220" w:type="dxa"/>
            <w:vAlign w:val="bottom"/>
          </w:tcPr>
          <w:p>
            <w:pPr>
              <w:spacing w:after="0"/>
              <w:rPr>
                <w:sz w:val="17"/>
                <w:szCs w:val="17"/>
                <w:color w:val="auto"/>
              </w:rPr>
            </w:pPr>
          </w:p>
        </w:tc>
        <w:tc>
          <w:tcPr>
            <w:tcW w:w="920" w:type="dxa"/>
            <w:vAlign w:val="bottom"/>
            <w:tcBorders>
              <w:top w:val="single" w:sz="8" w:color="8797B7"/>
              <w:bottom w:val="single" w:sz="8" w:color="8797B7"/>
            </w:tcBorders>
          </w:tcPr>
          <w:p>
            <w:pPr>
              <w:jc w:val="right"/>
              <w:ind w:right="33"/>
              <w:spacing w:after="0" w:line="196" w:lineRule="exact"/>
              <w:rPr>
                <w:sz w:val="20"/>
                <w:szCs w:val="20"/>
                <w:color w:val="auto"/>
              </w:rPr>
            </w:pPr>
            <w:r>
              <w:rPr>
                <w:rFonts w:ascii="Arial" w:cs="Arial" w:eastAsia="Arial" w:hAnsi="Arial"/>
                <w:sz w:val="18"/>
                <w:szCs w:val="18"/>
                <w:b w:val="1"/>
                <w:bCs w:val="1"/>
                <w:color w:val="auto"/>
                <w:w w:val="97"/>
              </w:rPr>
              <w:t>$ 644,245</w:t>
            </w:r>
          </w:p>
        </w:tc>
        <w:tc>
          <w:tcPr>
            <w:tcW w:w="200" w:type="dxa"/>
            <w:vAlign w:val="bottom"/>
          </w:tcPr>
          <w:p>
            <w:pPr>
              <w:spacing w:after="0"/>
              <w:rPr>
                <w:sz w:val="17"/>
                <w:szCs w:val="17"/>
                <w:color w:val="auto"/>
              </w:rPr>
            </w:pPr>
          </w:p>
        </w:tc>
        <w:tc>
          <w:tcPr>
            <w:tcW w:w="1060" w:type="dxa"/>
            <w:vAlign w:val="bottom"/>
            <w:tcBorders>
              <w:top w:val="single" w:sz="8" w:color="8797B7"/>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668,388</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Equity in net loss (income) from unconsolidated joint ventures</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ind w:right="33"/>
              <w:spacing w:after="0" w:line="196" w:lineRule="exact"/>
              <w:rPr>
                <w:sz w:val="20"/>
                <w:szCs w:val="20"/>
                <w:color w:val="auto"/>
              </w:rPr>
            </w:pPr>
            <w:r>
              <w:rPr>
                <w:rFonts w:ascii="Arial" w:cs="Arial" w:eastAsia="Arial" w:hAnsi="Arial"/>
                <w:sz w:val="18"/>
                <w:szCs w:val="18"/>
                <w:color w:val="auto"/>
              </w:rPr>
              <w:t>34,518</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(7,311)</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Marketing, general and administrative expense</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ind w:right="33"/>
              <w:spacing w:after="0" w:line="196" w:lineRule="exact"/>
              <w:rPr>
                <w:sz w:val="20"/>
                <w:szCs w:val="20"/>
                <w:color w:val="auto"/>
              </w:rPr>
            </w:pPr>
            <w:r>
              <w:rPr>
                <w:rFonts w:ascii="Arial" w:cs="Arial" w:eastAsia="Arial" w:hAnsi="Arial"/>
                <w:sz w:val="18"/>
                <w:szCs w:val="18"/>
                <w:color w:val="auto"/>
              </w:rPr>
              <w:t>100,875</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92,631</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Transaction related costs, net</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ind w:right="33"/>
              <w:spacing w:after="0" w:line="196" w:lineRule="exact"/>
              <w:rPr>
                <w:sz w:val="20"/>
                <w:szCs w:val="20"/>
                <w:color w:val="auto"/>
              </w:rPr>
            </w:pPr>
            <w:r>
              <w:rPr>
                <w:rFonts w:ascii="Arial" w:cs="Arial" w:eastAsia="Arial" w:hAnsi="Arial"/>
                <w:sz w:val="18"/>
                <w:szCs w:val="18"/>
                <w:color w:val="auto"/>
              </w:rPr>
              <w:t>729</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1,099</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Investment income</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(195,590)</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(201,492)</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Loan loss and other investment reserves, net of recoveries</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6,839</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Non-building revenue</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(31,860)</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(22,099)</w:t>
            </w:r>
          </w:p>
        </w:tc>
      </w:tr>
      <w:tr>
        <w:trPr>
          <w:trHeight w:val="196"/>
        </w:trPr>
        <w:tc>
          <w:tcPr>
            <w:tcW w:w="9060" w:type="dxa"/>
            <w:vAlign w:val="bottom"/>
            <w:gridSpan w:val="2"/>
          </w:tcPr>
          <w:p>
            <w:pPr>
              <w:spacing w:after="0" w:line="196" w:lineRule="exact"/>
              <w:rPr>
                <w:sz w:val="20"/>
                <w:szCs w:val="20"/>
                <w:color w:val="auto"/>
              </w:rPr>
            </w:pPr>
            <w:r>
              <w:rPr>
                <w:rFonts w:ascii="Arial" w:cs="Arial" w:eastAsia="Arial" w:hAnsi="Arial"/>
                <w:sz w:val="18"/>
                <w:szCs w:val="18"/>
                <w:color w:val="auto"/>
              </w:rPr>
              <w:t>Loss on early extinguishment of debt</w:t>
            </w:r>
          </w:p>
        </w:tc>
        <w:tc>
          <w:tcPr>
            <w:tcW w:w="112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17,083</w:t>
            </w:r>
          </w:p>
        </w:tc>
      </w:tr>
      <w:tr>
        <w:trPr>
          <w:trHeight w:val="196"/>
        </w:trPr>
        <w:tc>
          <w:tcPr>
            <w:tcW w:w="8840" w:type="dxa"/>
            <w:vAlign w:val="bottom"/>
            <w:tcBorders>
              <w:top w:val="single" w:sz="8" w:color="8797B7"/>
              <w:bottom w:val="single" w:sz="8" w:color="8797B7"/>
            </w:tcBorders>
          </w:tcPr>
          <w:p>
            <w:pPr>
              <w:spacing w:after="0" w:line="196" w:lineRule="exact"/>
              <w:rPr>
                <w:sz w:val="20"/>
                <w:szCs w:val="20"/>
                <w:color w:val="auto"/>
              </w:rPr>
            </w:pPr>
            <w:r>
              <w:rPr>
                <w:rFonts w:ascii="Arial" w:cs="Arial" w:eastAsia="Arial" w:hAnsi="Arial"/>
                <w:sz w:val="18"/>
                <w:szCs w:val="18"/>
                <w:b w:val="1"/>
                <w:bCs w:val="1"/>
                <w:color w:val="auto"/>
              </w:rPr>
              <w:t>Net operating income (NOI)</w:t>
            </w:r>
          </w:p>
        </w:tc>
        <w:tc>
          <w:tcPr>
            <w:tcW w:w="220" w:type="dxa"/>
            <w:vAlign w:val="bottom"/>
          </w:tcPr>
          <w:p>
            <w:pPr>
              <w:spacing w:after="0"/>
              <w:rPr>
                <w:sz w:val="17"/>
                <w:szCs w:val="17"/>
                <w:color w:val="auto"/>
              </w:rPr>
            </w:pPr>
          </w:p>
        </w:tc>
        <w:tc>
          <w:tcPr>
            <w:tcW w:w="920" w:type="dxa"/>
            <w:vAlign w:val="bottom"/>
            <w:tcBorders>
              <w:top w:val="single" w:sz="8" w:color="8797B7"/>
              <w:bottom w:val="single" w:sz="8" w:color="8797B7"/>
            </w:tcBorders>
          </w:tcPr>
          <w:p>
            <w:pPr>
              <w:jc w:val="right"/>
              <w:ind w:right="33"/>
              <w:spacing w:after="0" w:line="196" w:lineRule="exact"/>
              <w:rPr>
                <w:sz w:val="20"/>
                <w:szCs w:val="20"/>
                <w:color w:val="auto"/>
              </w:rPr>
            </w:pPr>
            <w:r>
              <w:rPr>
                <w:rFonts w:ascii="Arial" w:cs="Arial" w:eastAsia="Arial" w:hAnsi="Arial"/>
                <w:sz w:val="18"/>
                <w:szCs w:val="18"/>
                <w:b w:val="1"/>
                <w:bCs w:val="1"/>
                <w:color w:val="auto"/>
                <w:w w:val="97"/>
              </w:rPr>
              <w:t>$ 552,917</w:t>
            </w:r>
          </w:p>
        </w:tc>
        <w:tc>
          <w:tcPr>
            <w:tcW w:w="200" w:type="dxa"/>
            <w:vAlign w:val="bottom"/>
          </w:tcPr>
          <w:p>
            <w:pPr>
              <w:spacing w:after="0"/>
              <w:rPr>
                <w:sz w:val="17"/>
                <w:szCs w:val="17"/>
                <w:color w:val="auto"/>
              </w:rPr>
            </w:pPr>
          </w:p>
        </w:tc>
        <w:tc>
          <w:tcPr>
            <w:tcW w:w="1060" w:type="dxa"/>
            <w:vAlign w:val="bottom"/>
            <w:tcBorders>
              <w:top w:val="single" w:sz="8" w:color="8797B7"/>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555,138</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Equity in net income (loss) from unconsolidated joint ventures</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(34,518)</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7,311</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SLG share of unconsolidated JV depreciation and amortization</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ind w:right="33"/>
              <w:spacing w:after="0" w:line="196" w:lineRule="exact"/>
              <w:rPr>
                <w:sz w:val="20"/>
                <w:szCs w:val="20"/>
                <w:color w:val="auto"/>
              </w:rPr>
            </w:pPr>
            <w:r>
              <w:rPr>
                <w:rFonts w:ascii="Arial" w:cs="Arial" w:eastAsia="Arial" w:hAnsi="Arial"/>
                <w:sz w:val="18"/>
                <w:szCs w:val="18"/>
                <w:color w:val="auto"/>
              </w:rPr>
              <w:t>189,290</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187,962</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SLG share of unconsolidated JV interest expense, net of interest income</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ind w:right="33"/>
              <w:spacing w:after="0" w:line="196" w:lineRule="exact"/>
              <w:rPr>
                <w:sz w:val="20"/>
                <w:szCs w:val="20"/>
                <w:color w:val="auto"/>
              </w:rPr>
            </w:pPr>
            <w:r>
              <w:rPr>
                <w:rFonts w:ascii="Arial" w:cs="Arial" w:eastAsia="Arial" w:hAnsi="Arial"/>
                <w:sz w:val="18"/>
                <w:szCs w:val="18"/>
                <w:color w:val="auto"/>
              </w:rPr>
              <w:t>153,151</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144,663</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SLG share of unconsolidated JV amortization of deferred financing costs</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ind w:right="33"/>
              <w:spacing w:after="0" w:line="196" w:lineRule="exact"/>
              <w:rPr>
                <w:sz w:val="20"/>
                <w:szCs w:val="20"/>
                <w:color w:val="auto"/>
              </w:rPr>
            </w:pPr>
            <w:r>
              <w:rPr>
                <w:rFonts w:ascii="Arial" w:cs="Arial" w:eastAsia="Arial" w:hAnsi="Arial"/>
                <w:sz w:val="18"/>
                <w:szCs w:val="18"/>
                <w:color w:val="auto"/>
              </w:rPr>
              <w:t>6,415</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6,315</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SLG share of unconsolidated JV loss on early extinguishment of debt</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ind w:right="33"/>
              <w:spacing w:after="0" w:line="196" w:lineRule="exact"/>
              <w:rPr>
                <w:sz w:val="20"/>
                <w:szCs w:val="20"/>
                <w:color w:val="auto"/>
              </w:rPr>
            </w:pPr>
            <w:r>
              <w:rPr>
                <w:rFonts w:ascii="Arial" w:cs="Arial" w:eastAsia="Arial" w:hAnsi="Arial"/>
                <w:sz w:val="18"/>
                <w:szCs w:val="18"/>
                <w:color w:val="auto"/>
              </w:rPr>
              <w:t>258</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SLG share of unconsolidated JV investment income</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(3,331)</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(12,014)</w:t>
            </w:r>
          </w:p>
        </w:tc>
      </w:tr>
      <w:tr>
        <w:trPr>
          <w:trHeight w:val="196"/>
        </w:trPr>
        <w:tc>
          <w:tcPr>
            <w:tcW w:w="9060" w:type="dxa"/>
            <w:vAlign w:val="bottom"/>
            <w:gridSpan w:val="2"/>
          </w:tcPr>
          <w:p>
            <w:pPr>
              <w:spacing w:after="0" w:line="196" w:lineRule="exact"/>
              <w:rPr>
                <w:sz w:val="20"/>
                <w:szCs w:val="20"/>
                <w:color w:val="auto"/>
              </w:rPr>
            </w:pPr>
            <w:r>
              <w:rPr>
                <w:rFonts w:ascii="Arial" w:cs="Arial" w:eastAsia="Arial" w:hAnsi="Arial"/>
                <w:sz w:val="18"/>
                <w:szCs w:val="18"/>
                <w:color w:val="auto"/>
              </w:rPr>
              <w:t>SLG share of unconsolidated JV non-building revenue</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(4,016)</w:t>
            </w:r>
          </w:p>
        </w:tc>
        <w:tc>
          <w:tcPr>
            <w:tcW w:w="2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(3,636)</w:t>
            </w:r>
          </w:p>
        </w:tc>
      </w:tr>
      <w:tr>
        <w:trPr>
          <w:trHeight w:val="196"/>
        </w:trPr>
        <w:tc>
          <w:tcPr>
            <w:tcW w:w="8840" w:type="dxa"/>
            <w:vAlign w:val="bottom"/>
            <w:tcBorders>
              <w:top w:val="single" w:sz="8" w:color="8797B7"/>
              <w:bottom w:val="single" w:sz="8" w:color="8797B7"/>
            </w:tcBorders>
          </w:tcPr>
          <w:p>
            <w:pPr>
              <w:spacing w:after="0" w:line="196" w:lineRule="exact"/>
              <w:rPr>
                <w:sz w:val="20"/>
                <w:szCs w:val="20"/>
                <w:color w:val="auto"/>
              </w:rPr>
            </w:pPr>
            <w:r>
              <w:rPr>
                <w:rFonts w:ascii="Arial" w:cs="Arial" w:eastAsia="Arial" w:hAnsi="Arial"/>
                <w:sz w:val="18"/>
                <w:szCs w:val="18"/>
                <w:b w:val="1"/>
                <w:bCs w:val="1"/>
                <w:color w:val="auto"/>
              </w:rPr>
              <w:t>NOI including SLG share of unconsolidated JVs</w:t>
            </w:r>
          </w:p>
        </w:tc>
        <w:tc>
          <w:tcPr>
            <w:tcW w:w="220" w:type="dxa"/>
            <w:vAlign w:val="bottom"/>
          </w:tcPr>
          <w:p>
            <w:pPr>
              <w:spacing w:after="0"/>
              <w:rPr>
                <w:sz w:val="17"/>
                <w:szCs w:val="17"/>
                <w:color w:val="auto"/>
              </w:rPr>
            </w:pPr>
          </w:p>
        </w:tc>
        <w:tc>
          <w:tcPr>
            <w:tcW w:w="920" w:type="dxa"/>
            <w:vAlign w:val="bottom"/>
            <w:tcBorders>
              <w:top w:val="single" w:sz="8" w:color="8797B7"/>
              <w:bottom w:val="single" w:sz="8" w:color="8797B7"/>
            </w:tcBorders>
          </w:tcPr>
          <w:p>
            <w:pPr>
              <w:jc w:val="right"/>
              <w:ind w:right="33"/>
              <w:spacing w:after="0" w:line="196" w:lineRule="exact"/>
              <w:rPr>
                <w:sz w:val="20"/>
                <w:szCs w:val="20"/>
                <w:color w:val="auto"/>
              </w:rPr>
            </w:pPr>
            <w:r>
              <w:rPr>
                <w:rFonts w:ascii="Arial" w:cs="Arial" w:eastAsia="Arial" w:hAnsi="Arial"/>
                <w:sz w:val="18"/>
                <w:szCs w:val="18"/>
                <w:b w:val="1"/>
                <w:bCs w:val="1"/>
                <w:color w:val="auto"/>
                <w:w w:val="97"/>
              </w:rPr>
              <w:t>$ 860,166</w:t>
            </w:r>
          </w:p>
        </w:tc>
        <w:tc>
          <w:tcPr>
            <w:tcW w:w="200" w:type="dxa"/>
            <w:vAlign w:val="bottom"/>
          </w:tcPr>
          <w:p>
            <w:pPr>
              <w:spacing w:after="0"/>
              <w:rPr>
                <w:sz w:val="17"/>
                <w:szCs w:val="17"/>
                <w:color w:val="auto"/>
              </w:rPr>
            </w:pPr>
          </w:p>
        </w:tc>
        <w:tc>
          <w:tcPr>
            <w:tcW w:w="1060" w:type="dxa"/>
            <w:vAlign w:val="bottom"/>
            <w:tcBorders>
              <w:top w:val="single" w:sz="8" w:color="8797B7"/>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885,739</w:t>
            </w:r>
          </w:p>
        </w:tc>
      </w:tr>
      <w:tr>
        <w:trPr>
          <w:trHeight w:val="196"/>
        </w:trPr>
        <w:tc>
          <w:tcPr>
            <w:tcW w:w="9060" w:type="dxa"/>
            <w:vAlign w:val="bottom"/>
            <w:gridSpan w:val="2"/>
          </w:tcPr>
          <w:p>
            <w:pPr>
              <w:spacing w:after="0" w:line="196" w:lineRule="exact"/>
              <w:rPr>
                <w:sz w:val="20"/>
                <w:szCs w:val="20"/>
                <w:color w:val="auto"/>
              </w:rPr>
            </w:pPr>
            <w:r>
              <w:rPr>
                <w:rFonts w:ascii="Arial" w:cs="Arial" w:eastAsia="Arial" w:hAnsi="Arial"/>
                <w:sz w:val="18"/>
                <w:szCs w:val="18"/>
                <w:color w:val="auto"/>
              </w:rPr>
              <w:t>NOI from other properties/affiliates</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(55,762)</w:t>
            </w:r>
          </w:p>
        </w:tc>
        <w:tc>
          <w:tcPr>
            <w:tcW w:w="2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(84,595)</w:t>
            </w:r>
          </w:p>
        </w:tc>
      </w:tr>
      <w:tr>
        <w:trPr>
          <w:trHeight w:val="196"/>
        </w:trPr>
        <w:tc>
          <w:tcPr>
            <w:tcW w:w="8840" w:type="dxa"/>
            <w:vAlign w:val="bottom"/>
            <w:tcBorders>
              <w:top w:val="single" w:sz="8" w:color="8797B7"/>
              <w:bottom w:val="single" w:sz="8" w:color="8797B7"/>
            </w:tcBorders>
          </w:tcPr>
          <w:p>
            <w:pPr>
              <w:spacing w:after="0" w:line="196" w:lineRule="exact"/>
              <w:rPr>
                <w:sz w:val="20"/>
                <w:szCs w:val="20"/>
                <w:color w:val="auto"/>
              </w:rPr>
            </w:pPr>
            <w:r>
              <w:rPr>
                <w:rFonts w:ascii="Arial" w:cs="Arial" w:eastAsia="Arial" w:hAnsi="Arial"/>
                <w:sz w:val="18"/>
                <w:szCs w:val="18"/>
                <w:b w:val="1"/>
                <w:bCs w:val="1"/>
                <w:color w:val="auto"/>
              </w:rPr>
              <w:t>Same-Store NOI</w:t>
            </w:r>
          </w:p>
        </w:tc>
        <w:tc>
          <w:tcPr>
            <w:tcW w:w="220" w:type="dxa"/>
            <w:vAlign w:val="bottom"/>
          </w:tcPr>
          <w:p>
            <w:pPr>
              <w:spacing w:after="0"/>
              <w:rPr>
                <w:sz w:val="17"/>
                <w:szCs w:val="17"/>
                <w:color w:val="auto"/>
              </w:rPr>
            </w:pPr>
          </w:p>
        </w:tc>
        <w:tc>
          <w:tcPr>
            <w:tcW w:w="920" w:type="dxa"/>
            <w:vAlign w:val="bottom"/>
            <w:tcBorders>
              <w:top w:val="single" w:sz="8" w:color="8797B7"/>
              <w:bottom w:val="single" w:sz="8" w:color="8797B7"/>
            </w:tcBorders>
          </w:tcPr>
          <w:p>
            <w:pPr>
              <w:jc w:val="right"/>
              <w:ind w:right="33"/>
              <w:spacing w:after="0" w:line="196" w:lineRule="exact"/>
              <w:rPr>
                <w:sz w:val="20"/>
                <w:szCs w:val="20"/>
                <w:color w:val="auto"/>
              </w:rPr>
            </w:pPr>
            <w:r>
              <w:rPr>
                <w:rFonts w:ascii="Arial" w:cs="Arial" w:eastAsia="Arial" w:hAnsi="Arial"/>
                <w:sz w:val="18"/>
                <w:szCs w:val="18"/>
                <w:b w:val="1"/>
                <w:bCs w:val="1"/>
                <w:color w:val="auto"/>
                <w:w w:val="97"/>
              </w:rPr>
              <w:t>$ 804,404</w:t>
            </w:r>
          </w:p>
        </w:tc>
        <w:tc>
          <w:tcPr>
            <w:tcW w:w="200" w:type="dxa"/>
            <w:vAlign w:val="bottom"/>
          </w:tcPr>
          <w:p>
            <w:pPr>
              <w:spacing w:after="0"/>
              <w:rPr>
                <w:sz w:val="17"/>
                <w:szCs w:val="17"/>
                <w:color w:val="auto"/>
              </w:rPr>
            </w:pPr>
          </w:p>
        </w:tc>
        <w:tc>
          <w:tcPr>
            <w:tcW w:w="1060" w:type="dxa"/>
            <w:vAlign w:val="bottom"/>
            <w:tcBorders>
              <w:top w:val="single" w:sz="8" w:color="8797B7"/>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801,144</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Ground lease straight-line adjustment</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ind w:right="33"/>
              <w:spacing w:after="0" w:line="196" w:lineRule="exact"/>
              <w:rPr>
                <w:sz w:val="20"/>
                <w:szCs w:val="20"/>
                <w:color w:val="auto"/>
              </w:rPr>
            </w:pPr>
            <w:r>
              <w:rPr>
                <w:rFonts w:ascii="Arial" w:cs="Arial" w:eastAsia="Arial" w:hAnsi="Arial"/>
                <w:sz w:val="18"/>
                <w:szCs w:val="18"/>
                <w:color w:val="auto"/>
              </w:rPr>
              <w:t>2,039</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1,803</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Joint Venture ground lease straight-line adjustment</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ind w:right="33"/>
              <w:spacing w:after="0" w:line="196" w:lineRule="exact"/>
              <w:rPr>
                <w:sz w:val="20"/>
                <w:szCs w:val="20"/>
                <w:color w:val="auto"/>
              </w:rPr>
            </w:pPr>
            <w:r>
              <w:rPr>
                <w:rFonts w:ascii="Arial" w:cs="Arial" w:eastAsia="Arial" w:hAnsi="Arial"/>
                <w:sz w:val="18"/>
                <w:szCs w:val="18"/>
                <w:color w:val="auto"/>
              </w:rPr>
              <w:t>680</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1,031</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Straight-line and free rent</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(6,359)</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(15,429)</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Amortization of acquired above and below-market leases, net</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(3,677)</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(5,420)</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Joint Venture straight-line and free rent</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(46,125)</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(19,500)</w:t>
            </w:r>
          </w:p>
        </w:tc>
      </w:tr>
      <w:tr>
        <w:trPr>
          <w:trHeight w:val="196"/>
        </w:trPr>
        <w:tc>
          <w:tcPr>
            <w:tcW w:w="9060" w:type="dxa"/>
            <w:vAlign w:val="bottom"/>
            <w:gridSpan w:val="2"/>
          </w:tcPr>
          <w:p>
            <w:pPr>
              <w:spacing w:after="0" w:line="196" w:lineRule="exact"/>
              <w:rPr>
                <w:sz w:val="20"/>
                <w:szCs w:val="20"/>
                <w:color w:val="auto"/>
              </w:rPr>
            </w:pPr>
            <w:r>
              <w:rPr>
                <w:rFonts w:ascii="Arial" w:cs="Arial" w:eastAsia="Arial" w:hAnsi="Arial"/>
                <w:sz w:val="18"/>
                <w:szCs w:val="18"/>
                <w:color w:val="auto"/>
              </w:rPr>
              <w:t>Joint Venture amortization of acquired above and below-market leases, net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(16,953)</w:t>
            </w:r>
          </w:p>
        </w:tc>
        <w:tc>
          <w:tcPr>
            <w:tcW w:w="2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(15,841)</w:t>
            </w:r>
          </w:p>
        </w:tc>
      </w:tr>
      <w:tr>
        <w:trPr>
          <w:trHeight w:val="196"/>
        </w:trPr>
        <w:tc>
          <w:tcPr>
            <w:tcW w:w="8840" w:type="dxa"/>
            <w:vAlign w:val="bottom"/>
            <w:tcBorders>
              <w:top w:val="single" w:sz="8" w:color="8797B7"/>
              <w:bottom w:val="single" w:sz="8" w:color="8797B7"/>
            </w:tcBorders>
          </w:tcPr>
          <w:p>
            <w:pPr>
              <w:spacing w:after="0" w:line="196" w:lineRule="exact"/>
              <w:rPr>
                <w:sz w:val="20"/>
                <w:szCs w:val="20"/>
                <w:color w:val="auto"/>
              </w:rPr>
            </w:pPr>
            <w:r>
              <w:rPr>
                <w:rFonts w:ascii="Arial" w:cs="Arial" w:eastAsia="Arial" w:hAnsi="Arial"/>
                <w:sz w:val="18"/>
                <w:szCs w:val="18"/>
                <w:b w:val="1"/>
                <w:bCs w:val="1"/>
                <w:color w:val="auto"/>
              </w:rPr>
              <w:t>Same-store cash NOI</w:t>
            </w:r>
          </w:p>
        </w:tc>
        <w:tc>
          <w:tcPr>
            <w:tcW w:w="220" w:type="dxa"/>
            <w:vAlign w:val="bottom"/>
          </w:tcPr>
          <w:p>
            <w:pPr>
              <w:spacing w:after="0"/>
              <w:rPr>
                <w:sz w:val="17"/>
                <w:szCs w:val="17"/>
                <w:color w:val="auto"/>
              </w:rPr>
            </w:pPr>
          </w:p>
        </w:tc>
        <w:tc>
          <w:tcPr>
            <w:tcW w:w="920" w:type="dxa"/>
            <w:vAlign w:val="bottom"/>
            <w:tcBorders>
              <w:top w:val="single" w:sz="8" w:color="8797B7"/>
              <w:bottom w:val="single" w:sz="8" w:color="8797B7"/>
            </w:tcBorders>
          </w:tcPr>
          <w:p>
            <w:pPr>
              <w:jc w:val="right"/>
              <w:ind w:right="33"/>
              <w:spacing w:after="0" w:line="196" w:lineRule="exact"/>
              <w:rPr>
                <w:sz w:val="20"/>
                <w:szCs w:val="20"/>
                <w:color w:val="auto"/>
              </w:rPr>
            </w:pPr>
            <w:r>
              <w:rPr>
                <w:rFonts w:ascii="Arial" w:cs="Arial" w:eastAsia="Arial" w:hAnsi="Arial"/>
                <w:sz w:val="18"/>
                <w:szCs w:val="18"/>
                <w:b w:val="1"/>
                <w:bCs w:val="1"/>
                <w:color w:val="auto"/>
                <w:w w:val="97"/>
              </w:rPr>
              <w:t>$ 734,009</w:t>
            </w:r>
          </w:p>
        </w:tc>
        <w:tc>
          <w:tcPr>
            <w:tcW w:w="200" w:type="dxa"/>
            <w:vAlign w:val="bottom"/>
          </w:tcPr>
          <w:p>
            <w:pPr>
              <w:spacing w:after="0"/>
              <w:rPr>
                <w:sz w:val="17"/>
                <w:szCs w:val="17"/>
                <w:color w:val="auto"/>
              </w:rPr>
            </w:pPr>
          </w:p>
        </w:tc>
        <w:tc>
          <w:tcPr>
            <w:tcW w:w="1060" w:type="dxa"/>
            <w:vAlign w:val="bottom"/>
            <w:tcBorders>
              <w:top w:val="single" w:sz="8" w:color="8797B7"/>
              <w:bottom w:val="single" w:sz="8" w:color="8797B7"/>
            </w:tcBorders>
          </w:tcPr>
          <w:p>
            <w:pPr>
              <w:jc w:val="right"/>
              <w:ind w:right="53"/>
              <w:spacing w:after="0" w:line="196" w:lineRule="exact"/>
              <w:rPr>
                <w:sz w:val="20"/>
                <w:szCs w:val="20"/>
                <w:color w:val="auto"/>
              </w:rPr>
            </w:pPr>
            <w:r>
              <w:rPr>
                <w:rFonts w:ascii="Arial" w:cs="Arial" w:eastAsia="Arial" w:hAnsi="Arial"/>
                <w:sz w:val="18"/>
                <w:szCs w:val="18"/>
                <w:color w:val="auto"/>
              </w:rPr>
              <w:t>747,788</w:t>
            </w:r>
          </w:p>
        </w:tc>
      </w:tr>
      <w:tr>
        <w:trPr>
          <w:trHeight w:val="196"/>
        </w:trPr>
        <w:tc>
          <w:tcPr>
            <w:tcW w:w="8840" w:type="dxa"/>
            <w:vAlign w:val="bottom"/>
            <w:tcBorders>
              <w:bottom w:val="single" w:sz="8" w:color="8797B7"/>
            </w:tcBorders>
          </w:tcPr>
          <w:p>
            <w:pPr>
              <w:spacing w:after="0" w:line="196" w:lineRule="exact"/>
              <w:rPr>
                <w:sz w:val="20"/>
                <w:szCs w:val="20"/>
                <w:color w:val="auto"/>
              </w:rPr>
            </w:pPr>
            <w:r>
              <w:rPr>
                <w:rFonts w:ascii="Arial" w:cs="Arial" w:eastAsia="Arial" w:hAnsi="Arial"/>
                <w:sz w:val="18"/>
                <w:szCs w:val="18"/>
                <w:color w:val="auto"/>
              </w:rPr>
              <w:t>Lease termination income</w:t>
            </w:r>
          </w:p>
        </w:tc>
        <w:tc>
          <w:tcPr>
            <w:tcW w:w="220" w:type="dxa"/>
            <w:vAlign w:val="bottom"/>
          </w:tcPr>
          <w:p>
            <w:pPr>
              <w:spacing w:after="0"/>
              <w:rPr>
                <w:sz w:val="17"/>
                <w:szCs w:val="17"/>
                <w:color w:val="auto"/>
              </w:rPr>
            </w:pPr>
          </w:p>
        </w:tc>
        <w:tc>
          <w:tcPr>
            <w:tcW w:w="92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(10,761)</w:t>
            </w:r>
          </w:p>
        </w:tc>
        <w:tc>
          <w:tcPr>
            <w:tcW w:w="200" w:type="dxa"/>
            <w:vAlign w:val="bottom"/>
          </w:tcPr>
          <w:p>
            <w:pPr>
              <w:spacing w:after="0"/>
              <w:rPr>
                <w:sz w:val="17"/>
                <w:szCs w:val="17"/>
                <w:color w:val="auto"/>
              </w:rPr>
            </w:pPr>
          </w:p>
        </w:tc>
        <w:tc>
          <w:tcPr>
            <w:tcW w:w="1060" w:type="dxa"/>
            <w:vAlign w:val="bottom"/>
            <w:tcBorders>
              <w:bottom w:val="single" w:sz="8" w:color="8797B7"/>
            </w:tcBorders>
          </w:tcPr>
          <w:p>
            <w:pPr>
              <w:jc w:val="right"/>
              <w:spacing w:after="0" w:line="196" w:lineRule="exact"/>
              <w:rPr>
                <w:sz w:val="20"/>
                <w:szCs w:val="20"/>
                <w:color w:val="auto"/>
              </w:rPr>
            </w:pPr>
            <w:r>
              <w:rPr>
                <w:rFonts w:ascii="Arial" w:cs="Arial" w:eastAsia="Arial" w:hAnsi="Arial"/>
                <w:sz w:val="18"/>
                <w:szCs w:val="18"/>
                <w:color w:val="auto"/>
              </w:rPr>
              <w:t>(7,008)</w:t>
            </w:r>
          </w:p>
        </w:tc>
      </w:tr>
      <w:tr>
        <w:trPr>
          <w:trHeight w:val="196"/>
        </w:trPr>
        <w:tc>
          <w:tcPr>
            <w:tcW w:w="9060" w:type="dxa"/>
            <w:vAlign w:val="bottom"/>
            <w:gridSpan w:val="2"/>
          </w:tcPr>
          <w:p>
            <w:pPr>
              <w:spacing w:after="0" w:line="196" w:lineRule="exact"/>
              <w:rPr>
                <w:sz w:val="20"/>
                <w:szCs w:val="20"/>
                <w:color w:val="auto"/>
              </w:rPr>
            </w:pPr>
            <w:r>
              <w:rPr>
                <w:rFonts w:ascii="Arial" w:cs="Arial" w:eastAsia="Arial" w:hAnsi="Arial"/>
                <w:sz w:val="18"/>
                <w:szCs w:val="18"/>
                <w:color w:val="auto"/>
              </w:rPr>
              <w:t>Free rent at 1515 Broadway</w:t>
            </w:r>
          </w:p>
        </w:tc>
        <w:tc>
          <w:tcPr>
            <w:tcW w:w="920" w:type="dxa"/>
            <w:vAlign w:val="bottom"/>
          </w:tcPr>
          <w:p>
            <w:pPr>
              <w:jc w:val="right"/>
              <w:ind w:right="33"/>
              <w:spacing w:after="0" w:line="196" w:lineRule="exact"/>
              <w:rPr>
                <w:sz w:val="20"/>
                <w:szCs w:val="20"/>
                <w:color w:val="auto"/>
              </w:rPr>
            </w:pPr>
            <w:r>
              <w:rPr>
                <w:rFonts w:ascii="Arial" w:cs="Arial" w:eastAsia="Arial" w:hAnsi="Arial"/>
                <w:sz w:val="18"/>
                <w:szCs w:val="18"/>
                <w:color w:val="auto"/>
              </w:rPr>
              <w:t>36,809</w:t>
            </w:r>
          </w:p>
        </w:tc>
        <w:tc>
          <w:tcPr>
            <w:tcW w:w="200" w:type="dxa"/>
            <w:vAlign w:val="bottom"/>
          </w:tcPr>
          <w:p>
            <w:pPr>
              <w:spacing w:after="0"/>
              <w:rPr>
                <w:sz w:val="17"/>
                <w:szCs w:val="17"/>
                <w:color w:val="auto"/>
              </w:rPr>
            </w:pPr>
          </w:p>
        </w:tc>
        <w:tc>
          <w:tcPr>
            <w:tcW w:w="1060" w:type="dxa"/>
            <w:vAlign w:val="bottom"/>
          </w:tcPr>
          <w:p>
            <w:pPr>
              <w:jc w:val="right"/>
              <w:ind w:right="53"/>
              <w:spacing w:after="0" w:line="196" w:lineRule="exact"/>
              <w:rPr>
                <w:sz w:val="20"/>
                <w:szCs w:val="20"/>
                <w:color w:val="auto"/>
              </w:rPr>
            </w:pPr>
            <w:r>
              <w:rPr>
                <w:rFonts w:ascii="Arial" w:cs="Arial" w:eastAsia="Arial" w:hAnsi="Arial"/>
                <w:sz w:val="18"/>
                <w:szCs w:val="18"/>
                <w:color w:val="auto"/>
              </w:rPr>
              <w:t>—</w:t>
            </w:r>
          </w:p>
        </w:tc>
      </w:tr>
      <w:tr>
        <w:trPr>
          <w:trHeight w:val="203"/>
        </w:trPr>
        <w:tc>
          <w:tcPr>
            <w:tcW w:w="8840" w:type="dxa"/>
            <w:vAlign w:val="bottom"/>
            <w:tcBorders>
              <w:top w:val="single" w:sz="8" w:color="8797B7"/>
              <w:bottom w:val="single" w:sz="8" w:color="355889"/>
            </w:tcBorders>
          </w:tcPr>
          <w:p>
            <w:pPr>
              <w:spacing w:after="0" w:line="196" w:lineRule="exact"/>
              <w:rPr>
                <w:sz w:val="20"/>
                <w:szCs w:val="20"/>
                <w:color w:val="auto"/>
              </w:rPr>
            </w:pPr>
            <w:r>
              <w:rPr>
                <w:rFonts w:ascii="Arial" w:cs="Arial" w:eastAsia="Arial" w:hAnsi="Arial"/>
                <w:sz w:val="18"/>
                <w:szCs w:val="18"/>
                <w:b w:val="1"/>
                <w:bCs w:val="1"/>
                <w:color w:val="auto"/>
              </w:rPr>
              <w:t>Same-store cash NOI excluding lease termination income and free rent at 1515 Broadway</w:t>
            </w:r>
          </w:p>
        </w:tc>
        <w:tc>
          <w:tcPr>
            <w:tcW w:w="220" w:type="dxa"/>
            <w:vAlign w:val="bottom"/>
          </w:tcPr>
          <w:p>
            <w:pPr>
              <w:spacing w:after="0"/>
              <w:rPr>
                <w:sz w:val="17"/>
                <w:szCs w:val="17"/>
                <w:color w:val="auto"/>
              </w:rPr>
            </w:pPr>
          </w:p>
        </w:tc>
        <w:tc>
          <w:tcPr>
            <w:tcW w:w="920" w:type="dxa"/>
            <w:vAlign w:val="bottom"/>
            <w:tcBorders>
              <w:top w:val="single" w:sz="8" w:color="8797B7"/>
              <w:bottom w:val="single" w:sz="8" w:color="355889"/>
            </w:tcBorders>
          </w:tcPr>
          <w:p>
            <w:pPr>
              <w:jc w:val="right"/>
              <w:ind w:right="33"/>
              <w:spacing w:after="0" w:line="196" w:lineRule="exact"/>
              <w:rPr>
                <w:sz w:val="20"/>
                <w:szCs w:val="20"/>
                <w:color w:val="auto"/>
              </w:rPr>
            </w:pPr>
            <w:r>
              <w:rPr>
                <w:rFonts w:ascii="Arial" w:cs="Arial" w:eastAsia="Arial" w:hAnsi="Arial"/>
                <w:sz w:val="18"/>
                <w:szCs w:val="18"/>
                <w:b w:val="1"/>
                <w:bCs w:val="1"/>
                <w:color w:val="auto"/>
                <w:w w:val="97"/>
              </w:rPr>
              <w:t>$ 760,057</w:t>
            </w:r>
          </w:p>
        </w:tc>
        <w:tc>
          <w:tcPr>
            <w:tcW w:w="200" w:type="dxa"/>
            <w:vAlign w:val="bottom"/>
          </w:tcPr>
          <w:p>
            <w:pPr>
              <w:spacing w:after="0"/>
              <w:rPr>
                <w:sz w:val="17"/>
                <w:szCs w:val="17"/>
                <w:color w:val="auto"/>
              </w:rPr>
            </w:pPr>
          </w:p>
        </w:tc>
        <w:tc>
          <w:tcPr>
            <w:tcW w:w="1060" w:type="dxa"/>
            <w:vAlign w:val="bottom"/>
            <w:tcBorders>
              <w:top w:val="single" w:sz="8" w:color="8797B7"/>
              <w:bottom w:val="single" w:sz="8" w:color="355889"/>
            </w:tcBorders>
          </w:tcPr>
          <w:p>
            <w:pPr>
              <w:jc w:val="right"/>
              <w:ind w:right="53"/>
              <w:spacing w:after="0" w:line="196" w:lineRule="exact"/>
              <w:rPr>
                <w:sz w:val="20"/>
                <w:szCs w:val="20"/>
                <w:color w:val="auto"/>
              </w:rPr>
            </w:pPr>
            <w:r>
              <w:rPr>
                <w:rFonts w:ascii="Arial" w:cs="Arial" w:eastAsia="Arial" w:hAnsi="Arial"/>
                <w:sz w:val="18"/>
                <w:szCs w:val="18"/>
                <w:color w:val="auto"/>
              </w:rPr>
              <w:t>740,780</w:t>
            </w:r>
          </w:p>
        </w:tc>
      </w:tr>
    </w:tbl>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2020 Proxy Statement </w:t>
      </w:r>
      <w:r>
        <w:rPr>
          <w:rFonts w:ascii="Arial" w:cs="Arial" w:eastAsia="Arial" w:hAnsi="Arial"/>
          <w:sz w:val="18"/>
          <w:szCs w:val="18"/>
          <w:color w:val="355889"/>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APPENDIX A: INFORMATION REGARDING CERTAIN FINANCIAL MEASURES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Funds from Operations and Normalized Funds from Operations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Funds from Operations, or FFO, is a widely recognized non-GAAP financial measure of REIT performance. We compute FFO in accordance with standards established by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and as subsequently amended in December 2018, defines FFO as net income (loss) (computed in accordance with GAAP), excluding gains (or losses) from sales of properties, and real estate related impairment charges, plus real estate related depreciation and amortization and after adjustments for unconsolidated partnerships and joint ventures.</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present FFO because we consider it an important supplemental measure of our operating performance and believe that it is frequently used by securities analysts, investors and other interested parties in the evaluation of REITs, particularly those that own and operate commercial office properties. We also use FFO as one of several criteria to determine performance-based bonuses for members of our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real estate related impairment charges,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spacing w:after="0" w:line="19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For certain periods, we also present Normalized FFO, defined as FFO excluding the impact of discrete transactions (set forth in the table above) that increased FFO in 2016 and decreased FFO in 2018, which we present to enhance the comparability of our FFO across periods.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Same-Store Cash Net Operating Income</w:t>
      </w:r>
    </w:p>
    <w:p>
      <w:pPr>
        <w:spacing w:after="0" w:line="21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Net Operating Income, or NOI, is a non-GAAP financial measure that is calculated as operating income before transaction related costs, gains/losses on early extinguishment of debt, marketing general and administrative expenses and non-real estate revenue. Cash NOI is calculated by subtracting free rent (net of amortization), straight-line rent, and amortization of acquired above and below-market leases, net from NOI, while adding ground lease straight-line adjustment and the allowance for straight-line tenant credit loss.</w:t>
      </w:r>
    </w:p>
    <w:p>
      <w:pPr>
        <w:spacing w:after="0" w:line="208"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We present NOI and Cash NOI because we believe that these measures, when taken together with the corresponding GAAP financial measures and our reconciliations, provide investors with meaningful information regarding the operating performance of our properties. When operating performance is compared across multiple periods, the investor is provided with information not immediately apparent from net income that is determined in accordance with GAAP. NOI and Cash NOI provide information on trends in the revenue generated and expenses incurred in operating our properties, unaffected by the cost of leverage, straight-line adjustments, depreciation, amortization, and other net income components. We use these metrics internally as performance measures. None of these measures is an alternative to net income (determined in accordance with GAAP) and same-store performance should not be considered an alternative to GAAP net income performance.</w:t>
      </w:r>
    </w:p>
    <w:p>
      <w:pPr>
        <w:spacing w:after="0" w:line="19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Same-Store refers to properties owned in the same manner during both the current and prior year, excluding development properties that are not stabilized for both the current and prior year.</w:t>
      </w:r>
    </w:p>
    <w:p>
      <w:pPr>
        <w:spacing w:after="0" w:line="209"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SLG Share of Unconsolidated JV is computed by multiplying the referenced line item by the Company's percentage ownership in the respective joint ventures and may not accurately depict the legal and economic implications of holding a non-controlling interest in the joint ventures.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355889"/>
        </w:rPr>
        <w:t xml:space="preserve">A-3 </w:t>
      </w:r>
      <w:r>
        <w:rPr>
          <w:rFonts w:ascii="Arial" w:cs="Arial" w:eastAsia="Arial" w:hAnsi="Arial"/>
          <w:sz w:val="18"/>
          <w:szCs w:val="18"/>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52"/>
        </w:trPr>
        <w:tc>
          <w:tcPr>
            <w:tcW w:w="3540" w:type="dxa"/>
            <w:vAlign w:val="bottom"/>
          </w:tcPr>
          <w:p>
            <w:pPr>
              <w:spacing w:after="0"/>
              <w:rPr>
                <w:sz w:val="20"/>
                <w:szCs w:val="20"/>
                <w:color w:val="auto"/>
              </w:rPr>
            </w:pPr>
            <w:r>
              <w:rPr>
                <w:rFonts w:ascii="Arial" w:cs="Arial" w:eastAsia="Arial" w:hAnsi="Arial"/>
                <w:sz w:val="13"/>
                <w:szCs w:val="13"/>
                <w:i w:val="1"/>
                <w:iCs w:val="1"/>
                <w:color w:val="auto"/>
              </w:rPr>
              <w:t>SL GREEN REALTY CORP.</w:t>
            </w:r>
          </w:p>
        </w:tc>
        <w:tc>
          <w:tcPr>
            <w:tcW w:w="7240" w:type="dxa"/>
            <w:vAlign w:val="bottom"/>
            <w:gridSpan w:val="3"/>
          </w:tcPr>
          <w:p>
            <w:pPr>
              <w:ind w:left="1840"/>
              <w:spacing w:after="0"/>
              <w:rPr>
                <w:sz w:val="20"/>
                <w:szCs w:val="20"/>
                <w:color w:val="auto"/>
              </w:rPr>
            </w:pPr>
            <w:r>
              <w:rPr>
                <w:rFonts w:ascii="Arial" w:cs="Arial" w:eastAsia="Arial" w:hAnsi="Arial"/>
                <w:sz w:val="13"/>
                <w:szCs w:val="13"/>
                <w:b w:val="1"/>
                <w:bCs w:val="1"/>
                <w:color w:val="auto"/>
              </w:rPr>
              <w:t>AUTHORIZE YOUR PROXY BY INTERNET - www.proxyvote.com</w:t>
            </w:r>
          </w:p>
        </w:tc>
      </w:tr>
      <w:tr>
        <w:trPr>
          <w:trHeight w:val="127"/>
        </w:trPr>
        <w:tc>
          <w:tcPr>
            <w:tcW w:w="3540" w:type="dxa"/>
            <w:vAlign w:val="bottom"/>
          </w:tcPr>
          <w:p>
            <w:pPr>
              <w:spacing w:after="0" w:line="128" w:lineRule="exact"/>
              <w:rPr>
                <w:sz w:val="20"/>
                <w:szCs w:val="20"/>
                <w:color w:val="auto"/>
              </w:rPr>
            </w:pPr>
            <w:r>
              <w:rPr>
                <w:rFonts w:ascii="Arial" w:cs="Arial" w:eastAsia="Arial" w:hAnsi="Arial"/>
                <w:sz w:val="13"/>
                <w:szCs w:val="13"/>
                <w:i w:val="1"/>
                <w:iCs w:val="1"/>
                <w:color w:val="auto"/>
              </w:rPr>
              <w:t>420 LEXINGTON AVE.</w:t>
            </w:r>
          </w:p>
        </w:tc>
        <w:tc>
          <w:tcPr>
            <w:tcW w:w="4640" w:type="dxa"/>
            <w:vAlign w:val="bottom"/>
          </w:tcPr>
          <w:p>
            <w:pPr>
              <w:ind w:left="1840"/>
              <w:spacing w:after="0" w:line="128" w:lineRule="exact"/>
              <w:rPr>
                <w:sz w:val="20"/>
                <w:szCs w:val="20"/>
                <w:color w:val="auto"/>
              </w:rPr>
            </w:pPr>
            <w:r>
              <w:rPr>
                <w:rFonts w:ascii="Arial" w:cs="Arial" w:eastAsia="Arial" w:hAnsi="Arial"/>
                <w:sz w:val="13"/>
                <w:szCs w:val="13"/>
                <w:color w:val="auto"/>
              </w:rPr>
              <w:t>Use the Internet to transmit your voting</w:t>
            </w:r>
          </w:p>
        </w:tc>
        <w:tc>
          <w:tcPr>
            <w:tcW w:w="1300" w:type="dxa"/>
            <w:vAlign w:val="bottom"/>
            <w:tcBorders>
              <w:top w:val="single" w:sz="8" w:color="auto"/>
            </w:tcBorders>
          </w:tcPr>
          <w:p>
            <w:pPr>
              <w:spacing w:after="0" w:line="128" w:lineRule="exact"/>
              <w:rPr>
                <w:sz w:val="20"/>
                <w:szCs w:val="20"/>
                <w:color w:val="auto"/>
              </w:rPr>
            </w:pPr>
            <w:r>
              <w:rPr>
                <w:rFonts w:ascii="Arial" w:cs="Arial" w:eastAsia="Arial" w:hAnsi="Arial"/>
                <w:sz w:val="13"/>
                <w:szCs w:val="13"/>
                <w:color w:val="auto"/>
              </w:rPr>
              <w:t>instructions and for</w:t>
            </w:r>
          </w:p>
        </w:tc>
        <w:tc>
          <w:tcPr>
            <w:tcW w:w="1300" w:type="dxa"/>
            <w:vAlign w:val="bottom"/>
          </w:tcPr>
          <w:p>
            <w:pPr>
              <w:spacing w:after="0" w:line="128" w:lineRule="exact"/>
              <w:rPr>
                <w:sz w:val="20"/>
                <w:szCs w:val="20"/>
                <w:color w:val="auto"/>
              </w:rPr>
            </w:pPr>
            <w:r>
              <w:rPr>
                <w:rFonts w:ascii="Arial" w:cs="Arial" w:eastAsia="Arial" w:hAnsi="Arial"/>
                <w:sz w:val="13"/>
                <w:szCs w:val="13"/>
                <w:color w:val="auto"/>
              </w:rPr>
              <w:t>electronic delivery of</w:t>
            </w:r>
          </w:p>
        </w:tc>
      </w:tr>
      <w:tr>
        <w:trPr>
          <w:trHeight w:val="163"/>
        </w:trPr>
        <w:tc>
          <w:tcPr>
            <w:tcW w:w="3540" w:type="dxa"/>
            <w:vAlign w:val="bottom"/>
          </w:tcPr>
          <w:p>
            <w:pPr>
              <w:spacing w:after="0"/>
              <w:rPr>
                <w:sz w:val="20"/>
                <w:szCs w:val="20"/>
                <w:color w:val="auto"/>
              </w:rPr>
            </w:pPr>
            <w:r>
              <w:rPr>
                <w:rFonts w:ascii="Arial" w:cs="Arial" w:eastAsia="Arial" w:hAnsi="Arial"/>
                <w:sz w:val="13"/>
                <w:szCs w:val="13"/>
                <w:i w:val="1"/>
                <w:iCs w:val="1"/>
                <w:color w:val="auto"/>
              </w:rPr>
              <w:t>NEW YORK, NY 10170</w:t>
            </w:r>
          </w:p>
        </w:tc>
        <w:tc>
          <w:tcPr>
            <w:tcW w:w="7240" w:type="dxa"/>
            <w:vAlign w:val="bottom"/>
            <w:gridSpan w:val="3"/>
          </w:tcPr>
          <w:p>
            <w:pPr>
              <w:ind w:left="1840"/>
              <w:spacing w:after="0"/>
              <w:rPr>
                <w:sz w:val="20"/>
                <w:szCs w:val="20"/>
                <w:color w:val="auto"/>
              </w:rPr>
            </w:pPr>
            <w:r>
              <w:rPr>
                <w:rFonts w:ascii="Arial" w:cs="Arial" w:eastAsia="Arial" w:hAnsi="Arial"/>
                <w:sz w:val="13"/>
                <w:szCs w:val="13"/>
                <w:color w:val="auto"/>
              </w:rPr>
              <w:t>information up until 11:59 P.M. Eastern Time the day before the cut-off date or meeting</w:t>
            </w:r>
          </w:p>
        </w:tc>
      </w:tr>
      <w:tr>
        <w:trPr>
          <w:trHeight w:val="149"/>
        </w:trPr>
        <w:tc>
          <w:tcPr>
            <w:tcW w:w="3540" w:type="dxa"/>
            <w:vAlign w:val="bottom"/>
          </w:tcPr>
          <w:p>
            <w:pPr>
              <w:spacing w:after="0"/>
              <w:rPr>
                <w:sz w:val="12"/>
                <w:szCs w:val="12"/>
                <w:color w:val="auto"/>
              </w:rPr>
            </w:pPr>
          </w:p>
        </w:tc>
        <w:tc>
          <w:tcPr>
            <w:tcW w:w="7240" w:type="dxa"/>
            <w:vAlign w:val="bottom"/>
            <w:gridSpan w:val="3"/>
          </w:tcPr>
          <w:p>
            <w:pPr>
              <w:ind w:left="1840"/>
              <w:spacing w:after="0"/>
              <w:rPr>
                <w:sz w:val="20"/>
                <w:szCs w:val="20"/>
                <w:color w:val="auto"/>
              </w:rPr>
            </w:pPr>
            <w:r>
              <w:rPr>
                <w:rFonts w:ascii="Arial" w:cs="Arial" w:eastAsia="Arial" w:hAnsi="Arial"/>
                <w:sz w:val="13"/>
                <w:szCs w:val="13"/>
                <w:color w:val="auto"/>
              </w:rPr>
              <w:t>date. Have your proxy card in hand when you access the web site and follow the</w:t>
            </w:r>
          </w:p>
        </w:tc>
      </w:tr>
      <w:tr>
        <w:trPr>
          <w:trHeight w:val="162"/>
        </w:trPr>
        <w:tc>
          <w:tcPr>
            <w:tcW w:w="3540" w:type="dxa"/>
            <w:vAlign w:val="bottom"/>
          </w:tcPr>
          <w:p>
            <w:pPr>
              <w:spacing w:after="0"/>
              <w:rPr>
                <w:sz w:val="14"/>
                <w:szCs w:val="14"/>
                <w:color w:val="auto"/>
              </w:rPr>
            </w:pPr>
          </w:p>
        </w:tc>
        <w:tc>
          <w:tcPr>
            <w:tcW w:w="7240" w:type="dxa"/>
            <w:vAlign w:val="bottom"/>
            <w:gridSpan w:val="3"/>
          </w:tcPr>
          <w:p>
            <w:pPr>
              <w:ind w:left="1840"/>
              <w:spacing w:after="0"/>
              <w:rPr>
                <w:sz w:val="20"/>
                <w:szCs w:val="20"/>
                <w:color w:val="auto"/>
              </w:rPr>
            </w:pPr>
            <w:r>
              <w:rPr>
                <w:rFonts w:ascii="Arial" w:cs="Arial" w:eastAsia="Arial" w:hAnsi="Arial"/>
                <w:sz w:val="13"/>
                <w:szCs w:val="13"/>
                <w:color w:val="auto"/>
              </w:rPr>
              <w:t>instructions to obtain your records and to create an electronic voting instruction form.</w:t>
            </w:r>
          </w:p>
        </w:tc>
      </w:tr>
    </w:tbl>
    <w:p>
      <w:pPr>
        <w:spacing w:after="0" w:line="186" w:lineRule="exact"/>
        <w:rPr>
          <w:sz w:val="20"/>
          <w:szCs w:val="20"/>
          <w:color w:val="auto"/>
        </w:rPr>
      </w:pPr>
    </w:p>
    <w:p>
      <w:pPr>
        <w:ind w:left="5840"/>
        <w:spacing w:after="0"/>
        <w:rPr>
          <w:sz w:val="20"/>
          <w:szCs w:val="20"/>
          <w:color w:val="auto"/>
        </w:rPr>
      </w:pPr>
      <w:r>
        <w:rPr>
          <w:rFonts w:ascii="Arial" w:cs="Arial" w:eastAsia="Arial" w:hAnsi="Arial"/>
          <w:sz w:val="13"/>
          <w:szCs w:val="13"/>
          <w:b w:val="1"/>
          <w:bCs w:val="1"/>
          <w:color w:val="auto"/>
        </w:rPr>
        <w:t>AUTHORIZE YOUR PROXY BY PHONE - 1-800-690-6903</w:t>
      </w:r>
    </w:p>
    <w:p>
      <w:pPr>
        <w:spacing w:after="0" w:line="14"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Use any touch-tone telephone to transmit your voting instructions up until 11:59 P.M.</w:t>
      </w:r>
    </w:p>
    <w:p>
      <w:pPr>
        <w:ind w:left="5840"/>
        <w:spacing w:after="0"/>
        <w:rPr>
          <w:sz w:val="20"/>
          <w:szCs w:val="20"/>
          <w:color w:val="auto"/>
        </w:rPr>
      </w:pPr>
      <w:r>
        <w:rPr>
          <w:rFonts w:ascii="Arial" w:cs="Arial" w:eastAsia="Arial" w:hAnsi="Arial"/>
          <w:sz w:val="13"/>
          <w:szCs w:val="13"/>
          <w:color w:val="auto"/>
        </w:rPr>
        <w:t>Eastern Time the day before the cut-off date or meeting date. Have your proxy card in</w:t>
      </w:r>
    </w:p>
    <w:p>
      <w:pPr>
        <w:ind w:left="5840"/>
        <w:spacing w:after="0"/>
        <w:rPr>
          <w:sz w:val="20"/>
          <w:szCs w:val="20"/>
          <w:color w:val="auto"/>
        </w:rPr>
      </w:pPr>
      <w:r>
        <w:rPr>
          <w:rFonts w:ascii="Arial" w:cs="Arial" w:eastAsia="Arial" w:hAnsi="Arial"/>
          <w:sz w:val="13"/>
          <w:szCs w:val="13"/>
          <w:color w:val="auto"/>
        </w:rPr>
        <w:t>hand when you call and then follow the instructions.</w:t>
      </w:r>
    </w:p>
    <w:p>
      <w:pPr>
        <w:spacing w:after="0" w:line="199" w:lineRule="exact"/>
        <w:rPr>
          <w:sz w:val="20"/>
          <w:szCs w:val="20"/>
          <w:color w:val="auto"/>
        </w:rPr>
      </w:pPr>
    </w:p>
    <w:p>
      <w:pPr>
        <w:ind w:left="5840"/>
        <w:spacing w:after="0"/>
        <w:rPr>
          <w:sz w:val="20"/>
          <w:szCs w:val="20"/>
          <w:color w:val="auto"/>
        </w:rPr>
      </w:pPr>
      <w:r>
        <w:rPr>
          <w:rFonts w:ascii="Arial" w:cs="Arial" w:eastAsia="Arial" w:hAnsi="Arial"/>
          <w:sz w:val="13"/>
          <w:szCs w:val="13"/>
          <w:b w:val="1"/>
          <w:bCs w:val="1"/>
          <w:color w:val="auto"/>
        </w:rPr>
        <w:t>AUTHORIZE YOUR PROXY BY MAIL</w:t>
      </w:r>
    </w:p>
    <w:p>
      <w:pPr>
        <w:spacing w:after="0" w:line="14"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Mark, sign and date your proxy card and return it in the postage-paid envelope we have</w:t>
      </w:r>
    </w:p>
    <w:p>
      <w:pPr>
        <w:ind w:left="5840"/>
        <w:spacing w:after="0"/>
        <w:rPr>
          <w:sz w:val="20"/>
          <w:szCs w:val="20"/>
          <w:color w:val="auto"/>
        </w:rPr>
      </w:pPr>
      <w:r>
        <w:rPr>
          <w:rFonts w:ascii="Arial" w:cs="Arial" w:eastAsia="Arial" w:hAnsi="Arial"/>
          <w:sz w:val="13"/>
          <w:szCs w:val="13"/>
          <w:color w:val="auto"/>
        </w:rPr>
        <w:t>provided or return it to Vote Processing, c/o Broadridge, 51 Mercedes Way, Edgewood,</w:t>
      </w:r>
    </w:p>
    <w:p>
      <w:pPr>
        <w:ind w:left="5840"/>
        <w:spacing w:after="0"/>
        <w:rPr>
          <w:sz w:val="20"/>
          <w:szCs w:val="20"/>
          <w:color w:val="auto"/>
        </w:rPr>
      </w:pPr>
      <w:r>
        <w:rPr>
          <w:rFonts w:ascii="Arial" w:cs="Arial" w:eastAsia="Arial" w:hAnsi="Arial"/>
          <w:sz w:val="13"/>
          <w:szCs w:val="13"/>
          <w:color w:val="auto"/>
        </w:rPr>
        <w:t>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gridSpan w:val="2"/>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100" w:type="dxa"/>
            <w:vAlign w:val="bottom"/>
          </w:tcPr>
          <w:p>
            <w:pPr>
              <w:ind w:left="6860"/>
              <w:spacing w:after="0"/>
              <w:rPr>
                <w:sz w:val="20"/>
                <w:szCs w:val="20"/>
                <w:color w:val="auto"/>
              </w:rPr>
            </w:pPr>
            <w:r>
              <w:rPr>
                <w:rFonts w:ascii="Arial" w:cs="Arial" w:eastAsia="Arial" w:hAnsi="Arial"/>
                <w:sz w:val="13"/>
                <w:szCs w:val="13"/>
                <w:color w:val="auto"/>
              </w:rPr>
              <w:t>D03608-P35164</w:t>
            </w:r>
          </w:p>
        </w:tc>
        <w:tc>
          <w:tcPr>
            <w:tcW w:w="312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KEEP THIS PORTION FOR YOUR RECORDS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00" w:type="dxa"/>
            <w:vAlign w:val="bottom"/>
            <w:vMerge w:val="restart"/>
          </w:tcPr>
          <w:p>
            <w:pPr>
              <w:ind w:left="356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3120" w:type="dxa"/>
            <w:vAlign w:val="bottom"/>
            <w:gridSpan w:val="2"/>
          </w:tcPr>
          <w:p>
            <w:pPr>
              <w:jc w:val="right"/>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100" w:type="dxa"/>
            <w:vAlign w:val="bottom"/>
            <w:vMerge w:val="continue"/>
          </w:tcPr>
          <w:p>
            <w:pPr>
              <w:spacing w:after="0"/>
              <w:rPr>
                <w:sz w:val="12"/>
                <w:szCs w:val="12"/>
                <w:color w:val="auto"/>
              </w:rPr>
            </w:pPr>
          </w:p>
        </w:tc>
        <w:tc>
          <w:tcPr>
            <w:tcW w:w="3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10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8100" w:type="dxa"/>
            <w:vAlign w:val="bottom"/>
          </w:tcPr>
          <w:p>
            <w:pPr>
              <w:ind w:left="140"/>
              <w:spacing w:after="0"/>
              <w:rPr>
                <w:sz w:val="20"/>
                <w:szCs w:val="20"/>
                <w:color w:val="auto"/>
              </w:rPr>
            </w:pPr>
            <w:r>
              <w:rPr>
                <w:rFonts w:ascii="Arial" w:cs="Arial" w:eastAsia="Arial" w:hAnsi="Arial"/>
                <w:sz w:val="13"/>
                <w:szCs w:val="13"/>
                <w:b w:val="1"/>
                <w:bCs w:val="1"/>
                <w:color w:val="auto"/>
              </w:rPr>
              <w:t>SL GREEN REALTY CORP.</w:t>
            </w: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25970" cy="45453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25970" cy="45453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78" w:lineRule="exact"/>
        <w:rPr>
          <w:sz w:val="20"/>
          <w:szCs w:val="20"/>
          <w:color w:val="auto"/>
        </w:rPr>
      </w:pPr>
    </w:p>
    <w:p>
      <w:pPr>
        <w:ind w:left="340" w:right="1640"/>
        <w:spacing w:after="0" w:line="272" w:lineRule="auto"/>
        <w:rPr>
          <w:sz w:val="20"/>
          <w:szCs w:val="20"/>
          <w:color w:val="auto"/>
        </w:rPr>
      </w:pPr>
      <w:r>
        <w:rPr>
          <w:rFonts w:ascii="Arial" w:cs="Arial" w:eastAsia="Arial" w:hAnsi="Arial"/>
          <w:sz w:val="13"/>
          <w:szCs w:val="13"/>
          <w:b w:val="1"/>
          <w:bCs w:val="1"/>
          <w:color w:val="auto"/>
        </w:rPr>
        <w:t>The Board of Directors recommends you vote FOR the following:</w:t>
      </w:r>
    </w:p>
    <w:p>
      <w:pPr>
        <w:spacing w:after="0" w:line="1"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3"/>
          <w:szCs w:val="13"/>
          <w:color w:val="auto"/>
        </w:rPr>
        <w:t>1.</w:t>
        <w:tab/>
        <w:t>Election of Directors</w:t>
      </w:r>
    </w:p>
    <w:p>
      <w:pPr>
        <w:spacing w:after="0" w:line="51" w:lineRule="exact"/>
        <w:rPr>
          <w:sz w:val="20"/>
          <w:szCs w:val="20"/>
          <w:color w:val="auto"/>
        </w:rPr>
      </w:pPr>
    </w:p>
    <w:tbl>
      <w:tblPr>
        <w:tblLayout w:type="fixed"/>
        <w:tblInd w:w="340" w:type="dxa"/>
        <w:tblCellMar>
          <w:top w:w="0" w:type="dxa"/>
          <w:left w:w="0" w:type="dxa"/>
          <w:bottom w:w="0" w:type="dxa"/>
          <w:right w:w="0" w:type="dxa"/>
        </w:tblCellMar>
      </w:tblPr>
      <w:tr>
        <w:trPr>
          <w:trHeight w:val="178"/>
        </w:trPr>
        <w:tc>
          <w:tcPr>
            <w:tcW w:w="3440" w:type="dxa"/>
            <w:vAlign w:val="bottom"/>
            <w:gridSpan w:val="2"/>
          </w:tcPr>
          <w:p>
            <w:pPr>
              <w:ind w:left="280"/>
              <w:spacing w:after="0"/>
              <w:rPr>
                <w:sz w:val="20"/>
                <w:szCs w:val="20"/>
                <w:color w:val="auto"/>
              </w:rPr>
            </w:pPr>
            <w:r>
              <w:rPr>
                <w:rFonts w:ascii="Arial" w:cs="Arial" w:eastAsia="Arial" w:hAnsi="Arial"/>
                <w:sz w:val="13"/>
                <w:szCs w:val="13"/>
                <w:b w:val="1"/>
                <w:bCs w:val="1"/>
                <w:color w:val="auto"/>
              </w:rPr>
              <w:t>Nominees:</w:t>
            </w: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r>
      <w:tr>
        <w:trPr>
          <w:trHeight w:val="356"/>
        </w:trPr>
        <w:tc>
          <w:tcPr>
            <w:tcW w:w="560" w:type="dxa"/>
            <w:vAlign w:val="bottom"/>
          </w:tcPr>
          <w:p>
            <w:pPr>
              <w:ind w:left="280"/>
              <w:spacing w:after="0"/>
              <w:rPr>
                <w:sz w:val="20"/>
                <w:szCs w:val="20"/>
                <w:color w:val="auto"/>
              </w:rPr>
            </w:pPr>
            <w:r>
              <w:rPr>
                <w:rFonts w:ascii="Arial" w:cs="Arial" w:eastAsia="Arial" w:hAnsi="Arial"/>
                <w:sz w:val="13"/>
                <w:szCs w:val="13"/>
                <w:color w:val="auto"/>
              </w:rPr>
              <w:t>1a.</w:t>
            </w:r>
          </w:p>
        </w:tc>
        <w:tc>
          <w:tcPr>
            <w:tcW w:w="2880" w:type="dxa"/>
            <w:vAlign w:val="bottom"/>
          </w:tcPr>
          <w:p>
            <w:pPr>
              <w:ind w:left="100"/>
              <w:spacing w:after="0"/>
              <w:rPr>
                <w:sz w:val="20"/>
                <w:szCs w:val="20"/>
                <w:color w:val="auto"/>
              </w:rPr>
            </w:pPr>
            <w:r>
              <w:rPr>
                <w:rFonts w:ascii="Arial" w:cs="Arial" w:eastAsia="Arial" w:hAnsi="Arial"/>
                <w:sz w:val="13"/>
                <w:szCs w:val="13"/>
                <w:color w:val="auto"/>
              </w:rPr>
              <w:t>John H. Alschuler</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8"/>
        </w:trPr>
        <w:tc>
          <w:tcPr>
            <w:tcW w:w="560" w:type="dxa"/>
            <w:vAlign w:val="bottom"/>
          </w:tcPr>
          <w:p>
            <w:pPr>
              <w:ind w:left="280"/>
              <w:spacing w:after="0"/>
              <w:rPr>
                <w:sz w:val="20"/>
                <w:szCs w:val="20"/>
                <w:color w:val="auto"/>
              </w:rPr>
            </w:pPr>
            <w:r>
              <w:rPr>
                <w:rFonts w:ascii="Arial" w:cs="Arial" w:eastAsia="Arial" w:hAnsi="Arial"/>
                <w:sz w:val="13"/>
                <w:szCs w:val="13"/>
                <w:color w:val="auto"/>
              </w:rPr>
              <w:t>1b.</w:t>
            </w:r>
          </w:p>
        </w:tc>
        <w:tc>
          <w:tcPr>
            <w:tcW w:w="2880" w:type="dxa"/>
            <w:vAlign w:val="bottom"/>
          </w:tcPr>
          <w:p>
            <w:pPr>
              <w:ind w:left="100"/>
              <w:spacing w:after="0"/>
              <w:rPr>
                <w:sz w:val="20"/>
                <w:szCs w:val="20"/>
                <w:color w:val="auto"/>
              </w:rPr>
            </w:pPr>
            <w:r>
              <w:rPr>
                <w:rFonts w:ascii="Arial" w:cs="Arial" w:eastAsia="Arial" w:hAnsi="Arial"/>
                <w:sz w:val="13"/>
                <w:szCs w:val="13"/>
                <w:color w:val="auto"/>
              </w:rPr>
              <w:t>Betsy Atkins</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8"/>
        </w:trPr>
        <w:tc>
          <w:tcPr>
            <w:tcW w:w="560" w:type="dxa"/>
            <w:vAlign w:val="bottom"/>
          </w:tcPr>
          <w:p>
            <w:pPr>
              <w:ind w:left="280"/>
              <w:spacing w:after="0"/>
              <w:rPr>
                <w:sz w:val="20"/>
                <w:szCs w:val="20"/>
                <w:color w:val="auto"/>
              </w:rPr>
            </w:pPr>
            <w:r>
              <w:rPr>
                <w:rFonts w:ascii="Arial" w:cs="Arial" w:eastAsia="Arial" w:hAnsi="Arial"/>
                <w:sz w:val="13"/>
                <w:szCs w:val="13"/>
                <w:color w:val="auto"/>
              </w:rPr>
              <w:t>1c.</w:t>
            </w:r>
          </w:p>
        </w:tc>
        <w:tc>
          <w:tcPr>
            <w:tcW w:w="2880" w:type="dxa"/>
            <w:vAlign w:val="bottom"/>
          </w:tcPr>
          <w:p>
            <w:pPr>
              <w:ind w:left="100"/>
              <w:spacing w:after="0"/>
              <w:rPr>
                <w:sz w:val="20"/>
                <w:szCs w:val="20"/>
                <w:color w:val="auto"/>
              </w:rPr>
            </w:pPr>
            <w:r>
              <w:rPr>
                <w:rFonts w:ascii="Arial" w:cs="Arial" w:eastAsia="Arial" w:hAnsi="Arial"/>
                <w:sz w:val="13"/>
                <w:szCs w:val="13"/>
                <w:color w:val="auto"/>
              </w:rPr>
              <w:t>Edwin T. Burton, III</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8"/>
        </w:trPr>
        <w:tc>
          <w:tcPr>
            <w:tcW w:w="560" w:type="dxa"/>
            <w:vAlign w:val="bottom"/>
          </w:tcPr>
          <w:p>
            <w:pPr>
              <w:ind w:left="280"/>
              <w:spacing w:after="0"/>
              <w:rPr>
                <w:sz w:val="20"/>
                <w:szCs w:val="20"/>
                <w:color w:val="auto"/>
              </w:rPr>
            </w:pPr>
            <w:r>
              <w:rPr>
                <w:rFonts w:ascii="Arial" w:cs="Arial" w:eastAsia="Arial" w:hAnsi="Arial"/>
                <w:sz w:val="13"/>
                <w:szCs w:val="13"/>
                <w:color w:val="auto"/>
              </w:rPr>
              <w:t>1d.</w:t>
            </w:r>
          </w:p>
        </w:tc>
        <w:tc>
          <w:tcPr>
            <w:tcW w:w="2880" w:type="dxa"/>
            <w:vAlign w:val="bottom"/>
          </w:tcPr>
          <w:p>
            <w:pPr>
              <w:ind w:left="100"/>
              <w:spacing w:after="0"/>
              <w:rPr>
                <w:sz w:val="20"/>
                <w:szCs w:val="20"/>
                <w:color w:val="auto"/>
              </w:rPr>
            </w:pPr>
            <w:r>
              <w:rPr>
                <w:rFonts w:ascii="Arial" w:cs="Arial" w:eastAsia="Arial" w:hAnsi="Arial"/>
                <w:sz w:val="13"/>
                <w:szCs w:val="13"/>
                <w:color w:val="auto"/>
              </w:rPr>
              <w:t>Lauren B. Dillard</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8"/>
        </w:trPr>
        <w:tc>
          <w:tcPr>
            <w:tcW w:w="560" w:type="dxa"/>
            <w:vAlign w:val="bottom"/>
          </w:tcPr>
          <w:p>
            <w:pPr>
              <w:ind w:left="280"/>
              <w:spacing w:after="0"/>
              <w:rPr>
                <w:sz w:val="20"/>
                <w:szCs w:val="20"/>
                <w:color w:val="auto"/>
              </w:rPr>
            </w:pPr>
            <w:r>
              <w:rPr>
                <w:rFonts w:ascii="Arial" w:cs="Arial" w:eastAsia="Arial" w:hAnsi="Arial"/>
                <w:sz w:val="13"/>
                <w:szCs w:val="13"/>
                <w:color w:val="auto"/>
              </w:rPr>
              <w:t>1e.</w:t>
            </w:r>
          </w:p>
        </w:tc>
        <w:tc>
          <w:tcPr>
            <w:tcW w:w="2880" w:type="dxa"/>
            <w:vAlign w:val="bottom"/>
          </w:tcPr>
          <w:p>
            <w:pPr>
              <w:ind w:left="100"/>
              <w:spacing w:after="0"/>
              <w:rPr>
                <w:sz w:val="20"/>
                <w:szCs w:val="20"/>
                <w:color w:val="auto"/>
              </w:rPr>
            </w:pPr>
            <w:r>
              <w:rPr>
                <w:rFonts w:ascii="Arial" w:cs="Arial" w:eastAsia="Arial" w:hAnsi="Arial"/>
                <w:sz w:val="13"/>
                <w:szCs w:val="13"/>
                <w:color w:val="auto"/>
              </w:rPr>
              <w:t>Stephen L. Green</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8"/>
        </w:trPr>
        <w:tc>
          <w:tcPr>
            <w:tcW w:w="560" w:type="dxa"/>
            <w:vAlign w:val="bottom"/>
          </w:tcPr>
          <w:p>
            <w:pPr>
              <w:ind w:left="280"/>
              <w:spacing w:after="0"/>
              <w:rPr>
                <w:sz w:val="20"/>
                <w:szCs w:val="20"/>
                <w:color w:val="auto"/>
              </w:rPr>
            </w:pPr>
            <w:r>
              <w:rPr>
                <w:rFonts w:ascii="Arial" w:cs="Arial" w:eastAsia="Arial" w:hAnsi="Arial"/>
                <w:sz w:val="13"/>
                <w:szCs w:val="13"/>
                <w:color w:val="auto"/>
              </w:rPr>
              <w:t>1f.</w:t>
            </w:r>
          </w:p>
        </w:tc>
        <w:tc>
          <w:tcPr>
            <w:tcW w:w="2880" w:type="dxa"/>
            <w:vAlign w:val="bottom"/>
          </w:tcPr>
          <w:p>
            <w:pPr>
              <w:ind w:left="100"/>
              <w:spacing w:after="0"/>
              <w:rPr>
                <w:sz w:val="20"/>
                <w:szCs w:val="20"/>
                <w:color w:val="auto"/>
              </w:rPr>
            </w:pPr>
            <w:r>
              <w:rPr>
                <w:rFonts w:ascii="Arial" w:cs="Arial" w:eastAsia="Arial" w:hAnsi="Arial"/>
                <w:sz w:val="13"/>
                <w:szCs w:val="13"/>
                <w:color w:val="auto"/>
              </w:rPr>
              <w:t>Craig M. Hatkoff</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8"/>
        </w:trPr>
        <w:tc>
          <w:tcPr>
            <w:tcW w:w="560" w:type="dxa"/>
            <w:vAlign w:val="bottom"/>
          </w:tcPr>
          <w:p>
            <w:pPr>
              <w:ind w:left="280"/>
              <w:spacing w:after="0"/>
              <w:rPr>
                <w:sz w:val="20"/>
                <w:szCs w:val="20"/>
                <w:color w:val="auto"/>
              </w:rPr>
            </w:pPr>
            <w:r>
              <w:rPr>
                <w:rFonts w:ascii="Arial" w:cs="Arial" w:eastAsia="Arial" w:hAnsi="Arial"/>
                <w:sz w:val="13"/>
                <w:szCs w:val="13"/>
                <w:color w:val="auto"/>
              </w:rPr>
              <w:t>1g.</w:t>
            </w:r>
          </w:p>
        </w:tc>
        <w:tc>
          <w:tcPr>
            <w:tcW w:w="2880" w:type="dxa"/>
            <w:vAlign w:val="bottom"/>
          </w:tcPr>
          <w:p>
            <w:pPr>
              <w:ind w:left="100"/>
              <w:spacing w:after="0"/>
              <w:rPr>
                <w:sz w:val="20"/>
                <w:szCs w:val="20"/>
                <w:color w:val="auto"/>
              </w:rPr>
            </w:pPr>
            <w:r>
              <w:rPr>
                <w:rFonts w:ascii="Arial" w:cs="Arial" w:eastAsia="Arial" w:hAnsi="Arial"/>
                <w:sz w:val="13"/>
                <w:szCs w:val="13"/>
                <w:color w:val="auto"/>
              </w:rPr>
              <w:t>Marc Holliday</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8"/>
        </w:trPr>
        <w:tc>
          <w:tcPr>
            <w:tcW w:w="560" w:type="dxa"/>
            <w:vAlign w:val="bottom"/>
          </w:tcPr>
          <w:p>
            <w:pPr>
              <w:ind w:left="280"/>
              <w:spacing w:after="0"/>
              <w:rPr>
                <w:sz w:val="20"/>
                <w:szCs w:val="20"/>
                <w:color w:val="auto"/>
              </w:rPr>
            </w:pPr>
            <w:r>
              <w:rPr>
                <w:rFonts w:ascii="Arial" w:cs="Arial" w:eastAsia="Arial" w:hAnsi="Arial"/>
                <w:sz w:val="13"/>
                <w:szCs w:val="13"/>
                <w:color w:val="auto"/>
              </w:rPr>
              <w:t>1h.</w:t>
            </w:r>
          </w:p>
        </w:tc>
        <w:tc>
          <w:tcPr>
            <w:tcW w:w="2880" w:type="dxa"/>
            <w:vAlign w:val="bottom"/>
          </w:tcPr>
          <w:p>
            <w:pPr>
              <w:ind w:left="100"/>
              <w:spacing w:after="0"/>
              <w:rPr>
                <w:sz w:val="20"/>
                <w:szCs w:val="20"/>
                <w:color w:val="auto"/>
              </w:rPr>
            </w:pPr>
            <w:r>
              <w:rPr>
                <w:rFonts w:ascii="Arial" w:cs="Arial" w:eastAsia="Arial" w:hAnsi="Arial"/>
                <w:sz w:val="13"/>
                <w:szCs w:val="13"/>
                <w:color w:val="auto"/>
              </w:rPr>
              <w:t>John S. Levy</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8"/>
        </w:trPr>
        <w:tc>
          <w:tcPr>
            <w:tcW w:w="560" w:type="dxa"/>
            <w:vAlign w:val="bottom"/>
          </w:tcPr>
          <w:p>
            <w:pPr>
              <w:ind w:left="280"/>
              <w:spacing w:after="0"/>
              <w:rPr>
                <w:sz w:val="20"/>
                <w:szCs w:val="20"/>
                <w:color w:val="auto"/>
              </w:rPr>
            </w:pPr>
            <w:r>
              <w:rPr>
                <w:rFonts w:ascii="Arial" w:cs="Arial" w:eastAsia="Arial" w:hAnsi="Arial"/>
                <w:sz w:val="13"/>
                <w:szCs w:val="13"/>
                <w:color w:val="auto"/>
              </w:rPr>
              <w:t>1i.</w:t>
            </w:r>
          </w:p>
        </w:tc>
        <w:tc>
          <w:tcPr>
            <w:tcW w:w="2880" w:type="dxa"/>
            <w:vAlign w:val="bottom"/>
          </w:tcPr>
          <w:p>
            <w:pPr>
              <w:ind w:left="100"/>
              <w:spacing w:after="0"/>
              <w:rPr>
                <w:sz w:val="20"/>
                <w:szCs w:val="20"/>
                <w:color w:val="auto"/>
              </w:rPr>
            </w:pPr>
            <w:r>
              <w:rPr>
                <w:rFonts w:ascii="Arial" w:cs="Arial" w:eastAsia="Arial" w:hAnsi="Arial"/>
                <w:sz w:val="13"/>
                <w:szCs w:val="13"/>
                <w:color w:val="auto"/>
              </w:rPr>
              <w:t>Andrew W. Mathias</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5"/>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The Board of Directors recommends you vote FOR</w:t>
            </w: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r>
      <w:tr>
        <w:trPr>
          <w:trHeight w:val="178"/>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the following proposals:</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70"/>
        </w:trPr>
        <w:tc>
          <w:tcPr>
            <w:tcW w:w="3440" w:type="dxa"/>
            <w:vAlign w:val="bottom"/>
            <w:gridSpan w:val="2"/>
          </w:tcPr>
          <w:p>
            <w:pPr>
              <w:spacing w:after="0"/>
              <w:rPr>
                <w:sz w:val="20"/>
                <w:szCs w:val="20"/>
                <w:color w:val="auto"/>
              </w:rPr>
            </w:pPr>
            <w:r>
              <w:rPr>
                <w:rFonts w:ascii="Arial" w:cs="Arial" w:eastAsia="Arial" w:hAnsi="Arial"/>
                <w:sz w:val="13"/>
                <w:szCs w:val="13"/>
                <w:color w:val="auto"/>
              </w:rPr>
              <w:t>2.   To approve, on a non-binding advisory basis, our</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62"/>
        </w:trPr>
        <w:tc>
          <w:tcPr>
            <w:tcW w:w="3440" w:type="dxa"/>
            <w:vAlign w:val="bottom"/>
            <w:gridSpan w:val="2"/>
          </w:tcPr>
          <w:p>
            <w:pPr>
              <w:ind w:left="280"/>
              <w:spacing w:after="0"/>
              <w:rPr>
                <w:sz w:val="20"/>
                <w:szCs w:val="20"/>
                <w:color w:val="auto"/>
              </w:rPr>
            </w:pPr>
            <w:r>
              <w:rPr>
                <w:rFonts w:ascii="Arial" w:cs="Arial" w:eastAsia="Arial" w:hAnsi="Arial"/>
                <w:sz w:val="13"/>
                <w:szCs w:val="13"/>
                <w:color w:val="auto"/>
              </w:rPr>
              <w:t>executive compensation.</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2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r>
      <w:tr>
        <w:trPr>
          <w:trHeight w:val="270"/>
        </w:trPr>
        <w:tc>
          <w:tcPr>
            <w:tcW w:w="200" w:type="dxa"/>
            <w:vAlign w:val="bottom"/>
          </w:tcPr>
          <w:p>
            <w:pPr>
              <w:jc w:val="right"/>
              <w:ind w:right="13"/>
              <w:spacing w:after="0"/>
              <w:rPr>
                <w:sz w:val="20"/>
                <w:szCs w:val="20"/>
                <w:color w:val="auto"/>
              </w:rPr>
            </w:pPr>
            <w:r>
              <w:rPr>
                <w:rFonts w:ascii="Arial" w:cs="Arial" w:eastAsia="Arial" w:hAnsi="Arial"/>
                <w:sz w:val="13"/>
                <w:szCs w:val="13"/>
                <w:color w:val="auto"/>
                <w:w w:val="91"/>
              </w:rPr>
              <w:t>3.</w:t>
            </w:r>
          </w:p>
        </w:tc>
        <w:tc>
          <w:tcPr>
            <w:tcW w:w="3460" w:type="dxa"/>
            <w:vAlign w:val="bottom"/>
          </w:tcPr>
          <w:p>
            <w:pPr>
              <w:ind w:left="100"/>
              <w:spacing w:after="0"/>
              <w:rPr>
                <w:sz w:val="20"/>
                <w:szCs w:val="20"/>
                <w:color w:val="auto"/>
              </w:rPr>
            </w:pPr>
            <w:r>
              <w:rPr>
                <w:rFonts w:ascii="Arial" w:cs="Arial" w:eastAsia="Arial" w:hAnsi="Arial"/>
                <w:sz w:val="13"/>
                <w:szCs w:val="13"/>
                <w:color w:val="auto"/>
              </w:rPr>
              <w:t>To ratify the appointment of Ernst &amp; Young LLP as our</w:t>
            </w:r>
          </w:p>
        </w:tc>
        <w:tc>
          <w:tcPr>
            <w:tcW w:w="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48"/>
        </w:trPr>
        <w:tc>
          <w:tcPr>
            <w:tcW w:w="200" w:type="dxa"/>
            <w:vAlign w:val="bottom"/>
          </w:tcPr>
          <w:p>
            <w:pPr>
              <w:spacing w:after="0"/>
              <w:rPr>
                <w:sz w:val="12"/>
                <w:szCs w:val="12"/>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independent registered public accounting firm for the</w:t>
            </w: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2"/>
        </w:trPr>
        <w:tc>
          <w:tcPr>
            <w:tcW w:w="200" w:type="dxa"/>
            <w:vAlign w:val="bottom"/>
          </w:tcPr>
          <w:p>
            <w:pPr>
              <w:spacing w:after="0"/>
              <w:rPr>
                <w:sz w:val="14"/>
                <w:szCs w:val="14"/>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fiscal year ending December 31, 2020.</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70"/>
        </w:trPr>
        <w:tc>
          <w:tcPr>
            <w:tcW w:w="200" w:type="dxa"/>
            <w:vAlign w:val="bottom"/>
          </w:tcPr>
          <w:p>
            <w:pPr>
              <w:jc w:val="right"/>
              <w:ind w:right="13"/>
              <w:spacing w:after="0"/>
              <w:rPr>
                <w:sz w:val="20"/>
                <w:szCs w:val="20"/>
                <w:color w:val="auto"/>
              </w:rPr>
            </w:pPr>
            <w:r>
              <w:rPr>
                <w:rFonts w:ascii="Arial" w:cs="Arial" w:eastAsia="Arial" w:hAnsi="Arial"/>
                <w:sz w:val="13"/>
                <w:szCs w:val="13"/>
                <w:color w:val="auto"/>
                <w:w w:val="91"/>
              </w:rPr>
              <w:t>4.</w:t>
            </w:r>
          </w:p>
        </w:tc>
        <w:tc>
          <w:tcPr>
            <w:tcW w:w="3460" w:type="dxa"/>
            <w:vAlign w:val="bottom"/>
          </w:tcPr>
          <w:p>
            <w:pPr>
              <w:ind w:left="100"/>
              <w:spacing w:after="0"/>
              <w:rPr>
                <w:sz w:val="20"/>
                <w:szCs w:val="20"/>
                <w:color w:val="auto"/>
              </w:rPr>
            </w:pPr>
            <w:r>
              <w:rPr>
                <w:rFonts w:ascii="Arial" w:cs="Arial" w:eastAsia="Arial" w:hAnsi="Arial"/>
                <w:sz w:val="13"/>
                <w:szCs w:val="13"/>
                <w:color w:val="auto"/>
              </w:rPr>
              <w:t>To consider and act upon any other matters that may</w:t>
            </w: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48"/>
        </w:trPr>
        <w:tc>
          <w:tcPr>
            <w:tcW w:w="200" w:type="dxa"/>
            <w:vAlign w:val="bottom"/>
          </w:tcPr>
          <w:p>
            <w:pPr>
              <w:spacing w:after="0"/>
              <w:rPr>
                <w:sz w:val="12"/>
                <w:szCs w:val="12"/>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properly be brought before the Annual Meeting and at</w:t>
            </w: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2"/>
        </w:trPr>
        <w:tc>
          <w:tcPr>
            <w:tcW w:w="200" w:type="dxa"/>
            <w:vAlign w:val="bottom"/>
          </w:tcPr>
          <w:p>
            <w:pPr>
              <w:spacing w:after="0"/>
              <w:rPr>
                <w:sz w:val="14"/>
                <w:szCs w:val="14"/>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any adjournments or postponements thereof.</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121" w:lineRule="exact"/>
        <w:rPr>
          <w:sz w:val="20"/>
          <w:szCs w:val="20"/>
          <w:color w:val="auto"/>
        </w:rPr>
      </w:pPr>
    </w:p>
    <w:p>
      <w:pPr>
        <w:jc w:val="both"/>
        <w:ind w:right="1840"/>
        <w:spacing w:after="0"/>
        <w:rPr>
          <w:sz w:val="20"/>
          <w:szCs w:val="20"/>
          <w:color w:val="auto"/>
        </w:rPr>
      </w:pPr>
      <w:r>
        <w:rPr>
          <w:rFonts w:ascii="Arial" w:cs="Arial" w:eastAsia="Arial" w:hAnsi="Arial"/>
          <w:sz w:val="13"/>
          <w:szCs w:val="13"/>
          <w:color w:val="auto"/>
        </w:rPr>
        <w:t>The undersigned hereby acknowledge(s) receipt of the Notice of the Annual Meeting of Stockholders, the terms of which are incorporated herein by reference, and revoke(s) any proxy or proxies heretofore given with respect to the Annual Meeting. This proxy may be revoked at any time prior to the time voting is declared closed by giving the corporate secretary of SL Green Realty Corp. written notice of revocation or by a subsequently dated proxy, or by casting a ballot at the Annual Meeting.</w:t>
      </w:r>
    </w:p>
    <w:p>
      <w:pPr>
        <w:spacing w:after="0" w:line="110" w:lineRule="exact"/>
        <w:rPr>
          <w:sz w:val="20"/>
          <w:szCs w:val="20"/>
          <w:color w:val="auto"/>
        </w:rPr>
      </w:pPr>
    </w:p>
    <w:p>
      <w:pPr>
        <w:jc w:val="both"/>
        <w:ind w:right="1840"/>
        <w:spacing w:after="0" w:line="247" w:lineRule="auto"/>
        <w:rPr>
          <w:sz w:val="20"/>
          <w:szCs w:val="20"/>
          <w:color w:val="auto"/>
        </w:rPr>
      </w:pPr>
      <w:r>
        <w:rPr>
          <w:rFonts w:ascii="Arial" w:cs="Arial" w:eastAsia="Arial" w:hAnsi="Arial"/>
          <w:sz w:val="13"/>
          <w:szCs w:val="13"/>
          <w:b w:val="1"/>
          <w:bCs w:val="1"/>
          <w:color w:val="auto"/>
        </w:rPr>
        <w:t xml:space="preserve">This solicitation of proxies is made by and on behalf of the Board. </w:t>
      </w:r>
      <w:r>
        <w:rPr>
          <w:rFonts w:ascii="Arial" w:cs="Arial" w:eastAsia="Arial" w:hAnsi="Arial"/>
          <w:sz w:val="13"/>
          <w:szCs w:val="13"/>
          <w:color w:val="auto"/>
        </w:rPr>
        <w:t>The validity of this proxy is governed by the</w:t>
      </w:r>
      <w:r>
        <w:rPr>
          <w:rFonts w:ascii="Arial" w:cs="Arial" w:eastAsia="Arial" w:hAnsi="Arial"/>
          <w:sz w:val="13"/>
          <w:szCs w:val="13"/>
          <w:b w:val="1"/>
          <w:bCs w:val="1"/>
          <w:color w:val="auto"/>
        </w:rPr>
        <w:t xml:space="preserve"> </w:t>
      </w:r>
      <w:r>
        <w:rPr>
          <w:rFonts w:ascii="Arial" w:cs="Arial" w:eastAsia="Arial" w:hAnsi="Arial"/>
          <w:sz w:val="13"/>
          <w:szCs w:val="13"/>
          <w:color w:val="auto"/>
        </w:rPr>
        <w:t>Maryland General Corporation Law and applicable federal securities laws. This proxy does not revoke any prior powers of attorney except for prior proxies given in connection with the Annual Meeting.</w:t>
      </w:r>
    </w:p>
    <w:p>
      <w:pPr>
        <w:spacing w:after="0" w:line="332" w:lineRule="exact"/>
        <w:rPr>
          <w:sz w:val="20"/>
          <w:szCs w:val="20"/>
          <w:color w:val="auto"/>
        </w:rPr>
      </w:pPr>
    </w:p>
    <w:p>
      <w:pPr>
        <w:sectPr>
          <w:pgSz w:w="11900" w:h="16838" w:orient="portrait"/>
          <w:cols w:equalWidth="0" w:num="2">
            <w:col w:w="5340" w:space="500"/>
            <w:col w:w="5400"/>
          </w:cols>
          <w:pgMar w:left="320" w:top="121" w:right="339" w:bottom="1440" w:gutter="0" w:footer="0" w:header="0"/>
          <w:type w:val="continuous"/>
        </w:sectPr>
      </w:pPr>
    </w:p>
    <w:p>
      <w:pPr>
        <w:spacing w:after="0" w:line="272" w:lineRule="exact"/>
        <w:rPr>
          <w:sz w:val="20"/>
          <w:szCs w:val="20"/>
          <w:color w:val="auto"/>
        </w:rPr>
      </w:pPr>
    </w:p>
    <w:p>
      <w:pPr>
        <w:jc w:val="both"/>
        <w:ind w:left="340" w:right="2080"/>
        <w:spacing w:after="0" w:line="248"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363" w:lineRule="exact"/>
        <w:rPr>
          <w:sz w:val="20"/>
          <w:szCs w:val="20"/>
          <w:color w:val="auto"/>
        </w:rPr>
      </w:pPr>
    </w:p>
    <w:p>
      <w:pPr>
        <w:ind w:left="340"/>
        <w:spacing w:after="0"/>
        <w:tabs>
          <w:tab w:leader="none" w:pos="3340" w:val="left"/>
          <w:tab w:leader="none" w:pos="5380" w:val="left"/>
          <w:tab w:leader="none" w:pos="840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7153275"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0"/>
        <w:spacing w:after="0" w:line="249"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to be Held on May 28, 2020: </w:t>
      </w:r>
      <w:r>
        <w:rPr>
          <w:rFonts w:ascii="Arial" w:cs="Arial" w:eastAsia="Arial" w:hAnsi="Arial"/>
          <w:sz w:val="18"/>
          <w:szCs w:val="18"/>
          <w:color w:val="auto"/>
        </w:rPr>
        <w:t>The Notice and Proxy Statement and Annual Report are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1205865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D03609-P35164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83185</wp:posOffset>
            </wp:positionV>
            <wp:extent cx="7118985" cy="37160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18985" cy="3716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2" w:lineRule="exact"/>
        <w:rPr>
          <w:sz w:val="20"/>
          <w:szCs w:val="20"/>
          <w:color w:val="auto"/>
        </w:rPr>
      </w:pPr>
    </w:p>
    <w:p>
      <w:pPr>
        <w:jc w:val="both"/>
        <w:ind w:left="320" w:right="300"/>
        <w:spacing w:after="0" w:line="236" w:lineRule="auto"/>
        <w:rPr>
          <w:sz w:val="20"/>
          <w:szCs w:val="20"/>
          <w:color w:val="auto"/>
        </w:rPr>
      </w:pPr>
      <w:r>
        <w:rPr>
          <w:rFonts w:ascii="Arial" w:cs="Arial" w:eastAsia="Arial" w:hAnsi="Arial"/>
          <w:sz w:val="18"/>
          <w:szCs w:val="18"/>
          <w:color w:val="auto"/>
        </w:rPr>
        <w:t>The undersigned stockholder(s) hereby appoint(s) Marc Holliday and Andrew S. Levine, or either of them, as proxies, each with the power to appoint his substitute and hereby authorize(s) them to represent and to vote as designated on the reverse side of this ballot all of the shares of Common Stock of SL GREEN REALTY CORP. that the stockholder(s) is/are entitled to vote at the Annual Meeting of Stockholders to be held at Andaz 5th Avenue (ground floor), 485 5th Ave, New York, NY 10017 at 10:00 A.M., local time on Thursday, May 28, 2020 and any adjournment or postponement thereof.</w:t>
      </w:r>
    </w:p>
    <w:p>
      <w:pPr>
        <w:spacing w:after="0" w:line="189" w:lineRule="exact"/>
        <w:rPr>
          <w:sz w:val="20"/>
          <w:szCs w:val="20"/>
          <w:color w:val="auto"/>
        </w:rPr>
      </w:pPr>
    </w:p>
    <w:p>
      <w:pPr>
        <w:jc w:val="both"/>
        <w:ind w:left="320" w:right="300"/>
        <w:spacing w:after="0" w:line="242" w:lineRule="auto"/>
        <w:rPr>
          <w:sz w:val="20"/>
          <w:szCs w:val="20"/>
          <w:color w:val="auto"/>
        </w:rPr>
      </w:pPr>
      <w:r>
        <w:rPr>
          <w:rFonts w:ascii="Arial" w:cs="Arial" w:eastAsia="Arial" w:hAnsi="Arial"/>
          <w:sz w:val="18"/>
          <w:szCs w:val="18"/>
          <w:b w:val="1"/>
          <w:bCs w:val="1"/>
          <w:color w:val="auto"/>
        </w:rPr>
        <w:t>THIS PROXY, WHEN PROPERLY EXECUTED, WILL BE VOTED AS DIRECTED BY THE STOCKHOLDER(S) AND IN THE DISCRETION OF THE PROXYHOLDER ON ANY OTHER MATTER PROPERLY BROUGHT BEFORE THE MEETING OR ANY ADJOURNMENT OR POSTPONEMENT THEREOF. IF NO SUCH DIRECTIONS ARE MADE, THIS PROXY WILL BE VOTED FOR THE ELECTION OF THE BOARD OF DIRECTORS' NOMINEES LISTED ON THE REVERSE SIDE HEREOF AND FOR PROPOSALS 2 AND 3.</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PLEASE MARK, SIGN AND DATE AND RETURN THIS PROXY CARD PROMPTLY USING THE ENCLOSED REPLY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538480</wp:posOffset>
            </wp:positionV>
            <wp:extent cx="715327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lvl w:ilvl="1">
      <w:lvlJc w:val="left"/>
      <w:lvlText w:val="%2)"/>
      <w:numFmt w:val="decimal"/>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1"/>
      <w:numFmt w:val="bullet"/>
      <w:start w:val="1"/>
    </w:lvl>
  </w:abstractNum>
  <w:abstractNum w:abstractNumId="5">
    <w:nsid w:val="BF72B14"/>
    <w:multiLevelType w:val="hybridMultilevel"/>
    <w:lvl w:ilvl="0">
      <w:lvlJc w:val="left"/>
      <w:lvlText w:val="2"/>
      <w:numFmt w:val="bullet"/>
      <w:start w:val="1"/>
    </w:lvl>
  </w:abstractNum>
  <w:abstractNum w:abstractNumId="6">
    <w:nsid w:val="11447B73"/>
    <w:multiLevelType w:val="hybridMultilevel"/>
    <w:lvl w:ilvl="0">
      <w:lvlJc w:val="left"/>
      <w:lvlText w:val="5"/>
      <w:numFmt w:val="bullet"/>
      <w:start w:val="1"/>
    </w:lvl>
  </w:abstractNum>
  <w:abstractNum w:abstractNumId="7">
    <w:nsid w:val="42963E5A"/>
    <w:multiLevelType w:val="hybridMultilevel"/>
    <w:lvl w:ilvl="0">
      <w:lvlJc w:val="left"/>
      <w:lvlText w:val="2"/>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4"/>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6"/>
      <w:numFmt w:val="bullet"/>
      <w:start w:val="1"/>
    </w:lvl>
  </w:abstractNum>
  <w:abstractNum w:abstractNumId="17">
    <w:nsid w:val="7FFFCA11"/>
    <w:multiLevelType w:val="hybridMultilevel"/>
    <w:lvl w:ilvl="0">
      <w:lvlJc w:val="left"/>
      <w:lvlText w:val="%1."/>
      <w:numFmt w:val="decimal"/>
      <w:start w:val="1"/>
    </w:lvl>
  </w:abstractNum>
  <w:abstractNum w:abstractNumId="18">
    <w:nsid w:val="1A27709E"/>
    <w:multiLevelType w:val="hybridMultilevel"/>
    <w:lvl w:ilvl="0">
      <w:lvlJc w:val="left"/>
      <w:lvlText w:val="8"/>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1"/>
      <w:numFmt w:val="decimal"/>
      <w:start w:val="10"/>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1"/>
      <w:numFmt w:val="decimal"/>
      <w:start w:val="12"/>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
      <w:numFmt w:val="bullet"/>
      <w:start w:val="1"/>
    </w:lvl>
  </w:abstractNum>
  <w:abstractNum w:abstractNumId="37">
    <w:nsid w:val="57FC4FBB"/>
    <w:multiLevelType w:val="hybridMultilevel"/>
    <w:lvl w:ilvl="0">
      <w:lvlJc w:val="left"/>
      <w:lvlText w:val="●"/>
      <w:numFmt w:val="bullet"/>
      <w:start w:val="1"/>
    </w:lvl>
  </w:abstractNum>
  <w:abstractNum w:abstractNumId="38">
    <w:nsid w:val="CC1016F"/>
    <w:multiLevelType w:val="hybridMultilevel"/>
    <w:lvl w:ilvl="0">
      <w:lvlJc w:val="left"/>
      <w:lvlText w:val="%1"/>
      <w:numFmt w:val="decimal"/>
      <w:start w:val="14"/>
    </w:lvl>
  </w:abstractNum>
  <w:abstractNum w:abstractNumId="39">
    <w:nsid w:val="43F18422"/>
    <w:multiLevelType w:val="hybridMultilevel"/>
    <w:lvl w:ilvl="0">
      <w:lvlJc w:val="left"/>
      <w:lvlText w:val="●"/>
      <w:numFmt w:val="bullet"/>
      <w:start w:val="1"/>
    </w:lvl>
  </w:abstractNum>
  <w:abstractNum w:abstractNumId="40">
    <w:nsid w:val="60EF0119"/>
    <w:multiLevelType w:val="hybridMultilevel"/>
    <w:lvl w:ilvl="0">
      <w:lvlJc w:val="left"/>
      <w:lvlText w:val="●"/>
      <w:numFmt w:val="bullet"/>
      <w:start w:val="1"/>
    </w:lvl>
  </w:abstractNum>
  <w:abstractNum w:abstractNumId="41">
    <w:nsid w:val="26F324BA"/>
    <w:multiLevelType w:val="hybridMultilevel"/>
    <w:lvl w:ilvl="0">
      <w:lvlJc w:val="left"/>
      <w:lvlText w:val="●"/>
      <w:numFmt w:val="bullet"/>
      <w:start w:val="1"/>
    </w:lvl>
  </w:abstractNum>
  <w:abstractNum w:abstractNumId="42">
    <w:nsid w:val="7F01579B"/>
    <w:multiLevelType w:val="hybridMultilevel"/>
    <w:lvl w:ilvl="0">
      <w:lvlJc w:val="left"/>
      <w:lvlText w:val="●"/>
      <w:numFmt w:val="bullet"/>
      <w:start w:val="1"/>
    </w:lvl>
  </w:abstractNum>
  <w:abstractNum w:abstractNumId="43">
    <w:nsid w:val="49DA307D"/>
    <w:multiLevelType w:val="hybridMultilevel"/>
    <w:lvl w:ilvl="0">
      <w:lvlJc w:val="left"/>
      <w:lvlText w:val="●"/>
      <w:numFmt w:val="bullet"/>
      <w:start w:val="1"/>
    </w:lvl>
  </w:abstractNum>
  <w:abstractNum w:abstractNumId="44">
    <w:nsid w:val="7055A5F5"/>
    <w:multiLevelType w:val="hybridMultilevel"/>
    <w:lvl w:ilvl="0">
      <w:lvlJc w:val="left"/>
      <w:lvlText w:val="●"/>
      <w:numFmt w:val="bullet"/>
      <w:start w:val="1"/>
    </w:lvl>
  </w:abstractNum>
  <w:abstractNum w:abstractNumId="45">
    <w:nsid w:val="5FB8370B"/>
    <w:multiLevelType w:val="hybridMultilevel"/>
    <w:lvl w:ilvl="0">
      <w:lvlJc w:val="left"/>
      <w:lvlText w:val="%1"/>
      <w:numFmt w:val="decimal"/>
      <w:start w:val="16"/>
    </w:lvl>
  </w:abstractNum>
  <w:abstractNum w:abstractNumId="46">
    <w:nsid w:val="50801EE1"/>
    <w:multiLevelType w:val="hybridMultilevel"/>
    <w:lvl w:ilvl="0">
      <w:lvlJc w:val="left"/>
      <w:lvlText w:val="%1."/>
      <w:numFmt w:val="decimal"/>
      <w:start w:val="1"/>
    </w:lvl>
  </w:abstractNum>
  <w:abstractNum w:abstractNumId="47">
    <w:nsid w:val="488AC1A"/>
    <w:multiLevelType w:val="hybridMultilevel"/>
    <w:lvl w:ilvl="0">
      <w:lvlJc w:val="left"/>
      <w:lvlText w:val="●"/>
      <w:numFmt w:val="bullet"/>
      <w:start w:val="1"/>
    </w:lvl>
  </w:abstractNum>
  <w:abstractNum w:abstractNumId="48">
    <w:nsid w:val="5FB8011C"/>
    <w:multiLevelType w:val="hybridMultilevel"/>
    <w:lvl w:ilvl="0">
      <w:lvlJc w:val="left"/>
      <w:lvlText w:val="%1."/>
      <w:numFmt w:val="decimal"/>
      <w:start w:val="1"/>
    </w:lvl>
  </w:abstractNum>
  <w:abstractNum w:abstractNumId="49">
    <w:nsid w:val="6AA78F7F"/>
    <w:multiLevelType w:val="hybridMultilevel"/>
    <w:lvl w:ilvl="0">
      <w:lvlJc w:val="left"/>
      <w:lvlText w:val="%1"/>
      <w:numFmt w:val="decimal"/>
      <w:start w:val="22"/>
    </w:lvl>
  </w:abstractNum>
  <w:abstractNum w:abstractNumId="50">
    <w:nsid w:val="7672BD23"/>
    <w:multiLevelType w:val="hybridMultilevel"/>
    <w:lvl w:ilvl="0">
      <w:lvlJc w:val="left"/>
      <w:lvlText w:val="%1"/>
      <w:numFmt w:val="decimal"/>
      <w:start w:val="24"/>
    </w:lvl>
  </w:abstractNum>
  <w:abstractNum w:abstractNumId="51">
    <w:nsid w:val="6FC75AF8"/>
    <w:multiLevelType w:val="hybridMultilevel"/>
    <w:lvl w:ilvl="0">
      <w:lvlJc w:val="left"/>
      <w:lvlText w:val="●"/>
      <w:numFmt w:val="bullet"/>
      <w:start w:val="1"/>
    </w:lvl>
  </w:abstractNum>
  <w:abstractNum w:abstractNumId="52">
    <w:nsid w:val="6A5F7029"/>
    <w:multiLevelType w:val="hybridMultilevel"/>
    <w:lvl w:ilvl="0">
      <w:lvlJc w:val="left"/>
      <w:lvlText w:val="(%1)"/>
      <w:numFmt w:val="lowerLetter"/>
      <w:start w:val="2"/>
    </w:lvl>
  </w:abstractNum>
  <w:abstractNum w:abstractNumId="53">
    <w:nsid w:val="7D5E18F8"/>
    <w:multiLevelType w:val="hybridMultilevel"/>
    <w:lvl w:ilvl="0">
      <w:lvlJc w:val="left"/>
      <w:lvlText w:val="%1"/>
      <w:numFmt w:val="decimal"/>
      <w:start w:val="26"/>
    </w:lvl>
  </w:abstractNum>
  <w:abstractNum w:abstractNumId="54">
    <w:nsid w:val="5F3534A4"/>
    <w:multiLevelType w:val="hybridMultilevel"/>
    <w:lvl w:ilvl="0">
      <w:lvlJc w:val="left"/>
      <w:lvlText w:val="(%1)"/>
      <w:numFmt w:val="decimal"/>
      <w:start w:val="1"/>
    </w:lvl>
  </w:abstractNum>
  <w:abstractNum w:abstractNumId="55">
    <w:nsid w:val="73A1821B"/>
    <w:multiLevelType w:val="hybridMultilevel"/>
    <w:lvl w:ilvl="0">
      <w:lvlJc w:val="left"/>
      <w:lvlText w:val="%1"/>
      <w:numFmt w:val="decimal"/>
      <w:start w:val="28"/>
    </w:lvl>
  </w:abstractNum>
  <w:abstractNum w:abstractNumId="56">
    <w:nsid w:val="7DE67713"/>
    <w:multiLevelType w:val="hybridMultilevel"/>
    <w:lvl w:ilvl="0">
      <w:lvlJc w:val="left"/>
      <w:lvlText w:val="%1"/>
      <w:numFmt w:val="decimal"/>
      <w:start w:val="30"/>
    </w:lvl>
  </w:abstractNum>
  <w:abstractNum w:abstractNumId="57">
    <w:nsid w:val="555C55B5"/>
    <w:multiLevelType w:val="hybridMultilevel"/>
    <w:lvl w:ilvl="0">
      <w:lvlJc w:val="left"/>
      <w:lvlText w:val="●"/>
      <w:numFmt w:val="bullet"/>
      <w:start w:val="1"/>
    </w:lvl>
  </w:abstractNum>
  <w:abstractNum w:abstractNumId="58">
    <w:nsid w:val="3FA62ACA"/>
    <w:multiLevelType w:val="hybridMultilevel"/>
    <w:lvl w:ilvl="0">
      <w:lvlJc w:val="left"/>
      <w:lvlText w:val="●"/>
      <w:numFmt w:val="bullet"/>
      <w:start w:val="1"/>
    </w:lvl>
  </w:abstractNum>
  <w:abstractNum w:abstractNumId="59">
    <w:nsid w:val="14FCE74E"/>
    <w:multiLevelType w:val="hybridMultilevel"/>
    <w:lvl w:ilvl="0">
      <w:lvlJc w:val="left"/>
      <w:lvlText w:val="(%1)"/>
      <w:numFmt w:val="decimal"/>
      <w:start w:val="1"/>
    </w:lvl>
  </w:abstractNum>
  <w:abstractNum w:abstractNumId="60">
    <w:nsid w:val="6A3DD3E8"/>
    <w:multiLevelType w:val="hybridMultilevel"/>
    <w:lvl w:ilvl="0">
      <w:lvlJc w:val="left"/>
      <w:lvlText w:val="%1"/>
      <w:numFmt w:val="decimal"/>
      <w:start w:val="32"/>
    </w:lvl>
  </w:abstractNum>
  <w:abstractNum w:abstractNumId="61">
    <w:nsid w:val="71C91298"/>
    <w:multiLevelType w:val="hybridMultilevel"/>
    <w:lvl w:ilvl="0">
      <w:lvlJc w:val="left"/>
      <w:lvlText w:val="●"/>
      <w:numFmt w:val="bullet"/>
      <w:start w:val="1"/>
    </w:lvl>
  </w:abstractNum>
  <w:abstractNum w:abstractNumId="62">
    <w:nsid w:val="9DAF632"/>
    <w:multiLevelType w:val="hybridMultilevel"/>
    <w:lvl w:ilvl="0">
      <w:lvlJc w:val="left"/>
      <w:lvlText w:val="●"/>
      <w:numFmt w:val="bullet"/>
      <w:start w:val="1"/>
    </w:lvl>
  </w:abstractNum>
  <w:abstractNum w:abstractNumId="63">
    <w:nsid w:val="53299938"/>
    <w:multiLevelType w:val="hybridMultilevel"/>
    <w:lvl w:ilvl="0">
      <w:lvlJc w:val="left"/>
      <w:lvlText w:val="%1"/>
      <w:numFmt w:val="decimal"/>
      <w:start w:val="34"/>
    </w:lvl>
  </w:abstractNum>
  <w:abstractNum w:abstractNumId="64">
    <w:nsid w:val="1FBFE8E0"/>
    <w:multiLevelType w:val="hybridMultilevel"/>
    <w:lvl w:ilvl="0">
      <w:lvlJc w:val="left"/>
      <w:lvlText w:val="%1"/>
      <w:numFmt w:val="decimal"/>
      <w:start w:val="36"/>
    </w:lvl>
  </w:abstractNum>
  <w:abstractNum w:abstractNumId="65">
    <w:nsid w:val="5092CA79"/>
    <w:multiLevelType w:val="hybridMultilevel"/>
    <w:lvl w:ilvl="0">
      <w:lvlJc w:val="left"/>
      <w:lvlText w:val="(%1)"/>
      <w:numFmt w:val="decimal"/>
      <w:start w:val="1"/>
    </w:lvl>
  </w:abstractNum>
  <w:abstractNum w:abstractNumId="66">
    <w:nsid w:val="1D545C4D"/>
    <w:multiLevelType w:val="hybridMultilevel"/>
    <w:lvl w:ilvl="0">
      <w:lvlJc w:val="left"/>
      <w:lvlText w:val="(%1)"/>
      <w:numFmt w:val="decimal"/>
      <w:start w:val="5"/>
    </w:lvl>
  </w:abstractNum>
  <w:abstractNum w:abstractNumId="67">
    <w:nsid w:val="59ADEA3D"/>
    <w:multiLevelType w:val="hybridMultilevel"/>
    <w:lvl w:ilvl="0">
      <w:lvlJc w:val="left"/>
      <w:lvlText w:val="●"/>
      <w:numFmt w:val="bullet"/>
      <w:start w:val="1"/>
    </w:lvl>
  </w:abstractNum>
  <w:abstractNum w:abstractNumId="68">
    <w:nsid w:val="288F1A34"/>
    <w:multiLevelType w:val="hybridMultilevel"/>
    <w:lvl w:ilvl="0">
      <w:lvlJc w:val="left"/>
      <w:lvlText w:val="✓"/>
      <w:numFmt w:val="bullet"/>
      <w:start w:val="1"/>
    </w:lvl>
  </w:abstractNum>
  <w:abstractNum w:abstractNumId="69">
    <w:nsid w:val="2A155DBC"/>
    <w:multiLevelType w:val="hybridMultilevel"/>
    <w:lvl w:ilvl="0">
      <w:lvlJc w:val="left"/>
      <w:lvlText w:val="✕"/>
      <w:numFmt w:val="bullet"/>
      <w:start w:val="1"/>
    </w:lvl>
  </w:abstractNum>
  <w:abstractNum w:abstractNumId="70">
    <w:nsid w:val="1D9F6E5F"/>
    <w:multiLevelType w:val="hybridMultilevel"/>
    <w:lvl w:ilvl="0">
      <w:lvlJc w:val="left"/>
      <w:lvlText w:val="%1"/>
      <w:numFmt w:val="decimal"/>
      <w:start w:val="38"/>
    </w:lvl>
  </w:abstractNum>
  <w:abstractNum w:abstractNumId="71">
    <w:nsid w:val="97E1B4E"/>
    <w:multiLevelType w:val="hybridMultilevel"/>
    <w:lvl w:ilvl="0">
      <w:lvlJc w:val="left"/>
      <w:lvlText w:val="●"/>
      <w:numFmt w:val="bullet"/>
      <w:start w:val="1"/>
    </w:lvl>
  </w:abstractNum>
  <w:abstractNum w:abstractNumId="72">
    <w:nsid w:val="51088277"/>
    <w:multiLevelType w:val="hybridMultilevel"/>
    <w:lvl w:ilvl="0">
      <w:lvlJc w:val="left"/>
      <w:lvlText w:val="%1"/>
      <w:numFmt w:val="decimal"/>
      <w:start w:val="40"/>
    </w:lvl>
  </w:abstractNum>
  <w:abstractNum w:abstractNumId="73">
    <w:nsid w:val="1CA0C5FA"/>
    <w:multiLevelType w:val="hybridMultilevel"/>
    <w:lvl w:ilvl="0">
      <w:lvlJc w:val="left"/>
      <w:lvlText w:val="(%1)"/>
      <w:numFmt w:val="decimal"/>
      <w:start w:val="1"/>
    </w:lvl>
  </w:abstractNum>
  <w:abstractNum w:abstractNumId="74">
    <w:nsid w:val="53584BCB"/>
    <w:multiLevelType w:val="hybridMultilevel"/>
    <w:lvl w:ilvl="0">
      <w:lvlJc w:val="left"/>
      <w:lvlText w:val="●"/>
      <w:numFmt w:val="bullet"/>
      <w:start w:val="1"/>
    </w:lvl>
  </w:abstractNum>
  <w:abstractNum w:abstractNumId="75">
    <w:nsid w:val="415E286C"/>
    <w:multiLevelType w:val="hybridMultilevel"/>
    <w:lvl w:ilvl="0">
      <w:lvlJc w:val="left"/>
      <w:lvlText w:val="(%1)"/>
      <w:numFmt w:val="decimal"/>
      <w:start w:val="1"/>
    </w:lvl>
  </w:abstractNum>
  <w:abstractNum w:abstractNumId="76">
    <w:nsid w:val="7C58FD05"/>
    <w:multiLevelType w:val="hybridMultilevel"/>
    <w:lvl w:ilvl="0">
      <w:lvlJc w:val="left"/>
      <w:lvlText w:val="●"/>
      <w:numFmt w:val="bullet"/>
      <w:start w:val="1"/>
    </w:lvl>
  </w:abstractNum>
  <w:abstractNum w:abstractNumId="77">
    <w:nsid w:val="23D86AAC"/>
    <w:multiLevelType w:val="hybridMultilevel"/>
    <w:lvl w:ilvl="0">
      <w:lvlJc w:val="left"/>
      <w:lvlText w:val="●"/>
      <w:numFmt w:val="bullet"/>
      <w:start w:val="1"/>
    </w:lvl>
  </w:abstractNum>
  <w:abstractNum w:abstractNumId="78">
    <w:nsid w:val="45E6D486"/>
    <w:multiLevelType w:val="hybridMultilevel"/>
    <w:lvl w:ilvl="0">
      <w:lvlJc w:val="left"/>
      <w:lvlText w:val="%1"/>
      <w:numFmt w:val="decimal"/>
      <w:start w:val="42"/>
    </w:lvl>
  </w:abstractNum>
  <w:abstractNum w:abstractNumId="79">
    <w:nsid w:val="5C10FE21"/>
    <w:multiLevelType w:val="hybridMultilevel"/>
    <w:lvl w:ilvl="0">
      <w:lvlJc w:val="left"/>
      <w:lvlText w:val="●"/>
      <w:numFmt w:val="bullet"/>
      <w:start w:val="1"/>
    </w:lvl>
  </w:abstractNum>
  <w:abstractNum w:abstractNumId="80">
    <w:nsid w:val="E7FFA2B"/>
    <w:multiLevelType w:val="hybridMultilevel"/>
    <w:lvl w:ilvl="0">
      <w:lvlJc w:val="left"/>
      <w:lvlText w:val="●"/>
      <w:numFmt w:val="bullet"/>
      <w:start w:val="1"/>
    </w:lvl>
  </w:abstractNum>
  <w:abstractNum w:abstractNumId="81">
    <w:nsid w:val="3C5991AA"/>
    <w:multiLevelType w:val="hybridMultilevel"/>
    <w:lvl w:ilvl="0">
      <w:lvlJc w:val="left"/>
      <w:lvlText w:val="%1"/>
      <w:numFmt w:val="decimal"/>
      <w:start w:val="44"/>
    </w:lvl>
  </w:abstractNum>
  <w:abstractNum w:abstractNumId="82">
    <w:nsid w:val="4BD8591A"/>
    <w:multiLevelType w:val="hybridMultilevel"/>
    <w:lvl w:ilvl="0">
      <w:lvlJc w:val="left"/>
      <w:lvlText w:val="(%1)"/>
      <w:numFmt w:val="decimal"/>
      <w:start w:val="1"/>
    </w:lvl>
  </w:abstractNum>
  <w:abstractNum w:abstractNumId="83">
    <w:nsid w:val="78DF6A55"/>
    <w:multiLevelType w:val="hybridMultilevel"/>
    <w:lvl w:ilvl="0">
      <w:lvlJc w:val="left"/>
      <w:lvlText w:val="●"/>
      <w:numFmt w:val="bullet"/>
      <w:start w:val="1"/>
    </w:lvl>
  </w:abstractNum>
  <w:abstractNum w:abstractNumId="84">
    <w:nsid w:val="39B7AAA2"/>
    <w:multiLevelType w:val="hybridMultilevel"/>
    <w:lvl w:ilvl="0">
      <w:lvlJc w:val="left"/>
      <w:lvlText w:val="●"/>
      <w:numFmt w:val="bullet"/>
      <w:start w:val="1"/>
    </w:lvl>
  </w:abstractNum>
  <w:abstractNum w:abstractNumId="85">
    <w:nsid w:val="2B0D8DBE"/>
    <w:multiLevelType w:val="hybridMultilevel"/>
    <w:lvl w:ilvl="0">
      <w:lvlJc w:val="left"/>
      <w:lvlText w:val="(%1)"/>
      <w:numFmt w:val="decimal"/>
      <w:start w:val="1"/>
    </w:lvl>
  </w:abstractNum>
  <w:abstractNum w:abstractNumId="86">
    <w:nsid w:val="6C80EC70"/>
    <w:multiLevelType w:val="hybridMultilevel"/>
    <w:lvl w:ilvl="0">
      <w:lvlJc w:val="left"/>
      <w:lvlText w:val="%1"/>
      <w:numFmt w:val="decimal"/>
      <w:start w:val="48"/>
    </w:lvl>
  </w:abstractNum>
  <w:abstractNum w:abstractNumId="87">
    <w:nsid w:val="379E21B5"/>
    <w:multiLevelType w:val="hybridMultilevel"/>
    <w:lvl w:ilvl="0">
      <w:lvlJc w:val="left"/>
      <w:lvlText w:val="(%1)"/>
      <w:numFmt w:val="decimal"/>
      <w:start w:val="1"/>
    </w:lvl>
  </w:abstractNum>
  <w:abstractNum w:abstractNumId="88">
    <w:nsid w:val="69E373"/>
    <w:multiLevelType w:val="hybridMultilevel"/>
    <w:lvl w:ilvl="0">
      <w:lvlJc w:val="left"/>
      <w:lvlText w:val="%1"/>
      <w:numFmt w:val="decimal"/>
      <w:start w:val="1"/>
    </w:lvl>
    <w:lvl w:ilvl="1">
      <w:lvlJc w:val="left"/>
      <w:lvlText w:val="(%2)"/>
      <w:numFmt w:val="lowerLetter"/>
      <w:start w:val="1"/>
    </w:lvl>
  </w:abstractNum>
  <w:abstractNum w:abstractNumId="89">
    <w:nsid w:val="2C27173B"/>
    <w:multiLevelType w:val="hybridMultilevel"/>
    <w:lvl w:ilvl="0">
      <w:lvlJc w:val="left"/>
      <w:lvlText w:val="(%1)"/>
      <w:numFmt w:val="decimal"/>
      <w:start w:val="4"/>
    </w:lvl>
    <w:lvl w:ilvl="1">
      <w:lvlJc w:val="left"/>
      <w:lvlText w:val="%2"/>
      <w:numFmt w:val="lowerLetter"/>
      <w:start w:val="1"/>
    </w:lvl>
  </w:abstractNum>
  <w:abstractNum w:abstractNumId="90">
    <w:nsid w:val="4C9B0904"/>
    <w:multiLevelType w:val="hybridMultilevel"/>
    <w:lvl w:ilvl="0">
      <w:lvlJc w:val="left"/>
      <w:lvlText w:val="%1"/>
      <w:numFmt w:val="decimal"/>
      <w:start w:val="50"/>
    </w:lvl>
  </w:abstractNum>
  <w:abstractNum w:abstractNumId="91">
    <w:nsid w:val="6AA7B75C"/>
    <w:multiLevelType w:val="hybridMultilevel"/>
    <w:lvl w:ilvl="0">
      <w:lvlJc w:val="left"/>
      <w:lvlText w:val="(%1)"/>
      <w:numFmt w:val="decimal"/>
      <w:start w:val="1"/>
    </w:lvl>
  </w:abstractNum>
  <w:abstractNum w:abstractNumId="92">
    <w:nsid w:val="1DF029D3"/>
    <w:multiLevelType w:val="hybridMultilevel"/>
    <w:lvl w:ilvl="0">
      <w:lvlJc w:val="left"/>
      <w:lvlText w:val="(%1)"/>
      <w:numFmt w:val="decimal"/>
      <w:start w:val="4"/>
    </w:lvl>
  </w:abstractNum>
  <w:abstractNum w:abstractNumId="93">
    <w:nsid w:val="5675FF36"/>
    <w:multiLevelType w:val="hybridMultilevel"/>
    <w:lvl w:ilvl="0">
      <w:lvlJc w:val="left"/>
      <w:lvlText w:val="%1"/>
      <w:numFmt w:val="decimal"/>
      <w:start w:val="52"/>
    </w:lvl>
  </w:abstractNum>
  <w:abstractNum w:abstractNumId="94">
    <w:nsid w:val="3DD15094"/>
    <w:multiLevelType w:val="hybridMultilevel"/>
    <w:lvl w:ilvl="0">
      <w:lvlJc w:val="left"/>
      <w:lvlText w:val="(%1)"/>
      <w:numFmt w:val="decimal"/>
      <w:start w:val="1"/>
    </w:lvl>
  </w:abstractNum>
  <w:abstractNum w:abstractNumId="95">
    <w:nsid w:val="3DB012B3"/>
    <w:multiLevelType w:val="hybridMultilevel"/>
    <w:lvl w:ilvl="0">
      <w:lvlJc w:val="left"/>
      <w:lvlText w:val="%1"/>
      <w:numFmt w:val="decimal"/>
      <w:start w:val="1"/>
    </w:lvl>
    <w:lvl w:ilvl="1">
      <w:lvlJc w:val="left"/>
      <w:lvlText w:val="(%2)"/>
      <w:numFmt w:val="lowerLetter"/>
      <w:start w:val="1"/>
    </w:lvl>
  </w:abstractNum>
  <w:abstractNum w:abstractNumId="96">
    <w:nsid w:val="2708C9AF"/>
    <w:multiLevelType w:val="hybridMultilevel"/>
    <w:lvl w:ilvl="0">
      <w:lvlJc w:val="left"/>
      <w:lvlText w:val="(%1)"/>
      <w:numFmt w:val="decimal"/>
      <w:start w:val="2"/>
    </w:lvl>
    <w:lvl w:ilvl="1">
      <w:lvlJc w:val="left"/>
      <w:lvlText w:val="%2"/>
      <w:numFmt w:val="lowerLetter"/>
      <w:start w:val="1"/>
    </w:lvl>
  </w:abstractNum>
  <w:abstractNum w:abstractNumId="97">
    <w:nsid w:val="5B25ACE2"/>
    <w:multiLevelType w:val="hybridMultilevel"/>
    <w:lvl w:ilvl="0">
      <w:lvlJc w:val="left"/>
      <w:lvlText w:val="(%1)"/>
      <w:numFmt w:val="decimal"/>
      <w:start w:val="3"/>
    </w:lvl>
  </w:abstractNum>
  <w:abstractNum w:abstractNumId="98">
    <w:nsid w:val="175DFCF0"/>
    <w:multiLevelType w:val="hybridMultilevel"/>
    <w:lvl w:ilvl="0">
      <w:lvlJc w:val="left"/>
      <w:lvlText w:val="%1"/>
      <w:numFmt w:val="decimal"/>
      <w:start w:val="1"/>
    </w:lvl>
    <w:lvl w:ilvl="1">
      <w:lvlJc w:val="left"/>
      <w:lvlText w:val="(%2)"/>
      <w:numFmt w:val="lowerLetter"/>
      <w:start w:val="1"/>
    </w:lvl>
  </w:abstractNum>
  <w:abstractNum w:abstractNumId="99">
    <w:nsid w:val="4F97E3E4"/>
    <w:multiLevelType w:val="hybridMultilevel"/>
    <w:lvl w:ilvl="0">
      <w:lvlJc w:val="left"/>
      <w:lvlText w:val="(%1)"/>
      <w:numFmt w:val="decimal"/>
      <w:start w:val="4"/>
    </w:lvl>
    <w:lvl w:ilvl="1">
      <w:lvlJc w:val="left"/>
      <w:lvlText w:val="%2"/>
      <w:numFmt w:val="lowerLetter"/>
      <w:start w:val="1"/>
    </w:lvl>
  </w:abstractNum>
  <w:abstractNum w:abstractNumId="100">
    <w:nsid w:val="53B0A9E"/>
    <w:multiLevelType w:val="hybridMultilevel"/>
    <w:lvl w:ilvl="0">
      <w:lvlJc w:val="left"/>
      <w:lvlText w:val="(%1)"/>
      <w:numFmt w:val="decimal"/>
      <w:start w:val="1"/>
    </w:lvl>
  </w:abstractNum>
  <w:abstractNum w:abstractNumId="101">
    <w:nsid w:val="34FD6B4F"/>
    <w:multiLevelType w:val="hybridMultilevel"/>
    <w:lvl w:ilvl="0">
      <w:lvlJc w:val="left"/>
      <w:lvlText w:val="%1"/>
      <w:numFmt w:val="decimal"/>
      <w:start w:val="54"/>
    </w:lvl>
  </w:abstractNum>
  <w:abstractNum w:abstractNumId="102">
    <w:nsid w:val="5915FF32"/>
    <w:multiLevelType w:val="hybridMultilevel"/>
    <w:lvl w:ilvl="0">
      <w:lvlJc w:val="left"/>
      <w:lvlText w:val="(%1)"/>
      <w:numFmt w:val="decimal"/>
      <w:start w:val="1"/>
    </w:lvl>
  </w:abstractNum>
  <w:abstractNum w:abstractNumId="103">
    <w:nsid w:val="56438D15"/>
    <w:multiLevelType w:val="hybridMultilevel"/>
    <w:lvl w:ilvl="0">
      <w:lvlJc w:val="left"/>
      <w:lvlText w:val="●"/>
      <w:numFmt w:val="bullet"/>
      <w:start w:val="1"/>
    </w:lvl>
  </w:abstractNum>
  <w:abstractNum w:abstractNumId="104">
    <w:nsid w:val="519E3149"/>
    <w:multiLevelType w:val="hybridMultilevel"/>
    <w:lvl w:ilvl="0">
      <w:lvlJc w:val="left"/>
      <w:lvlText w:val="●"/>
      <w:numFmt w:val="bullet"/>
      <w:start w:val="1"/>
    </w:lvl>
  </w:abstractNum>
  <w:abstractNum w:abstractNumId="105">
    <w:nsid w:val="2C6E4AFD"/>
    <w:multiLevelType w:val="hybridMultilevel"/>
    <w:lvl w:ilvl="0">
      <w:lvlJc w:val="left"/>
      <w:lvlText w:val="●"/>
      <w:numFmt w:val="bullet"/>
      <w:start w:val="1"/>
    </w:lvl>
  </w:abstractNum>
  <w:abstractNum w:abstractNumId="106">
    <w:nsid w:val="17A1B582"/>
    <w:multiLevelType w:val="hybridMultilevel"/>
    <w:lvl w:ilvl="0">
      <w:lvlJc w:val="left"/>
      <w:lvlText w:val="●"/>
      <w:numFmt w:val="bullet"/>
      <w:start w:val="1"/>
    </w:lvl>
  </w:abstractNum>
  <w:abstractNum w:abstractNumId="107">
    <w:nsid w:val="4DF72E4E"/>
    <w:multiLevelType w:val="hybridMultilevel"/>
    <w:lvl w:ilvl="0">
      <w:lvlJc w:val="left"/>
      <w:lvlText w:val="●"/>
      <w:numFmt w:val="bullet"/>
      <w:start w:val="1"/>
    </w:lvl>
  </w:abstractNum>
  <w:abstractNum w:abstractNumId="108">
    <w:nsid w:val="5046B5A9"/>
    <w:multiLevelType w:val="hybridMultilevel"/>
    <w:lvl w:ilvl="0">
      <w:lvlJc w:val="left"/>
      <w:lvlText w:val="●"/>
      <w:numFmt w:val="bullet"/>
      <w:start w:val="1"/>
    </w:lvl>
  </w:abstractNum>
  <w:abstractNum w:abstractNumId="109">
    <w:nsid w:val="5D888A08"/>
    <w:multiLevelType w:val="hybridMultilevel"/>
    <w:lvl w:ilvl="0">
      <w:lvlJc w:val="left"/>
      <w:lvlText w:val="●"/>
      <w:numFmt w:val="bullet"/>
      <w:start w:val="1"/>
    </w:lvl>
  </w:abstractNum>
  <w:abstractNum w:abstractNumId="110">
    <w:nsid w:val="2A082C70"/>
    <w:multiLevelType w:val="hybridMultilevel"/>
    <w:lvl w:ilvl="0">
      <w:lvlJc w:val="left"/>
      <w:lvlText w:val="●"/>
      <w:numFmt w:val="bullet"/>
      <w:start w:val="1"/>
    </w:lvl>
  </w:abstractNum>
  <w:abstractNum w:abstractNumId="111">
    <w:nsid w:val="5EC6AFD4"/>
    <w:multiLevelType w:val="hybridMultilevel"/>
    <w:lvl w:ilvl="0">
      <w:lvlJc w:val="left"/>
      <w:lvlText w:val="●"/>
      <w:numFmt w:val="bullet"/>
      <w:start w:val="1"/>
    </w:lvl>
  </w:abstractNum>
  <w:abstractNum w:abstractNumId="112">
    <w:nsid w:val="19E21BB2"/>
    <w:multiLevelType w:val="hybridMultilevel"/>
    <w:lvl w:ilvl="0">
      <w:lvlJc w:val="left"/>
      <w:lvlText w:val="●"/>
      <w:numFmt w:val="bullet"/>
      <w:start w:val="1"/>
    </w:lvl>
  </w:abstractNum>
  <w:abstractNum w:abstractNumId="113">
    <w:nsid w:val="75E0858A"/>
    <w:multiLevelType w:val="hybridMultilevel"/>
    <w:lvl w:ilvl="0">
      <w:lvlJc w:val="left"/>
      <w:lvlText w:val="●"/>
      <w:numFmt w:val="bullet"/>
      <w:start w:val="1"/>
    </w:lvl>
  </w:abstractNum>
  <w:abstractNum w:abstractNumId="114">
    <w:nsid w:val="57A61A29"/>
    <w:multiLevelType w:val="hybridMultilevel"/>
    <w:lvl w:ilvl="0">
      <w:lvlJc w:val="left"/>
      <w:lvlText w:val="●"/>
      <w:numFmt w:val="bullet"/>
      <w:start w:val="1"/>
    </w:lvl>
  </w:abstractNum>
  <w:abstractNum w:abstractNumId="115">
    <w:nsid w:val="5399C654"/>
    <w:multiLevelType w:val="hybridMultilevel"/>
    <w:lvl w:ilvl="0">
      <w:lvlJc w:val="left"/>
      <w:lvlText w:val="%1"/>
      <w:numFmt w:val="decimal"/>
      <w:start w:val="56"/>
    </w:lvl>
  </w:abstractNum>
  <w:abstractNum w:abstractNumId="116">
    <w:nsid w:val="20EE1348"/>
    <w:multiLevelType w:val="hybridMultilevel"/>
    <w:lvl w:ilvl="0">
      <w:lvlJc w:val="left"/>
      <w:lvlText w:val="●"/>
      <w:numFmt w:val="bullet"/>
      <w:start w:val="1"/>
    </w:lvl>
  </w:abstractNum>
  <w:abstractNum w:abstractNumId="117">
    <w:nsid w:val="4427069A"/>
    <w:multiLevelType w:val="hybridMultilevel"/>
    <w:lvl w:ilvl="0">
      <w:lvlJc w:val="left"/>
      <w:lvlText w:val="●"/>
      <w:numFmt w:val="bullet"/>
      <w:start w:val="1"/>
    </w:lvl>
  </w:abstractNum>
  <w:abstractNum w:abstractNumId="118">
    <w:nsid w:val="B37E80A"/>
    <w:multiLevelType w:val="hybridMultilevel"/>
    <w:lvl w:ilvl="0">
      <w:lvlJc w:val="left"/>
      <w:lvlText w:val="●"/>
      <w:numFmt w:val="bullet"/>
      <w:start w:val="1"/>
    </w:lvl>
  </w:abstractNum>
  <w:abstractNum w:abstractNumId="119">
    <w:nsid w:val="2157F6BC"/>
    <w:multiLevelType w:val="hybridMultilevel"/>
    <w:lvl w:ilvl="0">
      <w:lvlJc w:val="left"/>
      <w:lvlText w:val="●"/>
      <w:numFmt w:val="bullet"/>
      <w:start w:val="1"/>
    </w:lvl>
  </w:abstractNum>
  <w:abstractNum w:abstractNumId="120">
    <w:nsid w:val="704E1DD5"/>
    <w:multiLevelType w:val="hybridMultilevel"/>
    <w:lvl w:ilvl="0">
      <w:lvlJc w:val="left"/>
      <w:lvlText w:val="●"/>
      <w:numFmt w:val="bullet"/>
      <w:start w:val="1"/>
    </w:lvl>
  </w:abstractNum>
  <w:abstractNum w:abstractNumId="121">
    <w:nsid w:val="57D2F10E"/>
    <w:multiLevelType w:val="hybridMultilevel"/>
    <w:lvl w:ilvl="0">
      <w:lvlJc w:val="left"/>
      <w:lvlText w:val="●"/>
      <w:numFmt w:val="bullet"/>
      <w:start w:val="1"/>
    </w:lvl>
  </w:abstractNum>
  <w:abstractNum w:abstractNumId="122">
    <w:nsid w:val="BFFAE18"/>
    <w:multiLevelType w:val="hybridMultilevel"/>
    <w:lvl w:ilvl="0">
      <w:lvlJc w:val="left"/>
      <w:lvlText w:val="●"/>
      <w:numFmt w:val="bullet"/>
      <w:start w:val="1"/>
    </w:lvl>
  </w:abstractNum>
  <w:abstractNum w:abstractNumId="123">
    <w:nsid w:val="E3E47A8"/>
    <w:multiLevelType w:val="hybridMultilevel"/>
    <w:lvl w:ilvl="0">
      <w:lvlJc w:val="left"/>
      <w:lvlText w:val="●"/>
      <w:numFmt w:val="bullet"/>
      <w:start w:val="1"/>
    </w:lvl>
  </w:abstractNum>
  <w:abstractNum w:abstractNumId="124">
    <w:nsid w:val="2E48F044"/>
    <w:multiLevelType w:val="hybridMultilevel"/>
    <w:lvl w:ilvl="0">
      <w:lvlJc w:val="left"/>
      <w:lvlText w:val="●"/>
      <w:numFmt w:val="bullet"/>
      <w:start w:val="1"/>
    </w:lvl>
  </w:abstractNum>
  <w:abstractNum w:abstractNumId="125">
    <w:nsid w:val="49D0FEAC"/>
    <w:multiLevelType w:val="hybridMultilevel"/>
    <w:lvl w:ilvl="0">
      <w:lvlJc w:val="left"/>
      <w:lvlText w:val="(%1)"/>
      <w:numFmt w:val="decimal"/>
      <w:start w:val="1"/>
    </w:lvl>
  </w:abstractNum>
  <w:abstractNum w:abstractNumId="126">
    <w:nsid w:val="4BEE5A5B"/>
    <w:multiLevelType w:val="hybridMultilevel"/>
    <w:lvl w:ilvl="0">
      <w:lvlJc w:val="left"/>
      <w:lvlText w:val="%1"/>
      <w:numFmt w:val="decimal"/>
      <w:start w:val="58"/>
    </w:lvl>
  </w:abstractNum>
  <w:abstractNum w:abstractNumId="127">
    <w:nsid w:val="5551B9F3"/>
    <w:multiLevelType w:val="hybridMultilevel"/>
    <w:lvl w:ilvl="0">
      <w:lvlJc w:val="left"/>
      <w:lvlText w:val="(%1)"/>
      <w:numFmt w:val="decimal"/>
      <w:start w:val="5"/>
    </w:lvl>
  </w:abstractNum>
  <w:abstractNum w:abstractNumId="128">
    <w:nsid w:val="24F6AB8E"/>
    <w:multiLevelType w:val="hybridMultilevel"/>
    <w:lvl w:ilvl="0">
      <w:lvlJc w:val="left"/>
      <w:lvlText w:val="(%1)"/>
      <w:numFmt w:val="decimal"/>
      <w:start w:val="1"/>
    </w:lvl>
  </w:abstractNum>
  <w:abstractNum w:abstractNumId="129">
    <w:nsid w:val="634C574C"/>
    <w:multiLevelType w:val="hybridMultilevel"/>
    <w:lvl w:ilvl="0">
      <w:lvlJc w:val="left"/>
      <w:lvlText w:val="%1"/>
      <w:numFmt w:val="decimal"/>
      <w:start w:val="60"/>
    </w:lvl>
  </w:abstractNum>
  <w:abstractNum w:abstractNumId="130">
    <w:nsid w:val="24E99DD7"/>
    <w:multiLevelType w:val="hybridMultilevel"/>
    <w:lvl w:ilvl="0">
      <w:lvlJc w:val="left"/>
      <w:lvlText w:val="(%1)"/>
      <w:numFmt w:val="decimal"/>
      <w:start w:val="3"/>
    </w:lvl>
  </w:abstractNum>
  <w:abstractNum w:abstractNumId="131">
    <w:nsid w:val="2A31B62D"/>
    <w:multiLevelType w:val="hybridMultilevel"/>
    <w:lvl w:ilvl="0">
      <w:lvlJc w:val="left"/>
      <w:lvlText w:val="%1"/>
      <w:numFmt w:val="decimal"/>
      <w:start w:val="62"/>
    </w:lvl>
  </w:abstractNum>
  <w:abstractNum w:abstractNumId="132">
    <w:nsid w:val="1849C29B"/>
    <w:multiLevelType w:val="hybridMultilevel"/>
    <w:lvl w:ilvl="0">
      <w:lvlJc w:val="left"/>
      <w:lvlText w:val="%1"/>
      <w:numFmt w:val="decimal"/>
      <w:start w:val="64"/>
    </w:lvl>
  </w:abstractNum>
  <w:abstractNum w:abstractNumId="133">
    <w:nsid w:val="7DFF9D09"/>
    <w:multiLevelType w:val="hybridMultilevel"/>
    <w:lvl w:ilvl="0">
      <w:lvlJc w:val="left"/>
      <w:lvlText w:val="*"/>
      <w:numFmt w:val="bullet"/>
      <w:start w:val="1"/>
    </w:lvl>
  </w:abstractNum>
  <w:abstractNum w:abstractNumId="134">
    <w:nsid w:val="754342"/>
    <w:multiLevelType w:val="hybridMultilevel"/>
    <w:lvl w:ilvl="0">
      <w:lvlJc w:val="left"/>
      <w:lvlText w:val="**"/>
      <w:numFmt w:val="bullet"/>
      <w:start w:val="1"/>
    </w:lvl>
  </w:abstractNum>
  <w:abstractNum w:abstractNumId="135">
    <w:nsid w:val="69E7F3E5"/>
    <w:multiLevelType w:val="hybridMultilevel"/>
    <w:lvl w:ilvl="0">
      <w:lvlJc w:val="left"/>
      <w:lvlText w:val="(%1)"/>
      <w:numFmt w:val="decimal"/>
      <w:start w:val="1"/>
    </w:lvl>
  </w:abstractNum>
  <w:abstractNum w:abstractNumId="136">
    <w:nsid w:val="2A6DE806"/>
    <w:multiLevelType w:val="hybridMultilevel"/>
    <w:lvl w:ilvl="0">
      <w:lvlJc w:val="left"/>
      <w:lvlText w:val="(%1)"/>
      <w:numFmt w:val="decimal"/>
      <w:start w:val="2"/>
    </w:lvl>
  </w:abstractNum>
  <w:abstractNum w:abstractNumId="137">
    <w:nsid w:val="1816F8C4"/>
    <w:multiLevelType w:val="hybridMultilevel"/>
    <w:lvl w:ilvl="0">
      <w:lvlJc w:val="left"/>
      <w:lvlText w:val="%1"/>
      <w:numFmt w:val="decimal"/>
      <w:start w:val="66"/>
    </w:lvl>
  </w:abstractNum>
  <w:abstractNum w:abstractNumId="138">
    <w:nsid w:val="37DF2233"/>
    <w:multiLevelType w:val="hybridMultilevel"/>
    <w:lvl w:ilvl="0">
      <w:lvlJc w:val="left"/>
      <w:lvlText w:val="*"/>
      <w:numFmt w:val="bullet"/>
      <w:start w:val="1"/>
    </w:lvl>
  </w:abstractNum>
  <w:abstractNum w:abstractNumId="139">
    <w:nsid w:val="7AB49DAF"/>
    <w:multiLevelType w:val="hybridMultilevel"/>
    <w:lvl w:ilvl="0">
      <w:lvlJc w:val="left"/>
      <w:lvlText w:val="%1"/>
      <w:numFmt w:val="decimal"/>
      <w:start w:val="68"/>
    </w:lvl>
  </w:abstractNum>
  <w:abstractNum w:abstractNumId="140">
    <w:nsid w:val="759F82CD"/>
    <w:multiLevelType w:val="hybridMultilevel"/>
    <w:lvl w:ilvl="0">
      <w:lvlJc w:val="left"/>
      <w:lvlText w:val="●"/>
      <w:numFmt w:val="bullet"/>
      <w:start w:val="1"/>
    </w:lvl>
  </w:abstractNum>
  <w:abstractNum w:abstractNumId="141">
    <w:nsid w:val="61E74EA3"/>
    <w:multiLevelType w:val="hybridMultilevel"/>
    <w:lvl w:ilvl="0">
      <w:lvlJc w:val="left"/>
      <w:lvlText w:val="%1"/>
      <w:numFmt w:val="decimal"/>
      <w:start w:val="70"/>
    </w:lvl>
  </w:abstractNum>
  <w:abstractNum w:abstractNumId="142">
    <w:nsid w:val="597B4D84"/>
    <w:multiLevelType w:val="hybridMultilevel"/>
    <w:lvl w:ilvl="0">
      <w:lvlJc w:val="left"/>
      <w:lvlText w:val="●"/>
      <w:numFmt w:val="bullet"/>
      <w:start w:val="1"/>
    </w:lvl>
  </w:abstractNum>
  <w:abstractNum w:abstractNumId="143">
    <w:nsid w:val="F819E7F"/>
    <w:multiLevelType w:val="hybridMultilevel"/>
    <w:lvl w:ilvl="0">
      <w:lvlJc w:val="left"/>
      <w:lvlText w:val="●"/>
      <w:numFmt w:val="bullet"/>
      <w:start w:val="1"/>
    </w:lvl>
  </w:abstractNum>
  <w:abstractNum w:abstractNumId="144">
    <w:nsid w:val="57C7D42D"/>
    <w:multiLevelType w:val="hybridMultilevel"/>
    <w:lvl w:ilvl="0">
      <w:lvlJc w:val="left"/>
      <w:lvlText w:val="●"/>
      <w:numFmt w:val="bullet"/>
      <w:start w:val="1"/>
    </w:lvl>
  </w:abstractNum>
  <w:abstractNum w:abstractNumId="145">
    <w:nsid w:val="312167AD"/>
    <w:multiLevelType w:val="hybridMultilevel"/>
    <w:lvl w:ilvl="0">
      <w:lvlJc w:val="left"/>
      <w:lvlText w:val="●"/>
      <w:numFmt w:val="bullet"/>
      <w:start w:val="1"/>
    </w:lvl>
  </w:abstractNum>
  <w:abstractNum w:abstractNumId="146">
    <w:nsid w:val="631B64D4"/>
    <w:multiLevelType w:val="hybridMultilevel"/>
    <w:lvl w:ilvl="0">
      <w:lvlJc w:val="left"/>
      <w:lvlText w:val="%1"/>
      <w:numFmt w:val="decimal"/>
      <w:start w:val="7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2020-04-24T15:54:59Z</dcterms:created>
  <dcterms:modified xsi:type="dcterms:W3CDTF">2020-04-24T15:54:59Z</dcterms:modified>
</cp:coreProperties>
</file>