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20"/>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Free Writing Prospectus</w:t>
      </w:r>
    </w:p>
    <w:p>
      <w:pPr>
        <w:spacing w:after="0" w:line="9" w:lineRule="exact"/>
        <w:rPr>
          <w:sz w:val="24"/>
          <w:szCs w:val="24"/>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Registration Statement No. 333-208621</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Final Term Sheet/Pricing Supplement</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Fully and unconditionally guaranteed by SL Green Realty Corp. and Reckson Operating Partnership, L.P.</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$500,000,000 3.250% Senior Notes due 2022</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October 3, 2017</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SL Green Operating Partnership, L.P.</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Guarantors:</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SL Green Realty Corp.</w:t>
            </w:r>
          </w:p>
        </w:tc>
      </w:tr>
      <w:tr>
        <w:trPr>
          <w:trHeight w:val="234"/>
        </w:trPr>
        <w:tc>
          <w:tcPr>
            <w:tcW w:w="3300" w:type="dxa"/>
            <w:vAlign w:val="bottom"/>
          </w:tcPr>
          <w:p>
            <w:pPr>
              <w:spacing w:after="0"/>
              <w:rPr>
                <w:sz w:val="20"/>
                <w:szCs w:val="20"/>
                <w:color w:val="auto"/>
              </w:rPr>
            </w:pP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Reckson Operating Partnership, L.P.</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Security Type:</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Senior Unsecured Notes</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Offered:</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$500,000,000</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Issuer intends to use the net proceeds from the sale of the Notes to repay the Issuer’s</w:t>
            </w:r>
          </w:p>
        </w:tc>
      </w:tr>
      <w:tr>
        <w:trPr>
          <w:trHeight w:val="216"/>
        </w:trPr>
        <w:tc>
          <w:tcPr>
            <w:tcW w:w="3300" w:type="dxa"/>
            <w:vAlign w:val="bottom"/>
          </w:tcPr>
          <w:p>
            <w:pPr>
              <w:spacing w:after="0"/>
              <w:rPr>
                <w:sz w:val="18"/>
                <w:szCs w:val="18"/>
                <w:color w:val="auto"/>
              </w:rPr>
            </w:pP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outstanding 3.00% Exchangeable Senior Notes due 2017 and the balance for general corporate</w:t>
            </w:r>
          </w:p>
        </w:tc>
      </w:tr>
      <w:tr>
        <w:trPr>
          <w:trHeight w:val="234"/>
        </w:trPr>
        <w:tc>
          <w:tcPr>
            <w:tcW w:w="3300" w:type="dxa"/>
            <w:vAlign w:val="bottom"/>
          </w:tcPr>
          <w:p>
            <w:pPr>
              <w:spacing w:after="0"/>
              <w:rPr>
                <w:sz w:val="20"/>
                <w:szCs w:val="20"/>
                <w:color w:val="auto"/>
              </w:rPr>
            </w:pP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purposes, which may include, among other things, the repayment of other existing indebtedness</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October 3, 2017</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October 5, 2017 (T+2)</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October 15, 2022</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Semi-annually on April 15 and October 15 of each year, beginning on April 15, 2018</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1.875% due September 30, 2022</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Yield:</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1.923%</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135 bps</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Coupon (per annum):</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3.250%</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99.893%</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0.600%</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Re-offer Yield:</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3.273%</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Make-whole call at any time prior to September 15, 2022, at the Treasury Rate plus 25 basis</w:t>
            </w:r>
          </w:p>
        </w:tc>
      </w:tr>
      <w:tr>
        <w:trPr>
          <w:trHeight w:val="234"/>
        </w:trPr>
        <w:tc>
          <w:tcPr>
            <w:tcW w:w="3300" w:type="dxa"/>
            <w:vAlign w:val="bottom"/>
          </w:tcPr>
          <w:p>
            <w:pPr>
              <w:spacing w:after="0"/>
              <w:rPr>
                <w:sz w:val="20"/>
                <w:szCs w:val="20"/>
                <w:color w:val="auto"/>
              </w:rPr>
            </w:pP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points;</w:t>
            </w:r>
          </w:p>
        </w:tc>
      </w:tr>
      <w:tr>
        <w:trPr>
          <w:trHeight w:val="414"/>
        </w:trPr>
        <w:tc>
          <w:tcPr>
            <w:tcW w:w="3300" w:type="dxa"/>
            <w:vAlign w:val="bottom"/>
          </w:tcPr>
          <w:p>
            <w:pPr>
              <w:spacing w:after="0"/>
              <w:rPr>
                <w:sz w:val="24"/>
                <w:szCs w:val="24"/>
                <w:color w:val="auto"/>
              </w:rPr>
            </w:pP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On or after September 15, 2022 (one month prior to the maturity date), the redemption price for</w:t>
            </w:r>
          </w:p>
        </w:tc>
      </w:tr>
      <w:tr>
        <w:trPr>
          <w:trHeight w:val="234"/>
        </w:trPr>
        <w:tc>
          <w:tcPr>
            <w:tcW w:w="3300" w:type="dxa"/>
            <w:vAlign w:val="bottom"/>
          </w:tcPr>
          <w:p>
            <w:pPr>
              <w:spacing w:after="0"/>
              <w:rPr>
                <w:sz w:val="20"/>
                <w:szCs w:val="20"/>
                <w:color w:val="auto"/>
              </w:rPr>
            </w:pPr>
          </w:p>
        </w:tc>
        <w:tc>
          <w:tcPr>
            <w:tcW w:w="8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notes will equal 100% of the principal amount of the notes</w:t>
            </w:r>
          </w:p>
        </w:tc>
      </w:tr>
      <w:tr>
        <w:trPr>
          <w:trHeight w:val="348"/>
        </w:trPr>
        <w:tc>
          <w:tcPr>
            <w:tcW w:w="3300" w:type="dxa"/>
            <w:vAlign w:val="bottom"/>
            <w:tcBorders>
              <w:bottom w:val="single" w:sz="8" w:color="808080"/>
            </w:tcBorders>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1" w:right="199" w:bottom="0" w:gutter="0" w:footer="0" w:header="0"/>
        </w:sectPr>
      </w:pP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Day Count Convention: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30/360</w:t>
      </w:r>
    </w:p>
    <w:p>
      <w:pPr>
        <w:spacing w:after="0" w:line="200" w:lineRule="exact"/>
        <w:rPr>
          <w:sz w:val="24"/>
          <w:szCs w:val="24"/>
          <w:color w:val="auto"/>
        </w:rPr>
      </w:pPr>
    </w:p>
    <w:p>
      <w:pPr>
        <w:sectPr>
          <w:pgSz w:w="11900" w:h="16838" w:orient="portrait"/>
          <w:cols w:equalWidth="0" w:num="2">
            <w:col w:w="3580" w:space="720"/>
            <w:col w:w="7160"/>
          </w:cols>
          <w:pgMar w:left="240" w:top="441" w:right="199" w:bottom="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3060"/>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211" w:lineRule="exact"/>
        <w:rPr>
          <w:sz w:val="24"/>
          <w:szCs w:val="24"/>
          <w:color w:val="auto"/>
        </w:rPr>
      </w:pPr>
    </w:p>
    <w:p>
      <w:pPr>
        <w:sectPr>
          <w:pgSz w:w="11900" w:h="16838" w:orient="portrait"/>
          <w:cols w:equalWidth="0" w:num="2">
            <w:col w:w="3580" w:space="720"/>
            <w:col w:w="7160"/>
          </w:cols>
          <w:pgMar w:left="240" w:top="441" w:right="19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78444F AF3 / US78444FAF36</w:t>
      </w:r>
    </w:p>
    <w:p>
      <w:pPr>
        <w:spacing w:after="0" w:line="200" w:lineRule="exact"/>
        <w:rPr>
          <w:sz w:val="24"/>
          <w:szCs w:val="24"/>
          <w:color w:val="auto"/>
        </w:rPr>
      </w:pPr>
    </w:p>
    <w:p>
      <w:pPr>
        <w:sectPr>
          <w:pgSz w:w="11900" w:h="16838" w:orient="portrait"/>
          <w:cols w:equalWidth="0" w:num="2">
            <w:col w:w="3580" w:space="720"/>
            <w:col w:w="7160"/>
          </w:cols>
          <w:pgMar w:left="240" w:top="441" w:right="199" w:bottom="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00" w:lineRule="exact"/>
        <w:rPr>
          <w:sz w:val="24"/>
          <w:szCs w:val="24"/>
          <w:color w:val="auto"/>
        </w:rPr>
      </w:pPr>
    </w:p>
    <w:p>
      <w:pPr>
        <w:sectPr>
          <w:pgSz w:w="11900" w:h="16838" w:orient="portrait"/>
          <w:cols w:equalWidth="0" w:num="2">
            <w:col w:w="3580" w:space="720"/>
            <w:col w:w="7160"/>
          </w:cols>
          <w:pgMar w:left="240" w:top="441" w:right="199"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200" w:lineRule="exact"/>
        <w:rPr>
          <w:sz w:val="24"/>
          <w:szCs w:val="24"/>
          <w:color w:val="auto"/>
        </w:rPr>
      </w:pPr>
    </w:p>
    <w:p>
      <w:pPr>
        <w:sectPr>
          <w:pgSz w:w="11900" w:h="16838" w:orient="portrait"/>
          <w:cols w:equalWidth="0" w:num="2">
            <w:col w:w="3580" w:space="720"/>
            <w:col w:w="7160"/>
          </w:cols>
          <w:pgMar w:left="240" w:top="441" w:right="199" w:bottom="0" w:gutter="0" w:footer="0" w:header="0"/>
          <w:type w:val="continuous"/>
        </w:sectPr>
      </w:pPr>
    </w:p>
    <w:p>
      <w:pPr>
        <w:spacing w:after="0" w:line="7"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Issuer and the Guarantors have filed a registration statement (including a preliminary prospectus supplement and a prospectus) with the Securities and Exchange Commission (SEC) for the offering to which this communication relates. Before you invest, you should read the preliminary prospectus</w:t>
      </w:r>
    </w:p>
    <w:p>
      <w:pPr>
        <w:sectPr>
          <w:pgSz w:w="11900" w:h="16838" w:orient="portrait"/>
          <w:cols w:equalWidth="0" w:num="1">
            <w:col w:w="11460"/>
          </w:cols>
          <w:pgMar w:left="240" w:top="441" w:right="199" w:bottom="0" w:gutter="0" w:footer="0" w:header="0"/>
          <w:type w:val="continuous"/>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8"/>
          <w:szCs w:val="18"/>
          <w:color w:val="auto"/>
        </w:rPr>
        <w:t>supplement for this offering, the Issuer’s and the Guarantors’ prospectus in that registration statement and any other documents the Issuer or the Guarantors have filed with the SEC for more complete information about the Issuer, the Guarantors and this offering. You may get these documents for free by searching the SEC online data base (EDGAR) on the SEC web site at http://www.sec.gov. Alternatively, the Issuer, the Guarantors, any underwriter or any dealer participating in the offering will arrange to send you the prospectus supplement and prospectus if you request it by calling Wells Fargo Securities, LLC toll-free at 1-800-645-3751.</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pricing term sheet supplements the preliminary prospectus supplement issued by Issuer and the Guarantors on October 3, 2017 relating to the Issuer and the Guarantors’ prospectus dated December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2019-12-07T12:10:50Z</dcterms:created>
  <dcterms:modified xsi:type="dcterms:W3CDTF">2019-12-07T12:10:50Z</dcterms:modified>
</cp:coreProperties>
</file>