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210" w:lineRule="exact"/>
        <w:rPr>
          <w:sz w:val="24"/>
          <w:szCs w:val="24"/>
          <w:color w:val="auto"/>
        </w:rPr>
      </w:pPr>
    </w:p>
    <w:p>
      <w:pPr>
        <w:ind w:left="740" w:hanging="227"/>
        <w:spacing w:after="0"/>
        <w:tabs>
          <w:tab w:leader="none" w:pos="74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1934</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0" w:lineRule="exact"/>
        <w:rPr>
          <w:sz w:val="24"/>
          <w:szCs w:val="24"/>
          <w:color w:val="auto"/>
        </w:rPr>
      </w:pPr>
    </w:p>
    <w:p>
      <w:pPr>
        <w:ind w:left="740" w:hanging="242"/>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ind w:left="38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033-84580</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RECKSON OPERATING PARTNERSHIP, L.P.</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w:t>
      </w:r>
    </w:p>
    <w:p>
      <w:pPr>
        <w:sectPr>
          <w:pgSz w:w="11900" w:h="16838" w:orient="portrait"/>
          <w:cols w:equalWidth="0" w:num="1">
            <w:col w:w="11360"/>
          </w:cols>
          <w:pgMar w:left="240" w:top="517" w:right="299" w:bottom="1440" w:gutter="0" w:footer="0" w:header="0"/>
        </w:sectPr>
      </w:pPr>
    </w:p>
    <w:p>
      <w:pPr>
        <w:spacing w:after="0" w:line="153"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11-3233647</w:t>
      </w:r>
    </w:p>
    <w:p>
      <w:pPr>
        <w:spacing w:after="0" w:line="90" w:lineRule="exact"/>
        <w:rPr>
          <w:sz w:val="24"/>
          <w:szCs w:val="24"/>
          <w:color w:val="auto"/>
        </w:rPr>
      </w:pPr>
    </w:p>
    <w:p>
      <w:pPr>
        <w:sectPr>
          <w:pgSz w:w="11900" w:h="16838" w:orient="portrait"/>
          <w:cols w:equalWidth="0" w:num="2">
            <w:col w:w="7420" w:space="720"/>
            <w:col w:w="3220"/>
          </w:cols>
          <w:pgMar w:left="240" w:top="517" w:right="2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46" w:lineRule="exact"/>
        <w:rPr>
          <w:sz w:val="24"/>
          <w:szCs w:val="24"/>
          <w:color w:val="auto"/>
        </w:rPr>
      </w:pPr>
    </w:p>
    <w:p>
      <w:pPr>
        <w:sectPr>
          <w:pgSz w:w="11900" w:h="16838" w:orient="portrait"/>
          <w:cols w:equalWidth="0" w:num="2">
            <w:col w:w="7240" w:space="720"/>
            <w:col w:w="3400"/>
          </w:cols>
          <w:pgMar w:left="240" w:top="517" w:right="29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80" w:space="720"/>
            <w:col w:w="3460"/>
          </w:cols>
          <w:pgMar w:left="240" w:top="517" w:right="299" w:bottom="1440" w:gutter="0" w:footer="0" w:header="0"/>
          <w:type w:val="continuous"/>
        </w:sectPr>
      </w:pP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420 Lexington Avenue, New York, New York 10170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17" w:right="299" w:bottom="1440" w:gutter="0" w:footer="0" w:header="0"/>
          <w:type w:val="continuous"/>
        </w:sectPr>
      </w:pPr>
    </w:p>
    <w:p>
      <w:pPr>
        <w:spacing w:after="0" w:line="3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97" w:lineRule="exact"/>
        <w:rPr>
          <w:sz w:val="24"/>
          <w:szCs w:val="24"/>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3" w:lineRule="exact"/>
        <w:rPr>
          <w:sz w:val="24"/>
          <w:szCs w:val="24"/>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40" w:type="dxa"/>
            <w:vAlign w:val="bottom"/>
          </w:tcPr>
          <w:p>
            <w:pPr>
              <w:ind w:left="960"/>
              <w:spacing w:after="0"/>
              <w:rPr>
                <w:sz w:val="20"/>
                <w:szCs w:val="20"/>
                <w:color w:val="auto"/>
              </w:rPr>
            </w:pPr>
            <w:r>
              <w:rPr>
                <w:rFonts w:ascii="Arial" w:cs="Arial" w:eastAsia="Arial" w:hAnsi="Arial"/>
                <w:sz w:val="18"/>
                <w:szCs w:val="18"/>
                <w:color w:val="auto"/>
              </w:rPr>
              <w:t>o</w:t>
            </w:r>
          </w:p>
        </w:tc>
        <w:tc>
          <w:tcPr>
            <w:tcW w:w="532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960"/>
              <w:spacing w:after="0"/>
              <w:rPr>
                <w:sz w:val="20"/>
                <w:szCs w:val="20"/>
                <w:color w:val="auto"/>
              </w:rPr>
            </w:pPr>
            <w:r>
              <w:rPr>
                <w:rFonts w:ascii="Arial" w:cs="Arial" w:eastAsia="Arial" w:hAnsi="Arial"/>
                <w:sz w:val="18"/>
                <w:szCs w:val="18"/>
                <w:color w:val="auto"/>
              </w:rPr>
              <w:t>x</w:t>
            </w:r>
          </w:p>
        </w:tc>
        <w:tc>
          <w:tcPr>
            <w:tcW w:w="53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2740" w:type="dxa"/>
            <w:vAlign w:val="bottom"/>
          </w:tcPr>
          <w:p>
            <w:pPr>
              <w:ind w:left="960"/>
              <w:spacing w:after="0"/>
              <w:rPr>
                <w:sz w:val="20"/>
                <w:szCs w:val="20"/>
                <w:color w:val="auto"/>
              </w:rPr>
            </w:pPr>
            <w:r>
              <w:rPr>
                <w:rFonts w:ascii="Arial" w:cs="Arial" w:eastAsia="Arial" w:hAnsi="Arial"/>
                <w:sz w:val="18"/>
                <w:szCs w:val="18"/>
                <w:color w:val="auto"/>
              </w:rPr>
              <w:t>o</w:t>
            </w:r>
          </w:p>
        </w:tc>
        <w:tc>
          <w:tcPr>
            <w:tcW w:w="532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r>
        <w:trPr>
          <w:trHeight w:val="270"/>
        </w:trPr>
        <w:tc>
          <w:tcPr>
            <w:tcW w:w="11080" w:type="dxa"/>
            <w:vAlign w:val="bottom"/>
            <w:gridSpan w:val="3"/>
          </w:tcPr>
          <w:p>
            <w:pPr>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 any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o</w:t>
            </w:r>
          </w:p>
        </w:tc>
      </w:tr>
    </w:tbl>
    <w:p>
      <w:pPr>
        <w:ind w:left="40"/>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p>
      <w:pPr>
        <w:spacing w:after="0" w:line="1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44" w:lineRule="exact"/>
        <w:rPr>
          <w:sz w:val="24"/>
          <w:szCs w:val="24"/>
          <w:color w:val="auto"/>
        </w:rPr>
      </w:pPr>
    </w:p>
    <w:p>
      <w:pPr>
        <w:ind w:right="120" w:firstLine="648"/>
        <w:spacing w:after="0" w:line="235" w:lineRule="auto"/>
        <w:rPr>
          <w:sz w:val="20"/>
          <w:szCs w:val="20"/>
          <w:color w:val="auto"/>
        </w:rPr>
      </w:pPr>
      <w:r>
        <w:rPr>
          <w:rFonts w:ascii="Arial" w:cs="Arial" w:eastAsia="Arial" w:hAnsi="Arial"/>
          <w:sz w:val="18"/>
          <w:szCs w:val="18"/>
          <w:color w:val="auto"/>
        </w:rPr>
        <w:t>As of November 13, 2018, no common units of limited partnership interest of the Registrant were held by non-affiliates of the Registrant. There is no established trading market for such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146050</wp:posOffset>
            </wp:positionV>
            <wp:extent cx="7195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518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163195</wp:posOffset>
            </wp:positionV>
            <wp:extent cx="7195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10320" w:type="dxa"/>
            <w:vAlign w:val="bottom"/>
          </w:tcPr>
          <w:p>
            <w:pPr>
              <w:ind w:left="18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67"/>
        </w:trPr>
        <w:tc>
          <w:tcPr>
            <w:tcW w:w="860" w:type="dxa"/>
            <w:vAlign w:val="bottom"/>
          </w:tcPr>
          <w:p>
            <w:pPr>
              <w:spacing w:after="0"/>
              <w:rPr>
                <w:sz w:val="24"/>
                <w:szCs w:val="24"/>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Balance Sheets as of September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and nine months ended September 30, 2018 and 2017 (unaudited)</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76"/>
        </w:trPr>
        <w:tc>
          <w:tcPr>
            <w:tcW w:w="860" w:type="dxa"/>
            <w:vAlign w:val="bottom"/>
          </w:tcPr>
          <w:p>
            <w:pPr>
              <w:spacing w:after="0"/>
              <w:rPr>
                <w:sz w:val="24"/>
                <w:szCs w:val="24"/>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three and nine months ended September 30, 2018 and 2017</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Capital for the three and nine months ended September 30, 2018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nine months ended September 30, 2018 and 2017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91"/>
        </w:trPr>
        <w:tc>
          <w:tcPr>
            <w:tcW w:w="860" w:type="dxa"/>
            <w:vAlign w:val="bottom"/>
          </w:tcPr>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10320" w:type="dxa"/>
            <w:vAlign w:val="bottom"/>
          </w:tcPr>
          <w:p>
            <w:pPr>
              <w:ind w:left="18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03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032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03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r>
      <w:tr>
        <w:trPr>
          <w:trHeight w:val="250"/>
        </w:trPr>
        <w:tc>
          <w:tcPr>
            <w:tcW w:w="860" w:type="dxa"/>
            <w:vAlign w:val="bottom"/>
          </w:tcPr>
          <w:p>
            <w:pPr>
              <w:spacing w:after="0"/>
              <w:rPr>
                <w:sz w:val="21"/>
                <w:szCs w:val="21"/>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723"/>
        </w:trPr>
        <w:tc>
          <w:tcPr>
            <w:tcW w:w="860" w:type="dxa"/>
            <w:vAlign w:val="bottom"/>
          </w:tcPr>
          <w:p>
            <w:pPr>
              <w:spacing w:after="0"/>
              <w:rPr>
                <w:sz w:val="24"/>
                <w:szCs w:val="24"/>
                <w:color w:val="auto"/>
              </w:rPr>
            </w:pPr>
          </w:p>
        </w:tc>
        <w:tc>
          <w:tcPr>
            <w:tcW w:w="10320" w:type="dxa"/>
            <w:vAlign w:val="bottom"/>
          </w:tcPr>
          <w:p>
            <w:pPr>
              <w:ind w:left="47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Commercial real estate properties, at cost:</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Land and land interests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1,274,981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1,704,142</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Building and improvements</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3,196,383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4,251,610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Building leasehold and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1,073,703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1,073,703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5,545,067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7,029,455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(1,279,827)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(1,492,603)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4,265,240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5,536,852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67,228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35,608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36,013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Tenant and other receivables, net of allowance of $7,138 and $7,237 in 2018 and 2017, respectively</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20,540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31,006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rents receivable, net of allowance of $9,553 and $11,189 in 2018 and 2017,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233,300</w:t>
            </w:r>
          </w:p>
        </w:tc>
        <w:tc>
          <w:tcPr>
            <w:tcW w:w="0" w:type="dxa"/>
            <w:vAlign w:val="bottom"/>
          </w:tcPr>
          <w:p>
            <w:pPr>
              <w:spacing w:after="0"/>
              <w:rPr>
                <w:sz w:val="1"/>
                <w:szCs w:val="1"/>
                <w:color w:val="auto"/>
              </w:rPr>
            </w:pPr>
          </w:p>
        </w:tc>
      </w:tr>
      <w:tr>
        <w:trPr>
          <w:trHeight w:val="220"/>
        </w:trPr>
        <w:tc>
          <w:tcPr>
            <w:tcW w:w="7580" w:type="dxa"/>
            <w:vAlign w:val="bottom"/>
            <w:gridSpan w:val="4"/>
          </w:tcPr>
          <w:p>
            <w:pPr>
              <w:ind w:left="40"/>
              <w:spacing w:after="0"/>
              <w:rPr>
                <w:sz w:val="20"/>
                <w:szCs w:val="20"/>
                <w:color w:val="auto"/>
              </w:rPr>
            </w:pPr>
            <w:r>
              <w:rPr>
                <w:rFonts w:ascii="Arial" w:cs="Arial" w:eastAsia="Arial" w:hAnsi="Arial"/>
                <w:sz w:val="16"/>
                <w:szCs w:val="16"/>
                <w:color w:val="auto"/>
                <w:w w:val="95"/>
              </w:rPr>
              <w:t>Debt and preferred equity investments, net of discounts and deferred origination fees of $16,973 and $25,507 in</w:t>
            </w:r>
          </w:p>
        </w:tc>
        <w:tc>
          <w:tcPr>
            <w:tcW w:w="180" w:type="dxa"/>
            <w:vAlign w:val="bottom"/>
          </w:tcPr>
          <w:p>
            <w:pPr>
              <w:spacing w:after="0"/>
              <w:rPr>
                <w:sz w:val="19"/>
                <w:szCs w:val="19"/>
                <w:color w:val="auto"/>
              </w:rPr>
            </w:pPr>
          </w:p>
        </w:tc>
        <w:tc>
          <w:tcPr>
            <w:tcW w:w="16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1,977,057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2018 and 2017, respectively</w:t>
            </w: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2,114,041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477,686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Deferred costs, net of accumulated amortization of $81,131 and $77,176 in 2018 and 2017, respectively</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76,907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106,136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230,040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245,598</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54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7,304,548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8,541,508</w:t>
            </w:r>
          </w:p>
        </w:tc>
        <w:tc>
          <w:tcPr>
            <w:tcW w:w="0" w:type="dxa"/>
            <w:vAlign w:val="bottom"/>
          </w:tcPr>
          <w:p>
            <w:pPr>
              <w:spacing w:after="0"/>
              <w:rPr>
                <w:sz w:val="1"/>
                <w:szCs w:val="1"/>
                <w:color w:val="auto"/>
              </w:rPr>
            </w:pPr>
          </w:p>
        </w:tc>
      </w:tr>
      <w:tr>
        <w:trPr>
          <w:trHeight w:val="170"/>
        </w:trPr>
        <w:tc>
          <w:tcPr>
            <w:tcW w:w="7580" w:type="dxa"/>
            <w:vAlign w:val="bottom"/>
            <w:gridSpan w:val="4"/>
            <w:shd w:val="clear" w:color="auto" w:fill="CCEEFF"/>
          </w:tcPr>
          <w:p>
            <w:pPr>
              <w:ind w:left="40"/>
              <w:spacing w:after="0" w:line="170" w:lineRule="exact"/>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8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Mortgages and other loans payable, net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607,061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829,648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Unsecured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901,067</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8,067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14,999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92,514</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50,534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60,819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Related party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28,666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134,650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land leases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Dividends payable</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Security deposits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39,085</w:t>
            </w:r>
          </w:p>
        </w:tc>
        <w:tc>
          <w:tcPr>
            <w:tcW w:w="0" w:type="dxa"/>
            <w:vAlign w:val="bottom"/>
          </w:tcPr>
          <w:p>
            <w:pPr>
              <w:spacing w:after="0"/>
              <w:rPr>
                <w:sz w:val="1"/>
                <w:szCs w:val="1"/>
                <w:color w:val="auto"/>
              </w:rPr>
            </w:pPr>
          </w:p>
        </w:tc>
      </w:tr>
      <w:tr>
        <w:trPr>
          <w:trHeight w:val="237"/>
        </w:trPr>
        <w:tc>
          <w:tcPr>
            <w:tcW w:w="7580" w:type="dxa"/>
            <w:vAlign w:val="bottom"/>
            <w:gridSpan w:val="4"/>
          </w:tcPr>
          <w:p>
            <w:pPr>
              <w:ind w:left="40"/>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5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1,444,806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2,099,327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(unaudited)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3"/>
          </w:tcPr>
          <w:p>
            <w:pPr>
              <w:ind w:left="40"/>
              <w:spacing w:after="0"/>
              <w:rPr>
                <w:sz w:val="20"/>
                <w:szCs w:val="20"/>
                <w:color w:val="auto"/>
              </w:rPr>
            </w:pPr>
            <w:r>
              <w:rPr>
                <w:rFonts w:ascii="Arial" w:cs="Arial" w:eastAsia="Arial" w:hAnsi="Arial"/>
                <w:sz w:val="16"/>
                <w:szCs w:val="16"/>
                <w:color w:val="auto"/>
              </w:rPr>
              <w:t>Preferred units</w:t>
            </w:r>
          </w:p>
        </w:tc>
        <w:tc>
          <w:tcPr>
            <w:tcW w:w="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109,161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109,161</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03"/>
        </w:trPr>
        <w:tc>
          <w:tcPr>
            <w:tcW w:w="7580" w:type="dxa"/>
            <w:vAlign w:val="bottom"/>
            <w:gridSpan w:val="3"/>
          </w:tcPr>
          <w:p>
            <w:pPr>
              <w:ind w:left="4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General partner capital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5,725,638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6,012,134</w:t>
            </w:r>
          </w:p>
        </w:tc>
      </w:tr>
      <w:tr>
        <w:trPr>
          <w:trHeight w:val="237"/>
        </w:trPr>
        <w:tc>
          <w:tcPr>
            <w:tcW w:w="7580" w:type="dxa"/>
            <w:vAlign w:val="bottom"/>
            <w:gridSpan w:val="3"/>
          </w:tcPr>
          <w:p>
            <w:pPr>
              <w:ind w:left="40"/>
              <w:spacing w:after="0"/>
              <w:rPr>
                <w:sz w:val="20"/>
                <w:szCs w:val="20"/>
                <w:color w:val="auto"/>
              </w:rPr>
            </w:pPr>
            <w:r>
              <w:rPr>
                <w:rFonts w:ascii="Arial" w:cs="Arial" w:eastAsia="Arial" w:hAnsi="Arial"/>
                <w:sz w:val="16"/>
                <w:szCs w:val="16"/>
                <w:color w:val="auto"/>
              </w:rPr>
              <w:t>Limited partner capital</w:t>
            </w:r>
          </w:p>
        </w:tc>
        <w:tc>
          <w:tcPr>
            <w:tcW w:w="1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7"/>
        </w:trPr>
        <w:tc>
          <w:tcPr>
            <w:tcW w:w="40" w:type="dxa"/>
            <w:vAlign w:val="bottom"/>
          </w:tcPr>
          <w:p>
            <w:pPr>
              <w:spacing w:after="0"/>
              <w:rPr>
                <w:sz w:val="18"/>
                <w:szCs w:val="18"/>
                <w:color w:val="auto"/>
              </w:rPr>
            </w:pPr>
          </w:p>
        </w:tc>
        <w:tc>
          <w:tcPr>
            <w:tcW w:w="7540" w:type="dxa"/>
            <w:vAlign w:val="bottom"/>
            <w:gridSpan w:val="2"/>
          </w:tcPr>
          <w:p>
            <w:pPr>
              <w:ind w:left="140"/>
              <w:spacing w:after="0"/>
              <w:rPr>
                <w:sz w:val="20"/>
                <w:szCs w:val="20"/>
                <w:color w:val="auto"/>
              </w:rPr>
            </w:pPr>
            <w:r>
              <w:rPr>
                <w:rFonts w:ascii="Arial" w:cs="Arial" w:eastAsia="Arial" w:hAnsi="Arial"/>
                <w:sz w:val="16"/>
                <w:szCs w:val="16"/>
                <w:color w:val="auto"/>
              </w:rPr>
              <w:t>Total ROP partner's capital</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5,725,638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6,010,875</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24,943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322,145</w:t>
            </w:r>
          </w:p>
        </w:tc>
      </w:tr>
      <w:tr>
        <w:trPr>
          <w:trHeight w:val="217"/>
        </w:trPr>
        <w:tc>
          <w:tcPr>
            <w:tcW w:w="40" w:type="dxa"/>
            <w:vAlign w:val="bottom"/>
          </w:tcPr>
          <w:p>
            <w:pPr>
              <w:spacing w:after="0"/>
              <w:rPr>
                <w:sz w:val="18"/>
                <w:szCs w:val="18"/>
                <w:color w:val="auto"/>
              </w:rPr>
            </w:pPr>
          </w:p>
        </w:tc>
        <w:tc>
          <w:tcPr>
            <w:tcW w:w="7540" w:type="dxa"/>
            <w:vAlign w:val="bottom"/>
            <w:gridSpan w:val="2"/>
          </w:tcPr>
          <w:p>
            <w:pPr>
              <w:ind w:left="140"/>
              <w:spacing w:after="0"/>
              <w:rPr>
                <w:sz w:val="20"/>
                <w:szCs w:val="20"/>
                <w:color w:val="auto"/>
              </w:rPr>
            </w:pPr>
            <w:r>
              <w:rPr>
                <w:rFonts w:ascii="Arial" w:cs="Arial" w:eastAsia="Arial" w:hAnsi="Arial"/>
                <w:sz w:val="16"/>
                <w:szCs w:val="16"/>
                <w:color w:val="auto"/>
              </w:rPr>
              <w:t>Total capital</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5,750,581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6,333,020</w:t>
            </w:r>
          </w:p>
        </w:tc>
      </w:tr>
      <w:tr>
        <w:trPr>
          <w:trHeight w:val="33"/>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 and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7,304,548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8,541,508</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 w:right="140" w:hanging="5"/>
        <w:spacing w:after="0" w:line="256" w:lineRule="auto"/>
        <w:tabs>
          <w:tab w:leader="none" w:pos="148" w:val="left"/>
        </w:tabs>
        <w:numPr>
          <w:ilvl w:val="0"/>
          <w:numId w:val="3"/>
        </w:numPr>
        <w:rPr>
          <w:rFonts w:ascii="Arial" w:cs="Arial" w:eastAsia="Arial" w:hAnsi="Arial"/>
          <w:sz w:val="8"/>
          <w:szCs w:val="8"/>
          <w:color w:val="auto"/>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$45.1 million and $268.6 million of land, $0.2 billion and $1.3 billion of building and improvements, $20.7 million and $319.1 million of accumulated depreciation, $624.0 million and $143.9 million of other assets included in other line items, $0.0 million and $495.0 million of real estate debt, net, $0.0 million and $2.1 million of accrued interest payable, and $9.4 million and $48.8 million of other liabilities included in other line items as of September 30, 2018 and December 31, 2017, respectively.</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Nine Months Ended September</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401,846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502,376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Escalation and reimbursement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20,492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25,721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60,400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73,163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148,924</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10,531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198,587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615,864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726,075</w:t>
            </w:r>
          </w:p>
        </w:tc>
        <w:tc>
          <w:tcPr>
            <w:tcW w:w="0" w:type="dxa"/>
            <w:vAlign w:val="bottom"/>
          </w:tcPr>
          <w:p>
            <w:pPr>
              <w:spacing w:after="0"/>
              <w:rPr>
                <w:sz w:val="1"/>
                <w:szCs w:val="1"/>
                <w:color w:val="auto"/>
              </w:rPr>
            </w:pP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Operating expenses, including related party expenses of $6,021 and $18,178 in 2018, and $6,922 and</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99,412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$20,099 in 2017,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123,938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Real estate taxes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33,500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40,610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98,045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118,232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Ground rent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15,458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34,627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47,818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41,867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53,549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125,163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156,106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Transaction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Marketing, general and administrative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389,971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517,213</w:t>
            </w:r>
          </w:p>
        </w:tc>
        <w:tc>
          <w:tcPr>
            <w:tcW w:w="0" w:type="dxa"/>
            <w:vAlign w:val="bottom"/>
          </w:tcPr>
          <w:p>
            <w:pPr>
              <w:spacing w:after="0"/>
              <w:rPr>
                <w:sz w:val="1"/>
                <w:szCs w:val="1"/>
                <w:color w:val="auto"/>
              </w:rPr>
            </w:pPr>
          </w:p>
        </w:tc>
      </w:tr>
      <w:tr>
        <w:trPr>
          <w:trHeight w:val="291"/>
        </w:trPr>
        <w:tc>
          <w:tcPr>
            <w:tcW w:w="68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(loss) income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10,362</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(Loss) gain on sale of real estate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Depreciable real estate reserves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(85,707)</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54,860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73,508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64,710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272,934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138,849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 in other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19,587</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Preferred units distributions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ROP common unitholder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72,341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269,353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155,573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ROP common unitholder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72,341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269,353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155,573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net unrealized gain on 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 attributable to ROP common unitholder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72,341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65,311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269,353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155,842</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General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Partner's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Class A</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Limited Partner's</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 Other</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Partnerships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(Loss) Income</w:t>
            </w: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Capital</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6,012,134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6,333,020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1,113,642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1,114,901</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(1,543,224)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 of partially owned entity</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(297,140)</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197,516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5,780,209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5,805,073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505,210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505,210</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(632,255)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 of partially owned entity</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72,553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5,725,638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24,943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5,750,581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General</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Partner's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Class A</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Limited Partner's</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 Other</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Total</w:t>
            </w: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Partnerships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(Loss) Income</w:t>
            </w:r>
          </w:p>
        </w:tc>
        <w:tc>
          <w:tcPr>
            <w:tcW w:w="300" w:type="dxa"/>
            <w:vAlign w:val="bottom"/>
          </w:tcPr>
          <w:p>
            <w:pPr>
              <w:spacing w:after="0"/>
              <w:rPr>
                <w:sz w:val="18"/>
                <w:szCs w:val="18"/>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3"/>
              </w:rPr>
              <w:t>Capital</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5,139,842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390,599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5,528,823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1,913,792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1,913,792</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(2,270,662)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 of partially owned entity</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72,231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2017</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4,873,544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372,258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5,244,364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546,482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546,482</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(771,506)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 of partially owned entity</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63,755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4,757,415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327,118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5,083,184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138,849</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162,812</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Equity in net income from unconsolidated joint ventures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(3,835)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(10,362)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12,032</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Equity in net gain on sale of interest in unconsolidated joint venture interest/real estate</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(5,982)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fair value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Loss (gain) on sale of real estate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17,636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Depreciable real estate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85,707</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Deferred rents receivable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(33,917)</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Tenant and 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Deferred lease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(12,733)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(9,589)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(51,792)</w:t>
            </w:r>
          </w:p>
        </w:tc>
        <w:tc>
          <w:tcPr>
            <w:tcW w:w="0" w:type="dxa"/>
            <w:vAlign w:val="bottom"/>
          </w:tcPr>
          <w:p>
            <w:pPr>
              <w:spacing w:after="0"/>
              <w:rPr>
                <w:sz w:val="1"/>
                <w:szCs w:val="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 and land leases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8,891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9,356</w:t>
            </w:r>
          </w:p>
        </w:tc>
        <w:tc>
          <w:tcPr>
            <w:tcW w:w="0" w:type="dxa"/>
            <w:vAlign w:val="bottom"/>
          </w:tcPr>
          <w:p>
            <w:pPr>
              <w:spacing w:after="0"/>
              <w:rPr>
                <w:sz w:val="1"/>
                <w:szCs w:val="1"/>
                <w:color w:val="auto"/>
              </w:rPr>
            </w:pP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292,572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285,616</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of real estate properties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(98,460)</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(20,449)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243,488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157,251</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57,785</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(652,309)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(935,724)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542,623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677,676</w:t>
            </w:r>
          </w:p>
        </w:tc>
        <w:tc>
          <w:tcPr>
            <w:tcW w:w="0" w:type="dxa"/>
            <w:vAlign w:val="bottom"/>
          </w:tcPr>
          <w:p>
            <w:pPr>
              <w:spacing w:after="0"/>
              <w:rPr>
                <w:sz w:val="1"/>
                <w:szCs w:val="1"/>
                <w:color w:val="auto"/>
              </w:rPr>
            </w:pP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128,468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(92,518)</w:t>
            </w:r>
          </w:p>
        </w:tc>
        <w:tc>
          <w:tcPr>
            <w:tcW w:w="0" w:type="dxa"/>
            <w:vAlign w:val="bottom"/>
          </w:tcPr>
          <w:p>
            <w:pPr>
              <w:spacing w:after="0"/>
              <w:rPr>
                <w:sz w:val="1"/>
                <w:szCs w:val="1"/>
                <w:color w:val="auto"/>
              </w:rPr>
            </w:pPr>
          </w:p>
        </w:tc>
      </w:tr>
      <w:tr>
        <w:trPr>
          <w:trHeight w:val="33"/>
        </w:trPr>
        <w:tc>
          <w:tcPr>
            <w:tcW w:w="8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274,741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1,447,800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(1,167,800)</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(43,894)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common unitholder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1,461,354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2,321,970</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Distributions to common and preferred unitholders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(1,904,482)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(3,001,084)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obligations related to loan participations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16,737</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Deferred loan costs and capitalized lease obligation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(3,936)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(4,481)</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(422,992)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(180,752)</w:t>
            </w:r>
          </w:p>
        </w:tc>
        <w:tc>
          <w:tcPr>
            <w:tcW w:w="0" w:type="dxa"/>
            <w:vAlign w:val="bottom"/>
          </w:tcPr>
          <w:p>
            <w:pPr>
              <w:spacing w:after="0"/>
              <w:rPr>
                <w:sz w:val="1"/>
                <w:szCs w:val="1"/>
                <w:color w:val="auto"/>
              </w:rPr>
            </w:pP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12,346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103,419</w:t>
            </w:r>
          </w:p>
        </w:tc>
        <w:tc>
          <w:tcPr>
            <w:tcW w:w="0" w:type="dxa"/>
            <w:vAlign w:val="bottom"/>
          </w:tcPr>
          <w:p>
            <w:pPr>
              <w:spacing w:after="0"/>
              <w:rPr>
                <w:sz w:val="1"/>
                <w:szCs w:val="1"/>
                <w:color w:val="auto"/>
              </w:rPr>
            </w:pPr>
          </w:p>
        </w:tc>
      </w:tr>
      <w:tr>
        <w:trPr>
          <w:trHeight w:val="28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75,178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115,765</w:t>
            </w:r>
          </w:p>
        </w:tc>
        <w:tc>
          <w:tcPr>
            <w:tcW w:w="0" w:type="dxa"/>
            <w:vAlign w:val="bottom"/>
          </w:tcPr>
          <w:p>
            <w:pPr>
              <w:spacing w:after="0"/>
              <w:rPr>
                <w:sz w:val="1"/>
                <w:szCs w:val="1"/>
                <w:color w:val="auto"/>
              </w:rPr>
            </w:pPr>
          </w:p>
        </w:tc>
      </w:tr>
      <w:tr>
        <w:trPr>
          <w:trHeight w:val="338"/>
        </w:trPr>
        <w:tc>
          <w:tcPr>
            <w:tcW w:w="8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Tenant improvements and capital expenditures payable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9,112</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 of assets related to 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273,455</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Transfer of liabilities related to assets held for sale</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Removal of fully depreciated commercial real estate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Contributions from common unitholder</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157,498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138,304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common unitholder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273,084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Deconsolidation of a subsidiary</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280,718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125" w:right="239" w:bottom="0" w:gutter="0" w:footer="0" w:header="0"/>
        </w:sectPr>
      </w:pPr>
    </w:p>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ectPr>
          <w:pgSz w:w="11900" w:h="16838" w:orient="portrait"/>
          <w:cols w:equalWidth="0" w:num="1">
            <w:col w:w="11420"/>
          </w:cols>
          <w:pgMar w:left="240" w:top="125"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September 30, 2018</w:t>
            </w:r>
          </w:p>
        </w:tc>
        <w:tc>
          <w:tcPr>
            <w:tcW w:w="1040" w:type="dxa"/>
            <w:vAlign w:val="bottom"/>
          </w:tcPr>
          <w:p>
            <w:pPr>
              <w:spacing w:after="0"/>
              <w:rPr>
                <w:sz w:val="18"/>
                <w:szCs w:val="18"/>
                <w:color w:val="auto"/>
              </w:rPr>
            </w:pPr>
          </w:p>
        </w:tc>
      </w:tr>
      <w:tr>
        <w:trPr>
          <w:trHeight w:val="47"/>
        </w:trPr>
        <w:tc>
          <w:tcPr>
            <w:tcW w:w="7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35,608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b w:val="1"/>
                <w:bCs w:val="1"/>
                <w:color w:val="auto"/>
              </w:rPr>
              <w:t>39,570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79,751</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cash, cash equivalents, and restricted cash</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75,178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115,765</w:t>
            </w:r>
          </w:p>
        </w:tc>
      </w:tr>
      <w:tr>
        <w:trPr>
          <w:trHeight w:val="33"/>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The Operating Partnership is 94.90% owned by SL Green Realty Corp., or SL Green, as of September 30, 2018. SL Green is a self-administered and self-managed real estate investment trust, and is the sole managing general partner of the Operating Partnership. Unless the context requires otherwise, all references to "we," "our," "us" and the "Company" means ROP and all entities owned or controlled by ROP.</w:t>
      </w:r>
    </w:p>
    <w:p>
      <w:pPr>
        <w:spacing w:after="0" w:line="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48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00" w:type="dxa"/>
            <w:vAlign w:val="bottom"/>
          </w:tcPr>
          <w:p>
            <w:pPr>
              <w:spacing w:after="0"/>
              <w:rPr>
                <w:sz w:val="17"/>
                <w:szCs w:val="17"/>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8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Location</w:t>
            </w:r>
          </w:p>
        </w:tc>
        <w:tc>
          <w:tcPr>
            <w:tcW w:w="12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Occupancy</w:t>
            </w:r>
            <w:r>
              <w:rPr>
                <w:rFonts w:ascii="Arial" w:cs="Arial" w:eastAsia="Arial" w:hAnsi="Arial"/>
                <w:sz w:val="21"/>
                <w:szCs w:val="21"/>
                <w:b w:val="1"/>
                <w:bCs w:val="1"/>
                <w:color w:val="auto"/>
                <w:w w:val="92"/>
                <w:vertAlign w:val="superscript"/>
              </w:rPr>
              <w:t>(1)</w:t>
            </w:r>
            <w:r>
              <w:rPr>
                <w:rFonts w:ascii="Arial" w:cs="Arial" w:eastAsia="Arial" w:hAnsi="Arial"/>
                <w:sz w:val="16"/>
                <w:szCs w:val="16"/>
                <w:b w:val="1"/>
                <w:bCs w:val="1"/>
                <w:color w:val="auto"/>
                <w:w w:val="92"/>
              </w:rPr>
              <w:t xml:space="preserve"> (unaudited)</w:t>
            </w: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Office</w:t>
            </w:r>
            <w:r>
              <w:rPr>
                <w:rFonts w:ascii="Arial" w:cs="Arial" w:eastAsia="Arial" w:hAnsi="Arial"/>
                <w:sz w:val="21"/>
                <w:szCs w:val="21"/>
                <w:color w:val="auto"/>
                <w:w w:val="86"/>
                <w:vertAlign w:val="superscript"/>
              </w:rPr>
              <w:t>(2)(3)</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8,303,245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93.6%</w:t>
            </w:r>
          </w:p>
        </w:tc>
      </w:tr>
      <w:tr>
        <w:trPr>
          <w:trHeight w:val="270"/>
        </w:trPr>
        <w:tc>
          <w:tcPr>
            <w:tcW w:w="2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(4)(5)</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364,816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37"/>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Development/Redevelopment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8,828,061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7"/>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Suburban</w:t>
            </w:r>
          </w:p>
        </w:tc>
        <w:tc>
          <w:tcPr>
            <w:tcW w:w="30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93.8%</w:t>
            </w: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Retail</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1,484,400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94.0%</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3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commercial properties</w:t>
            </w:r>
          </w:p>
        </w:tc>
        <w:tc>
          <w:tcPr>
            <w:tcW w:w="2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10,312,461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(4)</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222,855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44"/>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Total portfolio</w:t>
            </w: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10,535,316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92.5%</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right="20" w:hanging="412"/>
        <w:spacing w:after="0" w:line="250"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unconsolidated tenancy-in-common (or "TIC") interest at 2 Herald Square, which is under contract for sale as of September 30, 2018.</w:t>
      </w:r>
    </w:p>
    <w:p>
      <w:pPr>
        <w:spacing w:after="0" w:line="1" w:lineRule="exact"/>
        <w:rPr>
          <w:rFonts w:ascii="Arial" w:cs="Arial" w:eastAsia="Arial" w:hAnsi="Arial"/>
          <w:sz w:val="14"/>
          <w:szCs w:val="14"/>
          <w:color w:val="auto"/>
        </w:rPr>
      </w:pPr>
    </w:p>
    <w:p>
      <w:pPr>
        <w:jc w:val="both"/>
        <w:ind w:left="420" w:hanging="412"/>
        <w:spacing w:after="0" w:line="260"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September 30, 2018, we owned a building at 315 West 33rd Street, also known as The Olivia, that was comprised of approximately 270,132 square feet (unaudited) of retail space and approximately 222,855 square feet (unaudited) of residential space. For the purpose of this report, we have included this building in the number of retail properties we own. However, we have included only the retail square footage in the retail approximate square footage, and have listed the balance of the square footage as residential square footage.</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we held debt and preferred equity investments with a book value of $2.0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Quarterly Presentation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at September 30, 2018 and the results of operations for the periods presented have been included. The operating results for the period presented are not necessarily indicative of the results that may be expected for the year ending December 31, 2018. These financial statements should be read in conjunction with the financial statements and accompanying notes included in the Annual Report on Form 10-K for the year ended December 31, 2017.</w:t>
      </w:r>
    </w:p>
    <w:p>
      <w:pPr>
        <w:spacing w:after="0" w:line="5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consolidated balance sheet at December 31, 2017 has been derived from the audited financial statements as of that date but does not include all the information and footnotes required by accounting principles generally accepted in the United States for complete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8860" w:firstLine="8"/>
        <w:spacing w:after="0" w:line="453" w:lineRule="auto"/>
        <w:tabs>
          <w:tab w:leader="none" w:pos="1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three to 40 years. We amortize the amount allocated to the above- and below-market leases over the remaining term of the associated lease, which generally range from one to 14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one to 14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6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 periodic basis, we assess whether there are any indications that the value of our real estate properties may be other than temporarily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calculated fair value of the property. We also evaluate our real estate properties for impairment when a property has been classified as held for sale. Real estate assets held for sale are valued at the lower of their carrying value or fair value less costs to sell.</w:t>
      </w:r>
    </w:p>
    <w:p>
      <w:pPr>
        <w:spacing w:after="0" w:line="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recognized $1.3 million and $5.5 million of rental revenue for the three and nine months ended September 30, 2018, respectively, and $4.3 million and $12.7 million for the three and nine months ended September 30, 2017, respectively, for the amortization of aggregate below-market leases in excess of above-market leases and a reduction in lease origination costs, resulting from the allocation of the purchase price of the applicable properties.</w:t>
      </w:r>
    </w:p>
    <w:p>
      <w:pPr>
        <w:spacing w:after="0" w:line="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September 30, 2018 and December 31, 2017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 (included in 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213,421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276,163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(199,668)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(236,737)</w:t>
            </w:r>
          </w:p>
        </w:tc>
      </w:tr>
      <w:tr>
        <w:trPr>
          <w:trHeight w:val="290"/>
        </w:trPr>
        <w:tc>
          <w:tcPr>
            <w:tcW w:w="7440" w:type="dxa"/>
            <w:vAlign w:val="bottom"/>
            <w:tcBorders>
              <w:bottom w:val="single" w:sz="8" w:color="CCEEFF"/>
            </w:tcBorders>
          </w:tcPr>
          <w:p>
            <w:pPr>
              <w:ind w:left="40"/>
              <w:spacing w:after="0" w:line="250" w:lineRule="exact"/>
              <w:rPr>
                <w:sz w:val="20"/>
                <w:szCs w:val="20"/>
                <w:color w:val="auto"/>
              </w:rPr>
            </w:pPr>
            <w:r>
              <w:rPr>
                <w:rFonts w:ascii="Arial" w:cs="Arial" w:eastAsia="Arial" w:hAnsi="Arial"/>
                <w:sz w:val="28"/>
                <w:szCs w:val="28"/>
                <w:color w:val="auto"/>
                <w:vertAlign w:val="subscript"/>
              </w:rPr>
              <w:t>Net</w:t>
            </w:r>
            <w:r>
              <w:rPr>
                <w:rFonts w:ascii="Arial" w:cs="Arial" w:eastAsia="Arial" w:hAnsi="Arial"/>
                <w:sz w:val="10"/>
                <w:szCs w:val="10"/>
                <w:color w:val="auto"/>
              </w:rPr>
              <w:t>(1)</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13,753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39,426</w:t>
            </w:r>
          </w:p>
        </w:tc>
      </w:tr>
      <w:tr>
        <w:trPr>
          <w:trHeight w:val="21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liabilities (included in 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230,275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496,438</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(214,804)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(366,091)</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15,471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130,347</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right="380" w:hanging="412"/>
        <w:spacing w:after="0" w:line="273"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September 30, 2018 and December 31, 2017, $0.0 million and $0.1 million, respectively and $0.0 million and $0.1 million, respectively, of net intangible assets and net intangible liabilities, were reclassified to assets held for sale and liabilities related to assets held for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the joint ventures' projected discounted cash flows. We do not believe that the values of any of our equity investments were impaired at September 30,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Possible Credit Losses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reserve for possible credit losses in connection with debt and preferred equity investments is the charge to earnings to increase the allowance for possible credit losses to the level that we estimate to be adequate, based on Level 3 data, considering delinquencies, loss experience and collateral quality. Other factors considered include geographic trends, product diversification, the size of the portfolio and current economic conditions. Based upon these factors, we establish a provision for possible credit loss on each individual investment. When it is probable that we will be unable to collect all amounts contractually due, the investment is considered impaired.</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Where impairment is indicated on an investment that is held to maturity, a valuation allowance is measured based upon the excess of the recorded investment amount over the fair value of the collateral. Any deficiency between the carrying amount of an asset and the calculated value of the collateral is charged to expense. We continue to assess or adjust our estimates based on circumstances of a loan and the underlying collateral. If additional information reflects increased recovery of our investment, we will adjust our reserves accordingly. There were no loan reserves recorded during the three and nine months ended September 30, 2018 and 2017.</w:t>
      </w:r>
    </w:p>
    <w:p>
      <w:pPr>
        <w:spacing w:after="0" w:line="8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Debt and preferred equity investments held for sale are carried at the lower of cost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net carrying value to debt and preferred equity investments held to maturity. For these reclassified investments, the difference between the current carrying value and the expected cash to be collected at maturity will be accreted into income over the remaining term of the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ROP is a disregarded entity of SL Green Operating Partnership, L.P. for federal income tax purposes, and, as a result, all income and losses of ROP are considered income and losses of SL Green Operating Partnership, L. P. No provision has been made for income taxes in the consolidated financial statements since such taxes, if any, are the responsibility of the individual partners of SL Green Operating Partnership, L.P.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Contributed by Parent Company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present shares of SL Green common stock as a contra-equity account within general partner capital in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the New York metropolitan area. See Note 5, "Debt and Preferred Equity Investments."</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perform ongoing credit evaluations of our tenants and require most tenants to provide security deposits or letters of credit. Though these security deposits and letters of credit are insufficient to meet the total value of a tenant's lease obligation,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they are a measure of good faith and a source of funds to offset the economic costs associated with lost revenue and the costs associated with re-tenanting a space. The properties in our real estate portfolio are located in the New York metropolitan area. The tenants located in our buildings operate in various industries. No tenant in our portfolio accounted for more than 5.0% of our share of annualized cash rent, including our share of joint venture annualized rent, at September 30, 2018. For the three months ended September 30, 2018, 14.7%, 11.0%, 8.7%, 8.4%, 8.2%, 7.6%, 7.4%, 7.1% and 5.8% of our annualized cash rent was attributable to 1185 Avenue of the Americas, 625 Madison Avenue, 919 Third Avenue, 750 Third Avenue, 810 Seventh Avenue, 555 West 57th Street, 125 Park Avenue, 1350 Avenue of the Americas, and 711 Third Avenue, respectively. Annualized cash rent for all other properties was below 5.0%.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August 2018, The Securities and Exchange Commission adopted a final rule that eliminated or amended disclosure requirements that were redundant or outdated in light of changes in its requirements, generally accepted accounting principles, or changes in the business environment. The commission also referred certain disclosure requirements to the Financial Accounting Standards Board for potential incorporation into generally accepted accounting principles. The Company assessed the impact of this rule and determined that the changes resulted in clarification or expansion of existing requirements. The Company adopted the rule on November 5, 2018 and it did not have a material impact on the Company’s consolidated financial statements.</w:t>
      </w:r>
    </w:p>
    <w:p>
      <w:pPr>
        <w:spacing w:after="0" w:line="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2018, the FASB issued Accounting Standard Update (ASU) No. 2018-15, Intangibles - Goodwill and Other- Internal-Use Software (Topic 350-40), Customer’s Accounting for Implementation Costs Incurred in a Cloud Computing Arrangement That is a Service Contract. The amendments provide guidance on accounting for fees paid when the arrangement includes a software license and align the requirements for capitalizing implementation costs incurred in a hosting arrangement that is a service contract with the requirements for capitalizing costs to develop or obtain internal-use software. The guidance will be effective for the Company for fiscal years beginning after December 15, 2019. Early adoption is permitted. The Company has not yet adopted this new guidance and does not expect it to have a material impact on the Company’s consolidated financial statements when the new standard is implemented.</w:t>
      </w:r>
    </w:p>
    <w:p>
      <w:pPr>
        <w:spacing w:after="0" w:line="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This amendment removed, modified and added the disclosure requirements under Topic 820. The changes are effective for the Company for fiscal years beginning after December 15, 2019. Early adoption is permitted for the removed or modified disclosures with adoption of the additional disclosures upon the effective date. The Company has not yet adopted this new guidance and does not expect it to have a material impact on the Company’s consolidated financial statements when the new standard is implemented.</w:t>
      </w:r>
    </w:p>
    <w:p>
      <w:pPr>
        <w:spacing w:after="0" w:line="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February 2018, the FASB issued ASU No. 2018-03, Technical Corrections and Improvements to Financial Instruments- Overall (Subtopic 825-10), Recognition and Measurement of Financial Assets and Financial Liabilities. These amendments provide additional guidance related to equity securities without a readily determinable fair value, forward contracts and options purchased on those equity securities and fair value option liabilities. The Company adopted the guidance on July 1, 2018, and it did not have a material impact on the Company’s consolidated financial statements.</w:t>
      </w:r>
    </w:p>
    <w:p>
      <w:pPr>
        <w:spacing w:after="0" w:line="6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and in July 2018, the FASB issued ASU No. 2018-16, Derivatives and Hedging (Topic 815): Inclusion of the Secured Overnight Financing Rate (SOFR) Overnight Index Swap (OIS) Rate as a Benchmark Interest Rate for Hedge Accounting Purposes. The amendments in the new standards will permit more flexibility in hedging interest rate risk for both variable rate and fixed rate financial instruments. The standards will also enhance the presentation of hedge results in the financial statements. The guidance is effective for fiscal years beginning after December 15, 2018. Early adoption is permitted. The Company has not yet adopted the guidance, and does not expect a material impact on the Company’s consolidated financial statements when the new standards are implemented.</w:t>
      </w:r>
    </w:p>
    <w:p>
      <w:pPr>
        <w:spacing w:after="0" w:line="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The guidance requires that the statement of cash flows explain the change during the period in the total of cash, cash equivalents, and amounts generally described as restricted cash. As a result, entities will no longer present transfers between these items on the statement of cash flows. The Company adopted the guidance on January 1, 2018 and has included the changes in restricted cash when reconciling the beginning-of-period and end-of-period total amounts on the statement of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guidance changes how entities will measure credit losses for most financial assets and certain other instruments that are not measured at fair value through net income. The guidance replaces the current ‘incurred loss’ model with an ‘expected loss’ approach. The guidance is effective for fiscal years beginning after December 15, 2019, including interim periods within those fiscal years. Early adoption is permitted after December 15, 2018. The Company has not yet adopted this new guidance and is currently evaluating the impact of adopting this new accounting standard on the Company’s consolidated financial statements.</w:t>
      </w:r>
    </w:p>
    <w:p>
      <w:pPr>
        <w:spacing w:after="0" w:line="8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February 2016, the FASB issued ASU No. 2016-02, Leases, and in July 2018, the FASB issued ASU No. 2018-10, Codification Improvements to Topic 842, Leases and ASU No. 2018-11, Leases (Topic 842): Targeted Improvements. This guidance requires lessees to recognize lease assets and lease liabilities for those leases classified as operating leases under the previous standard. Depending on the lease classification, lessees will recognize expense based on the effective interest method for finance leases or on a straight-line basis for operating leases. The accounting applied by a lessor, inclusive of the effect of a practical expedient offered in ASU No. 2018-11 that allows lessors to not separate non-lease components from the related lease components under certain conditions, which the Company expects most of its leases to qualify for and to adopt, is largely unchanged from that applied under the previous standard. However, the Company will apply this guidance to the ground leases under which the Company is lessee. The Company is required to record a liability for the obligation to make payments under the lease and an asset for the right to use the underlying asset during the lease term and will also apply the new expense recognition requirements given the lease classification. While the Company is continuing to assess all potential impacts of the standard, we expect total liabilities and total assets to increase by $0.1 to $0.2 billion as of the date of adoption. This guidance is effective for fiscal years beginning after December 15, 2018 and interim periods within those fiscal years. Early adoption is permitted. The Company expects to adopt this guidance January 1, 2019 and will apply the modified retrospective approach, and anticipates electing the package of practical expedients that allows an entity to not reassess (i) whether any expired or existing contracts are or contain leases, (ii) lease classification for any expired or existing leases and (iii) initial direct costs for any expired or existing leases.</w:t>
      </w:r>
    </w:p>
    <w:p>
      <w:pPr>
        <w:spacing w:after="0" w:line="7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January 2016, the FASB issued ASU 2016-01 (Subtopic 825-10), Recognition and Measurement of Financial Assets and Financial Liabilities. The guidance requires entities to measure equity investments that do not result in consolidation and are not accounted for under the equity method at fair value through earnings, to record changes in instrument-specific credit risk for financial liabilities measured under the fair value option in other comprehensive income, use the exit price notion when measuring an instrument’s fair value for disclosure and to separately present financial assets and liabilities by measurement category and form of instrument on the balance sheet or in the notes to the financial statements. The Company adopted the guidance effective January 1, 2018, and it had no impact on the Company’s consolidated financial statements.</w:t>
      </w:r>
    </w:p>
    <w:p>
      <w:pPr>
        <w:spacing w:after="0" w:line="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issued a new comprehensive revenue recognition guidance which requires us to recognize revenue to depict the transfer of promised goods or services to customers in an amount that reflects the consideration to which we expect to be entitled in exchange for those goods and services (ASU 2014-09). The FASB also issued implementation guidance in March 2016, April 2016 and May 2016 - ASU’s 2016-08, 2016-10 and 2016-12, respectively. The Company adopted this guidance on January 1, 2018. Since the Company’s revenue is related to leasing activities, the adoption of this guidance did not have a material impact on the consolidated financial statements. The new guidance is applicable to service contracts with joint ventures for which the Company earns property management fees, leasing commissions and development and construction fees. The adoption of this new guidance did not change the accounting for these fees as the pattern of recognition of revenue does not change with the new guidance. We will continue to recognize revenue over time on these contracts because the customer simultaneously receives and consumes the benefits provided by our performance.</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2017, the FASB issued ASU No. 2017-05 to clarify the scope of asset derecognition guidance in Subtopic 610-20, which also provided guidance on accounting for partial sales of nonfinancial assets. Subtopic 610-20 was issued in May 2014 as part of ASU 2014-09. The Company adopted this guidance on January 1, 2018, and applied the modified retrospective approach. The Company elected to adopt the practical expedient under ASC 606, Revenue from Contracts with Customers, which allows an entity to apply the guidance only to contracts with non-customers that are open based on ASU 360-20, Real Estate Sales, (i.e. failed sales) as of the adoption date. The adoption had no impact on the consolidated financial statements as the Company had no open contracts based on ASC 360-20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2018, we did not acquire any properties from a third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73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ind w:left="420"/>
        <w:spacing w:after="0"/>
        <w:rPr>
          <w:sz w:val="20"/>
          <w:szCs w:val="20"/>
          <w:color w:val="auto"/>
        </w:rPr>
      </w:pPr>
      <w:r>
        <w:rPr>
          <w:rFonts w:ascii="Arial" w:cs="Arial" w:eastAsia="Arial" w:hAnsi="Arial"/>
          <w:sz w:val="18"/>
          <w:szCs w:val="18"/>
          <w:color w:val="auto"/>
        </w:rPr>
        <w:t>As of September 30, 2018, no properties were classified as held for sale.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sold during the nine months ended September 30, 2018:</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2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Sales Price</w:t>
            </w:r>
            <w:r>
              <w:rPr>
                <w:rFonts w:ascii="Arial" w:cs="Arial" w:eastAsia="Arial" w:hAnsi="Arial"/>
                <w:sz w:val="21"/>
                <w:szCs w:val="21"/>
                <w:b w:val="1"/>
                <w:bCs w:val="1"/>
                <w:color w:val="auto"/>
                <w:w w:val="85"/>
                <w:vertAlign w:val="superscript"/>
              </w:rPr>
              <w:t>(1)</w:t>
            </w:r>
          </w:p>
        </w:tc>
        <w:tc>
          <w:tcPr>
            <w:tcW w:w="260" w:type="dxa"/>
            <w:vAlign w:val="bottom"/>
          </w:tcPr>
          <w:p>
            <w:pPr>
              <w:spacing w:after="0"/>
              <w:rPr>
                <w:sz w:val="21"/>
                <w:szCs w:val="21"/>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Gain (loss)</w:t>
            </w:r>
            <w:r>
              <w:rPr>
                <w:rFonts w:ascii="Arial" w:cs="Arial" w:eastAsia="Arial" w:hAnsi="Arial"/>
                <w:sz w:val="21"/>
                <w:szCs w:val="21"/>
                <w:b w:val="1"/>
                <w:bCs w:val="1"/>
                <w:color w:val="auto"/>
                <w:vertAlign w:val="superscript"/>
              </w:rPr>
              <w:t>(2)</w:t>
            </w:r>
          </w:p>
        </w:tc>
      </w:tr>
      <w:tr>
        <w:trPr>
          <w:trHeight w:val="210"/>
        </w:trPr>
        <w:tc>
          <w:tcPr>
            <w:tcW w:w="298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Property</w:t>
            </w:r>
          </w:p>
        </w:tc>
        <w:tc>
          <w:tcPr>
            <w:tcW w:w="1720" w:type="dxa"/>
            <w:vAlign w:val="bottom"/>
            <w:gridSpan w:val="2"/>
          </w:tcPr>
          <w:p>
            <w:pPr>
              <w:ind w:left="280"/>
              <w:spacing w:after="0"/>
              <w:rPr>
                <w:sz w:val="20"/>
                <w:szCs w:val="20"/>
                <w:color w:val="auto"/>
              </w:rPr>
            </w:pPr>
            <w:r>
              <w:rPr>
                <w:rFonts w:ascii="Arial" w:cs="Arial" w:eastAsia="Arial" w:hAnsi="Arial"/>
                <w:sz w:val="16"/>
                <w:szCs w:val="16"/>
                <w:b w:val="1"/>
                <w:bCs w:val="1"/>
                <w:color w:val="auto"/>
              </w:rPr>
              <w:t>Disposition Date</w:t>
            </w:r>
          </w:p>
        </w:tc>
        <w:tc>
          <w:tcPr>
            <w:tcW w:w="1720" w:type="dxa"/>
            <w:vAlign w:val="bottom"/>
            <w:gridSpan w:val="2"/>
          </w:tcPr>
          <w:p>
            <w:pPr>
              <w:ind w:left="360"/>
              <w:spacing w:after="0"/>
              <w:rPr>
                <w:sz w:val="20"/>
                <w:szCs w:val="20"/>
                <w:color w:val="auto"/>
              </w:rPr>
            </w:pPr>
            <w:r>
              <w:rPr>
                <w:rFonts w:ascii="Arial" w:cs="Arial" w:eastAsia="Arial" w:hAnsi="Arial"/>
                <w:sz w:val="16"/>
                <w:szCs w:val="16"/>
                <w:b w:val="1"/>
                <w:bCs w:val="1"/>
                <w:color w:val="auto"/>
              </w:rPr>
              <w:t>Property Type</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2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 millions)</w:t>
            </w:r>
          </w:p>
        </w:tc>
        <w:tc>
          <w:tcPr>
            <w:tcW w:w="26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115-117 Stevens Avenue</w:t>
            </w:r>
          </w:p>
        </w:tc>
        <w:tc>
          <w:tcPr>
            <w:tcW w:w="1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May 2018</w:t>
            </w:r>
          </w:p>
        </w:tc>
        <w:tc>
          <w:tcPr>
            <w:tcW w:w="17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Fee Interest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178,000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635 Madison Avenue</w:t>
            </w:r>
          </w:p>
        </w:tc>
        <w:tc>
          <w:tcPr>
            <w:tcW w:w="1720" w:type="dxa"/>
            <w:vAlign w:val="bottom"/>
            <w:gridSpan w:val="2"/>
          </w:tcPr>
          <w:p>
            <w:pPr>
              <w:ind w:left="460"/>
              <w:spacing w:after="0"/>
              <w:rPr>
                <w:sz w:val="20"/>
                <w:szCs w:val="20"/>
                <w:color w:val="auto"/>
              </w:rPr>
            </w:pPr>
            <w:r>
              <w:rPr>
                <w:rFonts w:ascii="Arial" w:cs="Arial" w:eastAsia="Arial" w:hAnsi="Arial"/>
                <w:sz w:val="16"/>
                <w:szCs w:val="16"/>
                <w:color w:val="auto"/>
              </w:rPr>
              <w:t>June 2018</w:t>
            </w:r>
          </w:p>
        </w:tc>
        <w:tc>
          <w:tcPr>
            <w:tcW w:w="1720" w:type="dxa"/>
            <w:vAlign w:val="bottom"/>
            <w:gridSpan w:val="2"/>
          </w:tcPr>
          <w:p>
            <w:pPr>
              <w:ind w:left="400"/>
              <w:spacing w:after="0"/>
              <w:rPr>
                <w:sz w:val="20"/>
                <w:szCs w:val="20"/>
                <w:color w:val="auto"/>
              </w:rPr>
            </w:pPr>
            <w:r>
              <w:rPr>
                <w:rFonts w:ascii="Arial" w:cs="Arial" w:eastAsia="Arial" w:hAnsi="Arial"/>
                <w:sz w:val="16"/>
                <w:szCs w:val="16"/>
                <w:color w:val="auto"/>
              </w:rPr>
              <w:t>Fee Interest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176,530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1-6 International Drive</w:t>
            </w:r>
          </w:p>
        </w:tc>
        <w:tc>
          <w:tcPr>
            <w:tcW w:w="17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July 2018</w:t>
            </w:r>
          </w:p>
        </w:tc>
        <w:tc>
          <w:tcPr>
            <w:tcW w:w="1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Fee Interest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Sales price represents the gross sales price for a property or the gross asset valuation for interests in a property.</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Gain (loss) on sale amounts do not include adjustments for expenses recorded in subsequent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the activity relating to our debt and preferred equity investments for the nine months ended September 30, 2018 and the twelve months ended December 31, 2017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7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Balance at beginning of period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2,114,041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1,640,412</w:t>
            </w: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color w:val="auto"/>
              </w:rPr>
              <w:t xml:space="preserve">Debt investment originations/accretion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664,961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1,142,591</w:t>
            </w: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144,456</w:t>
            </w:r>
          </w:p>
        </w:tc>
      </w:tr>
      <w:tr>
        <w:trPr>
          <w:trHeight w:val="27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Redemptions/sales/syndications/amortization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(808,250)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(813,418)</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1,977,057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2,114,041</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participations in debt investments that were sold or syndicated did not meet the conditions for sale accounting are included in other assets and other liabilities on the consolidated balance sheets.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2018 and December 31, 2017, we held the following debt investments with an aggregate weighted average current yield of 8.92% at September 30, 2018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2018</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2018</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Future Funding</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Senior</w:t>
            </w:r>
          </w:p>
        </w:tc>
        <w:tc>
          <w:tcPr>
            <w:tcW w:w="14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Obligations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1,160,000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210,832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204,005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2020</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2021</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147,000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24,913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2022</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2022</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83,689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12,704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2023</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(3b)</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2024</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2025</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2026</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1,657,500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55,250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June 2027</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Mortgage/Jr. Mortgage Loan</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250,464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11"/>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 Loan</w:t>
            </w:r>
            <w:r>
              <w:rPr>
                <w:rFonts w:ascii="Arial" w:cs="Arial" w:eastAsia="Arial" w:hAnsi="Arial"/>
                <w:sz w:val="21"/>
                <w:szCs w:val="21"/>
                <w:color w:val="auto"/>
                <w:vertAlign w:val="superscript"/>
              </w:rPr>
              <w:t>(5)(6)</w:t>
            </w:r>
          </w:p>
        </w:tc>
        <w:tc>
          <w:tcPr>
            <w:tcW w:w="180" w:type="dxa"/>
            <w:vAlign w:val="bottom"/>
          </w:tcPr>
          <w:p>
            <w:pPr>
              <w:spacing w:after="0"/>
              <w:rPr>
                <w:sz w:val="24"/>
                <w:szCs w:val="24"/>
                <w:color w:val="auto"/>
              </w:rPr>
            </w:pPr>
          </w:p>
        </w:tc>
        <w:tc>
          <w:tcPr>
            <w:tcW w:w="180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26,366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2018</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2018</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Future Funding</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Senior</w:t>
            </w:r>
          </w:p>
        </w:tc>
        <w:tc>
          <w:tcPr>
            <w:tcW w:w="14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Obligations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r>
      <w:tr>
        <w:trPr>
          <w:trHeight w:val="26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Loan</w:t>
            </w:r>
            <w:r>
              <w:rPr>
                <w:rFonts w:ascii="Arial" w:cs="Arial" w:eastAsia="Arial" w:hAnsi="Arial"/>
                <w:sz w:val="21"/>
                <w:szCs w:val="21"/>
                <w:color w:val="auto"/>
                <w:vertAlign w:val="superscript"/>
              </w:rPr>
              <w:t>(7)</w:t>
            </w:r>
          </w:p>
        </w:tc>
        <w:tc>
          <w:tcPr>
            <w:tcW w:w="1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17"/>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Total fixed rate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3,893,189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401,221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669,968</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(8)</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20,523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10,977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10,934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2018</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2018</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(3c)</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15,381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2018</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(3d)</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2018</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26,927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2018</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(3e)(10)</w:t>
            </w:r>
          </w:p>
        </w:tc>
        <w:tc>
          <w:tcPr>
            <w:tcW w:w="18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15,148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2019</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(11)</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19,972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19,982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2019</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(11)</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34,947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2019</w:t>
            </w: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Mortgage/Jr. Mortgage</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Participation Loan</w:t>
            </w:r>
          </w:p>
        </w:tc>
        <w:tc>
          <w:tcPr>
            <w:tcW w:w="18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17,186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228,516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82,517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71,832</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(12)</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(13)</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65,000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14,998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14,955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2019</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34,847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34,737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October 2019</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2019</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1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13,048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56,624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43,845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 Loan</w:t>
            </w:r>
          </w:p>
        </w:tc>
        <w:tc>
          <w:tcPr>
            <w:tcW w:w="1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13,579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86,058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February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1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27,776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288,811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41,309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355,148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85,955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75,428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and Mezzanine Loan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 and Mezzanine Loan</w:t>
            </w:r>
          </w:p>
        </w:tc>
        <w:tc>
          <w:tcPr>
            <w:tcW w:w="18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35,152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2020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Jr. Mortgage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Participation/Mezzanine Loan</w:t>
            </w:r>
          </w:p>
        </w:tc>
        <w:tc>
          <w:tcPr>
            <w:tcW w:w="1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2021</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(14)</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162,553</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(14)</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74,755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(15)</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23,609</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(16)</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(17)</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37,851</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(17)</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14,855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(6)</w:t>
            </w:r>
          </w:p>
        </w:tc>
        <w:tc>
          <w:tcPr>
            <w:tcW w:w="180" w:type="dxa"/>
            <w:vAlign w:val="bottom"/>
          </w:tcPr>
          <w:p>
            <w:pPr>
              <w:spacing w:after="0"/>
              <w:rPr>
                <w:sz w:val="23"/>
                <w:szCs w:val="2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16,969</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(7)</w:t>
            </w:r>
          </w:p>
        </w:tc>
        <w:tc>
          <w:tcPr>
            <w:tcW w:w="1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59,723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7"/>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Total floating rate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171,399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2,816,757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1,430,785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1,299,650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6,709,946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1,832,006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1,969,618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Carrying value is net of the following amounts that were sold or syndicated, which are included in other assets and other liabilities on the consolidated balance sheets as a result of the transfers not meeting the conditions for sale accounting: (a) $1.3 million, (b) $12.0 million, (c) $14.6 million, (d) $14.1 million, and (e) $5.1 million.</w:t>
      </w: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loans were conveyed to SL Green in the form of a distribution in March 2018.</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September 2014, we acquired a $26.4 million mortgage loan at a $0.2 million discount and a $5.7 million junior mortgage participation at a $5.7 million discount. The junior mortgage participation has been a nonperforming loan since acquisition, is currently on non-accrual status and has no carrying value.</w:t>
      </w: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repaid in August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repaid in September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conveyed to SL Green in the form of a distribution in October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extended in October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extended in March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extended in April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extended in August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extended in July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repaid in February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sold in May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conveyed to SL Green in the form of a distribution in July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loan was repaid in July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2018 and December 31, 2017, we held the following preferred equity investments with an aggregate weighted average current yield of 5.73% at September 30, 2018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 2018</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2018</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Future Funding</w:t>
            </w:r>
          </w:p>
        </w:tc>
        <w:tc>
          <w:tcPr>
            <w:tcW w:w="18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Senior</w:t>
            </w:r>
          </w:p>
        </w:tc>
        <w:tc>
          <w:tcPr>
            <w:tcW w:w="14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Obligations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 xml:space="preserve">Date </w:t>
            </w:r>
            <w:r>
              <w:rPr>
                <w:rFonts w:ascii="Arial" w:cs="Arial" w:eastAsia="Arial" w:hAnsi="Arial"/>
                <w:sz w:val="21"/>
                <w:szCs w:val="21"/>
                <w:b w:val="1"/>
                <w:bCs w:val="1"/>
                <w:color w:val="auto"/>
                <w:w w:val="85"/>
                <w:vertAlign w:val="superscript"/>
              </w:rPr>
              <w:t>(2)</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Preferred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9"/>
              </w:rPr>
              <w:t>April 2021</w:t>
            </w:r>
          </w:p>
        </w:tc>
      </w:tr>
      <w:tr>
        <w:trPr>
          <w:trHeight w:val="24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145,051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144,423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2018, all debt and preferred equity investments were performing in accordance with the terms of the relevant investments, with the exception of one mezzanine loan which was in maturity default. The mezzanine note receivable was conveyed in the form of a distribution to SL Green in October 2018.</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December 31, 2017, all debt and preferred equity investments were performing in accordance with the terms of the relevant investments with the exception of a junior mortgage participation acquired in September 2014, which was acquired for zero and has a carrying value of zero, as discussed in subnote 5 of the Debt Investments table above, and our investment in 2 Herald Square, which was purchased in maturity default and was subsequently conveyed to SL Green in the form of a distribution in the first quarter of 2018. In May 2018, SL Green was the successful bidder for the leasehold interest at the foreclosure of the asset and assigned the Company a 49.0% tenancy in common interest in the leasehold interest.</w:t>
      </w:r>
    </w:p>
    <w:p>
      <w:pPr>
        <w:spacing w:after="0" w:line="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determined that we have one portfolio segment of financing receivables at September 30, 2018 and December 31, 2017, comprising commercial real estate which is primarily recorded in debt and preferred equity investments. Included in other assets is an additional amount of financing receivables totaling $111.5 million and $93.4 million at September 30, 2018 and December 31, 2017, respectively. No financing receivables were 90 days past due at September 30, 2018.</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investments in several real estate joint ventures with various partners. As of September 30, 2018 and December 31, 2017, none of our investments in unconsolidated joint ventures were VIEs. All of the investments below are voting interest entities. As we do not control the joint ventures listed below, we account for them under the equity method of accounting.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general information on each of our joint ventures as of September 30, 2018: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Acquisition</w:t>
            </w:r>
          </w:p>
        </w:tc>
      </w:tr>
      <w:tr>
        <w:trPr>
          <w:trHeight w:val="203"/>
        </w:trPr>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20" w:type="dxa"/>
            <w:vAlign w:val="bottom"/>
          </w:tcPr>
          <w:p>
            <w:pPr>
              <w:jc w:val="center"/>
              <w:ind w:left="159"/>
              <w:spacing w:after="0"/>
              <w:rPr>
                <w:sz w:val="20"/>
                <w:szCs w:val="20"/>
                <w:color w:val="auto"/>
              </w:rPr>
            </w:pPr>
            <w:r>
              <w:rPr>
                <w:rFonts w:ascii="Arial" w:cs="Arial" w:eastAsia="Arial" w:hAnsi="Arial"/>
                <w:sz w:val="16"/>
                <w:szCs w:val="16"/>
                <w:b w:val="1"/>
                <w:bCs w:val="1"/>
                <w:color w:val="auto"/>
                <w:w w:val="94"/>
              </w:rPr>
              <w:t>Ownership</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Economic</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99"/>
              <w:spacing w:after="0" w:line="203" w:lineRule="exact"/>
              <w:rPr>
                <w:sz w:val="20"/>
                <w:szCs w:val="20"/>
                <w:color w:val="auto"/>
              </w:rPr>
            </w:pPr>
            <w:r>
              <w:rPr>
                <w:rFonts w:ascii="Arial" w:cs="Arial" w:eastAsia="Arial" w:hAnsi="Arial"/>
                <w:sz w:val="16"/>
                <w:szCs w:val="16"/>
                <w:b w:val="1"/>
                <w:bCs w:val="1"/>
                <w:color w:val="auto"/>
                <w:w w:val="88"/>
              </w:rPr>
              <w:t>Price</w:t>
            </w:r>
            <w:r>
              <w:rPr>
                <w:rFonts w:ascii="Arial" w:cs="Arial" w:eastAsia="Arial" w:hAnsi="Arial"/>
                <w:sz w:val="21"/>
                <w:szCs w:val="21"/>
                <w:b w:val="1"/>
                <w:bCs w:val="1"/>
                <w:color w:val="auto"/>
                <w:w w:val="88"/>
                <w:vertAlign w:val="superscript"/>
              </w:rPr>
              <w:t>(2)</w:t>
            </w:r>
          </w:p>
        </w:tc>
      </w:tr>
      <w:tr>
        <w:trPr>
          <w:trHeight w:val="243"/>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244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Partner</w:t>
            </w:r>
          </w:p>
        </w:tc>
        <w:tc>
          <w:tcPr>
            <w:tcW w:w="14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88"/>
              </w:rPr>
              <w:t>Interest</w:t>
            </w:r>
            <w:r>
              <w:rPr>
                <w:rFonts w:ascii="Arial" w:cs="Arial" w:eastAsia="Arial" w:hAnsi="Arial"/>
                <w:sz w:val="21"/>
                <w:szCs w:val="21"/>
                <w:b w:val="1"/>
                <w:bCs w:val="1"/>
                <w:color w:val="auto"/>
                <w:w w:val="88"/>
                <w:vertAlign w:val="superscript"/>
              </w:rPr>
              <w:t>(1)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Interest</w:t>
            </w:r>
            <w:r>
              <w:rPr>
                <w:rFonts w:ascii="Arial" w:cs="Arial" w:eastAsia="Arial" w:hAnsi="Arial"/>
                <w:sz w:val="21"/>
                <w:szCs w:val="21"/>
                <w:b w:val="1"/>
                <w:bCs w:val="1"/>
                <w:color w:val="auto"/>
                <w:w w:val="90"/>
                <w:vertAlign w:val="superscript"/>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Square Feet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Acquisition Date</w:t>
            </w:r>
            <w:r>
              <w:rPr>
                <w:rFonts w:ascii="Arial" w:cs="Arial" w:eastAsia="Arial" w:hAnsi="Arial"/>
                <w:sz w:val="21"/>
                <w:szCs w:val="21"/>
                <w:b w:val="1"/>
                <w:bCs w:val="1"/>
                <w:color w:val="auto"/>
                <w:w w:val="90"/>
                <w:vertAlign w:val="superscript"/>
              </w:rPr>
              <w:t>(2)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r>
      <w:tr>
        <w:trPr>
          <w:trHeight w:val="213"/>
        </w:trPr>
        <w:tc>
          <w:tcPr>
            <w:tcW w:w="1780" w:type="dxa"/>
            <w:vAlign w:val="bottom"/>
            <w:shd w:val="clear" w:color="auto" w:fill="CCEEFF"/>
          </w:tcPr>
          <w:p>
            <w:pPr>
              <w:spacing w:after="0"/>
              <w:rPr>
                <w:sz w:val="18"/>
                <w:szCs w:val="18"/>
                <w:color w:val="auto"/>
              </w:rPr>
            </w:pPr>
          </w:p>
        </w:tc>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New York State Teacher's</w:t>
            </w: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9"/>
        </w:trPr>
        <w:tc>
          <w:tcPr>
            <w:tcW w:w="178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919 Third Avenue</w:t>
            </w:r>
            <w:r>
              <w:rPr>
                <w:rFonts w:ascii="Arial" w:cs="Arial" w:eastAsia="Arial" w:hAnsi="Arial"/>
                <w:sz w:val="21"/>
                <w:szCs w:val="21"/>
                <w:color w:val="auto"/>
                <w:vertAlign w:val="superscript"/>
              </w:rPr>
              <w:t>(3)</w:t>
            </w:r>
          </w:p>
        </w:tc>
        <w:tc>
          <w:tcPr>
            <w:tcW w:w="2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Retirement System</w:t>
            </w:r>
          </w:p>
        </w:tc>
        <w:tc>
          <w:tcPr>
            <w:tcW w:w="14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51.00%</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1,454,000</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2007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1,256,727</w:t>
            </w:r>
          </w:p>
        </w:tc>
      </w:tr>
      <w:tr>
        <w:trPr>
          <w:trHeight w:val="224"/>
        </w:trPr>
        <w:tc>
          <w:tcPr>
            <w:tcW w:w="1780" w:type="dxa"/>
            <w:vAlign w:val="bottom"/>
          </w:tcPr>
          <w:p>
            <w:pPr>
              <w:ind w:left="40"/>
              <w:spacing w:after="0"/>
              <w:rPr>
                <w:sz w:val="20"/>
                <w:szCs w:val="20"/>
                <w:color w:val="auto"/>
              </w:rPr>
            </w:pPr>
            <w:r>
              <w:rPr>
                <w:rFonts w:ascii="Arial" w:cs="Arial" w:eastAsia="Arial" w:hAnsi="Arial"/>
                <w:sz w:val="16"/>
                <w:szCs w:val="16"/>
                <w:color w:val="auto"/>
              </w:rPr>
              <w:t>131-137 Spring Street</w:t>
            </w:r>
          </w:p>
        </w:tc>
        <w:tc>
          <w:tcPr>
            <w:tcW w:w="2440" w:type="dxa"/>
            <w:vAlign w:val="bottom"/>
          </w:tcPr>
          <w:p>
            <w:pPr>
              <w:ind w:left="320"/>
              <w:spacing w:after="0"/>
              <w:rPr>
                <w:sz w:val="20"/>
                <w:szCs w:val="20"/>
                <w:color w:val="auto"/>
              </w:rPr>
            </w:pPr>
            <w:r>
              <w:rPr>
                <w:rFonts w:ascii="Arial" w:cs="Arial" w:eastAsia="Arial" w:hAnsi="Arial"/>
                <w:sz w:val="16"/>
                <w:szCs w:val="16"/>
                <w:color w:val="auto"/>
              </w:rPr>
              <w:t>Invesco Real Estate</w:t>
            </w:r>
          </w:p>
        </w:tc>
        <w:tc>
          <w:tcPr>
            <w:tcW w:w="1420" w:type="dxa"/>
            <w:vAlign w:val="bottom"/>
          </w:tcPr>
          <w:p>
            <w:pPr>
              <w:jc w:val="center"/>
              <w:ind w:left="159"/>
              <w:spacing w:after="0"/>
              <w:rPr>
                <w:sz w:val="20"/>
                <w:szCs w:val="20"/>
                <w:color w:val="auto"/>
              </w:rPr>
            </w:pPr>
            <w:r>
              <w:rPr>
                <w:rFonts w:ascii="Arial" w:cs="Arial" w:eastAsia="Arial" w:hAnsi="Arial"/>
                <w:sz w:val="16"/>
                <w:szCs w:val="16"/>
                <w:color w:val="auto"/>
                <w:w w:val="92"/>
              </w:rPr>
              <w:t>20.00%</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68,342</w:t>
            </w: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August 2015</w:t>
            </w:r>
          </w:p>
        </w:tc>
        <w:tc>
          <w:tcPr>
            <w:tcW w:w="2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277,750</w:t>
            </w:r>
          </w:p>
        </w:tc>
      </w:tr>
      <w:tr>
        <w:trPr>
          <w:trHeight w:val="33"/>
        </w:trPr>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 Herald Square</w:t>
            </w:r>
            <w:r>
              <w:rPr>
                <w:rFonts w:ascii="Arial" w:cs="Arial" w:eastAsia="Arial" w:hAnsi="Arial"/>
                <w:sz w:val="21"/>
                <w:szCs w:val="21"/>
                <w:color w:val="auto"/>
                <w:vertAlign w:val="superscript"/>
              </w:rPr>
              <w:t>(4)</w:t>
            </w:r>
          </w:p>
        </w:tc>
        <w:tc>
          <w:tcPr>
            <w:tcW w:w="24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(4)</w:t>
            </w:r>
          </w:p>
        </w:tc>
        <w:tc>
          <w:tcPr>
            <w:tcW w:w="14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2"/>
              </w:rPr>
              <w:t>49.00%</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49.00%</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369,000</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May 2018</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266,000</w:t>
            </w:r>
          </w:p>
        </w:tc>
      </w:tr>
    </w:tbl>
    <w:p>
      <w:pPr>
        <w:spacing w:after="0" w:line="89" w:lineRule="exact"/>
        <w:rPr>
          <w:sz w:val="20"/>
          <w:szCs w:val="20"/>
          <w:color w:val="auto"/>
        </w:rPr>
      </w:pPr>
    </w:p>
    <w:p>
      <w:pPr>
        <w:ind w:left="420" w:hanging="412"/>
        <w:spacing w:after="0" w:line="250"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September 30, 2018. Changes in ownership or economic interests within the current year are disclosed in the notes below.</w:t>
      </w:r>
    </w:p>
    <w:p>
      <w:pPr>
        <w:ind w:left="420" w:hanging="412"/>
        <w:spacing w:after="0" w:line="24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Acquisition date and price represent the date on which the Company initially acquired an interest in the joint venture and the actual or implied gross purchase price for the joint venture on that date. Acquisition date and price are not adjusted for subsequent acquisitions or dispositions of interest.</w:t>
      </w:r>
    </w:p>
    <w:p>
      <w:pPr>
        <w:jc w:val="both"/>
        <w:ind w:left="420" w:hanging="412"/>
        <w:spacing w:after="0" w:line="24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January 2018, the partnership agreement for our investment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1" w:lineRule="exact"/>
        <w:rPr>
          <w:rFonts w:ascii="Arial" w:cs="Arial" w:eastAsia="Arial" w:hAnsi="Arial"/>
          <w:sz w:val="14"/>
          <w:szCs w:val="14"/>
          <w:color w:val="auto"/>
        </w:rPr>
      </w:pPr>
    </w:p>
    <w:p>
      <w:pPr>
        <w:jc w:val="both"/>
        <w:ind w:left="420" w:hanging="412"/>
        <w:spacing w:after="0" w:line="246"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May 2018, SL Green assigned the Company a 49.0% tenancy-in-common interest in the leasehold interest in 2 Herald Square and entered into an agreement to sell this investment. Consolidation of this investment is not required as such interest does not qualify as a VIE and does not meet the control requirement for consolidation. Accordingly, we account for this investment using the equity method of accounting. We use the equity method of accounting because the shared decision-making involved in a tenancy-in-common interest investment provides us with significant influence on the operating and financial decisions of this investment.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and Construction Arrangements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Based on the characteristics of the following arrangements, which are similar to those of an investment, combined with the expected residual profit of not greater than 50%, we have accounted for these debt and preferred equity investments under the equity method. As of September 30, 2018 and December 31, 2017, the carrying value for acquisition, development and construction arrangements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 Type</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2160" w:type="dxa"/>
            <w:vAlign w:val="bottom"/>
          </w:tcPr>
          <w:p>
            <w:pPr>
              <w:ind w:left="580"/>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26,716</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Mezzanine Loan and Preferred Equity</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tcPr>
          <w:p>
            <w:pPr>
              <w:spacing w:after="0"/>
              <w:rPr>
                <w:sz w:val="23"/>
                <w:szCs w:val="23"/>
                <w:color w:val="auto"/>
              </w:rPr>
            </w:pPr>
          </w:p>
        </w:tc>
      </w:tr>
      <w:tr>
        <w:trPr>
          <w:trHeight w:val="255"/>
        </w:trPr>
        <w:tc>
          <w:tcPr>
            <w:tcW w:w="4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204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126,716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was redeemed on this investment in July 2018.</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mezzanine loan was repaid and the preferred equity interest was redeemed in March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Joint Venture Interests or Properties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investments in unconsolidated joint ventures disposed of during the nine months ended September 30, 2018:</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Gross Asset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Gain (Loss)</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Ownership</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Valuation</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7"/>
              </w:rPr>
              <w:t>on Sale</w:t>
            </w:r>
          </w:p>
        </w:tc>
      </w:tr>
      <w:tr>
        <w:trPr>
          <w:trHeight w:val="243"/>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Disposition Date</w:t>
            </w:r>
          </w:p>
        </w:tc>
        <w:tc>
          <w:tcPr>
            <w:tcW w:w="1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Type of Sale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(in thousands)</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thousands)</w:t>
            </w:r>
            <w:r>
              <w:rPr>
                <w:rFonts w:ascii="Arial" w:cs="Arial" w:eastAsia="Arial" w:hAnsi="Arial"/>
                <w:sz w:val="21"/>
                <w:szCs w:val="21"/>
                <w:b w:val="1"/>
                <w:bCs w:val="1"/>
                <w:color w:val="auto"/>
                <w:w w:val="87"/>
                <w:vertAlign w:val="superscript"/>
              </w:rPr>
              <w:t>(2)</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33.33%</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August 2018</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Repayment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N/A</w:t>
            </w:r>
          </w:p>
        </w:tc>
      </w:tr>
    </w:tbl>
    <w:p>
      <w:pPr>
        <w:spacing w:after="0" w:line="89"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implied gross valuation for the joint venture or sales price of the property.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Company's share of the gain (loss).</w:t>
      </w:r>
    </w:p>
    <w:p>
      <w:pPr>
        <w:spacing w:after="0" w:line="13"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investment in a joint venture that owned a mezzanine loan secured by a commercial property in midtown Manhattan was repaid after the joint venture received repayment of the underlying loan.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generally finance our joint ventures with non-recourse debt. In certain cases we have provided guarantees or master leases for tenant space, which terminate upon the satisfaction of specified circumstances or repayment of the underlying loans. The first mortgage notes and other loans payable collateralized by the respective joint venture properties and assignment of leases at September 30, 2018 and December 31, 2017, respectively, are as follows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Economic</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32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September 30, 2018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919 Third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2023</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131-137 Spring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2020</w:t>
            </w:r>
          </w:p>
        </w:tc>
        <w:tc>
          <w:tcPr>
            <w:tcW w:w="580" w:type="dxa"/>
            <w:vAlign w:val="bottom"/>
          </w:tcPr>
          <w:p>
            <w:pPr>
              <w:ind w:left="220"/>
              <w:spacing w:after="0"/>
              <w:rPr>
                <w:sz w:val="20"/>
                <w:szCs w:val="20"/>
                <w:color w:val="auto"/>
              </w:rPr>
            </w:pPr>
            <w:r>
              <w:rPr>
                <w:rFonts w:ascii="Arial" w:cs="Arial" w:eastAsia="Arial" w:hAnsi="Arial"/>
                <w:sz w:val="16"/>
                <w:szCs w:val="16"/>
                <w:color w:val="auto"/>
              </w:rPr>
              <w:t>L+</w:t>
            </w:r>
          </w:p>
        </w:tc>
        <w:tc>
          <w:tcPr>
            <w:tcW w:w="6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141,000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141,000</w:t>
            </w:r>
          </w:p>
        </w:tc>
      </w:tr>
      <w:tr>
        <w:trPr>
          <w:trHeight w:val="33"/>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joint venture mortgages and other loans payable</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141,000</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33"/>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rPr>
              <w:t>Total joint venture mortgages and other loans payable, net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638,969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138,138</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line="250"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September 30, 2018. Changes in ownership or economic interests, if any, within the current year are disclosed in the notes to the investment in unconsolidated joint ventures table above.</w:t>
      </w: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Interest rates as of September 30, 2018. Floating rate debt is presented with the stated interest rate spread over 30-day LIBOR, unless otherwise specified.</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combined balance sheets for the unconsolidated joint ventures at September 30, 2018 and December 31, 2017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Commercial real estate property, net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1,860,269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273,116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141,716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773,530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15,735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2,633,799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 xml:space="preserve">Liabilities and members' equity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2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Mortgages and other loans payable,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638,969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138,138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895,127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18,908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1,099,703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273,521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 and members'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2,633,799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Company's investments in unconsolidated joint ventures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477,686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33"/>
        </w:trPr>
        <w:tc>
          <w:tcPr>
            <w:tcW w:w="7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line="273"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combined assets, liabilities and equity for the unconsolidated joint ventures reflects the effect of step ups in basis on the retained non-controlling interests in deconsolidated investments as a result of the adoption of ASC 610-20 in January 2018.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combined statements of operations for the unconsolidated joint ventures for the three and nine months ended September 30, 2018 and 2017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42,037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112,399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6,659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18,925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Ground rent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3,106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3,106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837</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37,701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6,304</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42,204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107,411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11,549</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Net (loss) income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15,385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8"/>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Company's equity in net income from unconsolidated joint ventures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3,835</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10,362</w:t>
            </w:r>
          </w:p>
        </w:tc>
      </w:tr>
    </w:tbl>
    <w:p>
      <w:pPr>
        <w:spacing w:after="0" w:line="48" w:lineRule="exact"/>
        <w:rPr>
          <w:sz w:val="20"/>
          <w:szCs w:val="20"/>
          <w:color w:val="auto"/>
        </w:rPr>
      </w:pPr>
    </w:p>
    <w:p>
      <w:pPr>
        <w:ind w:left="420" w:hanging="412"/>
        <w:spacing w:after="0" w:line="273"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combined statements of operation and the Company's equity in net income for the unconsolidated joint ventures reflects the effect of step ups in basis on the retained non-controlling interests in deconsolidated investments as a result of the adoption of ASC 610-20 in January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Mortgages and Other Loans Payable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first mortgages and other loans payable collateralized by the respective properties and assignment of leases or debt investments at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December 31, 2017, respectively, were as follows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 xml:space="preserve">Interest Rate </w:t>
            </w:r>
            <w:r>
              <w:rPr>
                <w:rFonts w:ascii="Arial" w:cs="Arial" w:eastAsia="Arial" w:hAnsi="Arial"/>
                <w:sz w:val="21"/>
                <w:szCs w:val="21"/>
                <w:b w:val="1"/>
                <w:bCs w:val="1"/>
                <w:color w:val="auto"/>
                <w:w w:val="94"/>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30, 2018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315 West 33rd Street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250,000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250,000</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919 Third Avenue </w:t>
            </w:r>
            <w:r>
              <w:rPr>
                <w:rFonts w:ascii="Arial" w:cs="Arial" w:eastAsia="Arial" w:hAnsi="Arial"/>
                <w:sz w:val="21"/>
                <w:szCs w:val="21"/>
                <w:color w:val="auto"/>
                <w:vertAlign w:val="superscript"/>
              </w:rPr>
              <w:t>(2)</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2017 Master Repurchase Agreement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2019</w:t>
            </w:r>
          </w:p>
        </w:tc>
        <w:tc>
          <w:tcPr>
            <w:tcW w:w="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90,809</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115 Spring Street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2023</w:t>
            </w:r>
          </w:p>
        </w:tc>
        <w:tc>
          <w:tcPr>
            <w:tcW w:w="580" w:type="dxa"/>
            <w:vAlign w:val="bottom"/>
          </w:tcPr>
          <w:p>
            <w:pPr>
              <w:ind w:left="240"/>
              <w:spacing w:after="0"/>
              <w:rPr>
                <w:sz w:val="20"/>
                <w:szCs w:val="20"/>
                <w:color w:val="auto"/>
              </w:rPr>
            </w:pPr>
            <w:r>
              <w:rPr>
                <w:rFonts w:ascii="Arial" w:cs="Arial" w:eastAsia="Arial" w:hAnsi="Arial"/>
                <w:sz w:val="16"/>
                <w:szCs w:val="16"/>
                <w:color w:val="auto"/>
              </w:rPr>
              <w:t>L+</w:t>
            </w:r>
          </w:p>
        </w:tc>
        <w:tc>
          <w:tcPr>
            <w:tcW w:w="60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65,550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mortgages and other loans payable</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615,550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840,809</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 of amortization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(8,489)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(11,161)</w:t>
            </w: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mortgages and other loans payable, net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607,061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829,648</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rate as of September 30, 2018. Floating rate debt is presented with the stated interest rate spread over 30-day LIBOR, unless otherwise specified.</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investment in the property was deconsolidated as of January 1, 2018. See Note 6, "Investments in Unconsolidated Joint Ventures".</w:t>
      </w:r>
    </w:p>
    <w:p>
      <w:pPr>
        <w:spacing w:after="0" w:line="10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At September 30, 2018 and December 31, 2017, the gross book value of the properties and debt and preferred equity investments collateralizing the mortgages and other loans payable, not including assets held for sale, was approximately $1.0 billion and $1.9 billion,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entered into two Master Repurchase Agreements, or MRAs, known as the 2016 MRA and 2017 MRA, which provide us with the ability to sell certain debt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facilities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recollateralize the facility with additional assets from our portfolio of debt investments and our ability to satisfy margin calls with cash or cash equivalents.</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entered into the 2017 MRA, with a maximum facility capacity of $300.0 million. In April 2018, we increased the maximum facility capacity to $400.0 million. The facility bears interest on a floating rate basis at a spread to 30-day LIBOR based on the pledged collateral and advance rate and has an initial one year term, with two one year extension options. In June 2018, we exercised a one year extension option. At September 30, 2018, the facility had an outstanding balance of $299.4 million, net of deferred financing costs.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2016, we entered into the 2016 MRA, with a maximum facility capacity of $300.0 million. In June 2018, we terminated the 2016 MRA. The facility bore interest ranging from 225 and 400 basis points over 30-day LIBOR depending on the pledged collateral and had an initial two-year term, with a one year extension option. Since December 6, 2015, we had been required to pay monthly in arrears a 25 basis point fee on the excess of $150.0 million over the average daily balance during the period when the average daily balance was less than $150.0 million.</w:t>
      </w:r>
    </w:p>
    <w:p>
      <w:pPr>
        <w:spacing w:after="0" w:line="59" w:lineRule="exact"/>
        <w:rPr>
          <w:sz w:val="20"/>
          <w:szCs w:val="20"/>
          <w:color w:val="auto"/>
        </w:rPr>
      </w:pPr>
    </w:p>
    <w:p>
      <w:pPr>
        <w:ind w:right="9380" w:firstLine="8"/>
        <w:spacing w:after="0" w:line="425" w:lineRule="auto"/>
        <w:tabs>
          <w:tab w:leader="none" w:pos="1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2017 Credit Facility</w:t>
      </w:r>
    </w:p>
    <w:p>
      <w:pPr>
        <w:spacing w:after="0" w:line="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November 2017, the Company, SL Green and the Operating Partnership entered into an amendment to the credit facility, referred to as the 2017 credit facility, that was originally entered into in November 2012, or the 2012 credit facility. The amendment resulted in the Company no longer being a borrower and instead is providing a guarantee of the facility. The 2012 credit facility had a carrying value of $1.2 billion, net of deferred financing costs, as of the amendment date and was removed from our consolidated balance sheet and shown as a non-cash capital contribution. SL Green and the Operating Partnership remain borrowers, jointly and severally obligated, under the 2017 credit facility. As of September 30, 2018,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SL Green and the Operating Partnership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the existing lenders and other financial institutions.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September 30, 2018, SL Green and the Operating Partnership had $11.8 million of outstanding letters of credit, $145.0 million drawn under the revolving credit facility and $1.5 billion outstanding under the term loan facilities, with total undrawn capacity of $1.3 billion under the 2017 credit facility. At September 30, 2018 and December 31, 2017, the revolving credit facility had a carrying value of $136.7 million and $30.3 million, respectively, net of deferred financing costs. At September 30, 2018 and December 31, 2017, the term loan facilities had a carrying value of $1.5 billion and $1.5 billion, respectively, net of deferred financing costs.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September 30, 2018 and December 31, 2017, respectively, by scheduled maturity date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Unpaid</w:t>
            </w:r>
          </w:p>
        </w:tc>
        <w:tc>
          <w:tcPr>
            <w:tcW w:w="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Initial</w:t>
            </w: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Principal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Accreted</w:t>
            </w:r>
          </w:p>
        </w:tc>
        <w:tc>
          <w:tcPr>
            <w:tcW w:w="16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Coupon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1480" w:type="dxa"/>
            <w:vAlign w:val="bottom"/>
          </w:tcPr>
          <w:p>
            <w:pPr>
              <w:spacing w:after="0"/>
              <w:rPr>
                <w:sz w:val="17"/>
                <w:szCs w:val="17"/>
                <w:color w:val="auto"/>
              </w:rPr>
            </w:pPr>
          </w:p>
        </w:tc>
      </w:tr>
      <w:tr>
        <w:trPr>
          <w:trHeight w:val="243"/>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Issuance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 Years)</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r>
      <w:tr>
        <w:trPr>
          <w:trHeight w:val="25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March 16, 2010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2020</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300,000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304,421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305,163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2022</w:t>
            </w: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2025</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 xml:space="preserve">August 5, 2011 </w:t>
            </w:r>
            <w:r>
              <w:rPr>
                <w:rFonts w:ascii="Arial" w:cs="Arial" w:eastAsia="Arial" w:hAnsi="Arial"/>
                <w:sz w:val="21"/>
                <w:szCs w:val="21"/>
                <w:color w:val="auto"/>
                <w:vertAlign w:val="superscript"/>
              </w:rPr>
              <w:t>(2) (4)</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249,953</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3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654,421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(3,081)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651,340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901,067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on the senior unsecured notes is payable semi-annually with principal and unpaid interest due on the scheduled maturity dates.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Issued by SL Green, the Operating Partnership and ROP, as co-obligors.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p>
      <w:pPr>
        <w:ind w:left="420" w:right="20" w:hanging="412"/>
        <w:spacing w:after="0" w:line="250"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October 2017, SL Green, the Operating Partnership, and ROP, as co-obligors, issued an additional $100.0 million of 4.50% senior unsecured notes due December 2022. The notes were priced at 105.334%.</w:t>
      </w: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Balance was repaid in August 2018.</w:t>
      </w:r>
    </w:p>
    <w:p>
      <w:pPr>
        <w:spacing w:after="0" w:line="10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provide a guaranty of the Operating Partnership's obligations under its 3.25% Senior Notes due 2022, which were issued in October 2017 and will mature in October 2022. As of September 30, 2018, the 3.25% Senior Notes due 2022 had a carrying value of $499.6 million.</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provide a guaranty of the Operating Partnership's obligations under its $350.0 million Senior Notes due 2021, which were issued in August 2018. The notes bear interest at a floating rate, reset quarterly, equal to three-month LIBOR plus 98 basis points. The notes will mature in August 2021 and can be redeemed at par beginning in August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SL Green's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SL Green will not during any time when a default is continuing, make distributions with respect to SL Green's common stock or other equity interests, except to enable SL Green to continue to qualify as a REIT for Federal income tax purposes. As of September 30, 2018 and December 31, 2017, we were in compliance with all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Combined aggregate principal maturities of mortgages and other loans payable, and senior unsecured notes as of September 30, 2018, including as-of-right extension options and put options,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Scheduled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Senior Unsecured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Notes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2018</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2019</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2021</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2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315,550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415,550</w:t>
            </w:r>
          </w:p>
        </w:tc>
      </w:tr>
      <w:tr>
        <w:trPr>
          <w:trHeight w:val="33"/>
        </w:trPr>
        <w:tc>
          <w:tcPr>
            <w:tcW w:w="5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1,265,550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before capitalized interest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8"/>
              </w:rPr>
              <w:t>17,052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51,729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96,740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(3,908)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15,458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34,627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47,818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96,202</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Alliance Building Services, or Alliance, and its affiliates are partially owned by Gary Green, a son of Stephen L. Green, the chairman of SL Green's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$0.9 million and $2.6 million for the three and nine months ended September 30, 2018, respectively, and was $0.8 million and $2.5 million for the three and nine months ended September 30, 2017, respectively.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recorded expenses, inclusive of capitalized expenses, of $2.4 million and $7.0 million for the three and nine months ended September 30, 2018, respectively, for these services (excluding services provided directly to tenants), and $2.6 million and $7.1 million for the three and nine months ended September 30,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Allocated Expenses from SL Green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Property operating expenses include an allocation of salary and other operating costs from SL Green based on square footage of the related properties. Such amount was approximately $2.6 million and $8.2 million for the three and nine months ended September 30, 2018, respectively. The amount was $3.0 million and $9.2 million for the three and nine months ended September 30,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obtain insurance coverage through an insurance program administered by SL Green. In connection with this program, we incurred insurance expense of approximately $1.0 million and $3.2 million for the three and nine months ended September 30, 2018, respectively. We incurred insurance expense of approximately $1.3 million and $4.1 million for the three and nine months ended September 30, 2017,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Payable to SL Green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22, 2016, we issued a promissory note to our parent company in the amount of $23.8 million which bears interest at an annual rate of 6.0%, compounded quarterly. This note matured on August 22,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Units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Through a consolidated subsidiary, we have authorized up to 109,161 3.50% Series A Preferred Units of limited partnership interest, or the Subsidiary Series A Preferred Units, with a liquidation preference of $1,000.00 per unit. In August 2015, the Company issued 109,161 Subsidiary Series A Preferred Units in conjunction with an acquisition. The Subsidiary Series A Preferred unitholders receive annual dividends of $35.00 per unit paid on a quarterly basis and dividends are cumulative, subject to certain provisions. The Subsidiary Series A Preferred Units can be redeemed at any time, at the option of the unitholder, either for cash or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SL Green common stock for each Subsidiary Series B Preferred Unit. As of September 30, 2018, no Subsidiary Series B Preferred Units have been issued.</w:t>
      </w:r>
    </w:p>
    <w:p>
      <w:pPr>
        <w:spacing w:after="0" w:line="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ASC 815 Derivatives and Hedging requires bifurcation of certain embedded derivative instruments, such as conversion features in convertible equity instruments, and their measurement at fair value for accounting purposes. The conversion feature embedded in the Subsidiary Series A Preferred Units was evaluated, and it was determined that the conversion feature should be bifurcated from its host instrument and accounted for as a freestanding derivative. The derivative is reported as a derivative liability in accrued interest and other liabilities on the accompanying consolidated balance sheet and is adjusted to its fair value at each reporting date, with a corresponding adjustment to interest expense, net of interest income. The embedded derivative for the Subsidiary Series A Preferred Units was initially recorded at a fair value of zero on July 22, 2015, the date of issuance. At September 30, 2018, the carrying amount of the derivative remained at zero.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Partners' Capital</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consummation of the Merger on January 25, 2007, the Operating Partnership has owned all the economic interests in us either by direct ownership or by indirect ownership through our general partner, which is its wholly-owned subsidiary.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Intercompany transactions between SL Green and us are generally recorded as contributions and distributions.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are required to disclose fair value information with regard to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w:t>
      </w:r>
    </w:p>
    <w:p>
      <w:pPr>
        <w:spacing w:after="0" w:line="2" w:lineRule="exact"/>
        <w:rPr>
          <w:sz w:val="20"/>
          <w:szCs w:val="20"/>
          <w:color w:val="auto"/>
        </w:rPr>
      </w:pPr>
    </w:p>
    <w:p>
      <w:pPr>
        <w:jc w:val="both"/>
        <w:ind w:firstLine="8"/>
        <w:spacing w:after="0" w:line="269" w:lineRule="auto"/>
        <w:tabs>
          <w:tab w:leader="none" w:pos="1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determine other than temporary impairment in real estate investments and debt and preferred equity investments, including intangibles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January 2018, the partnership agreement for our investment in 919 Third Avenue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determined using a third 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 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provides the carrying value and fair value of these financial instruments as of September 30, 2018 and December 31, 2017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5"/>
          </w:tcPr>
          <w:p>
            <w:pPr>
              <w:ind w:left="102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3520" w:type="dxa"/>
            <w:vAlign w:val="bottom"/>
            <w:gridSpan w:val="4"/>
          </w:tcPr>
          <w:p>
            <w:pPr>
              <w:jc w:val="right"/>
              <w:ind w:right="1124"/>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480" w:type="dxa"/>
            <w:vAlign w:val="bottom"/>
          </w:tcPr>
          <w:p>
            <w:pPr>
              <w:jc w:val="right"/>
              <w:ind w:right="464"/>
              <w:spacing w:after="0"/>
              <w:rPr>
                <w:sz w:val="20"/>
                <w:szCs w:val="20"/>
                <w:color w:val="auto"/>
              </w:rPr>
            </w:pPr>
            <w:r>
              <w:rPr>
                <w:rFonts w:ascii="Arial" w:cs="Arial" w:eastAsia="Arial" w:hAnsi="Arial"/>
                <w:sz w:val="16"/>
                <w:szCs w:val="16"/>
                <w:b w:val="1"/>
                <w:bCs w:val="1"/>
                <w:color w:val="auto"/>
              </w:rPr>
              <w:t>Fair Value</w:t>
            </w:r>
          </w:p>
        </w:tc>
      </w:tr>
      <w:tr>
        <w:trPr>
          <w:trHeight w:val="291"/>
        </w:trPr>
        <w:tc>
          <w:tcPr>
            <w:tcW w:w="37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1,977,057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804"/>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2,114,041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3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904,421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ind w:right="44"/>
              <w:spacing w:after="0"/>
              <w:rPr>
                <w:sz w:val="20"/>
                <w:szCs w:val="20"/>
                <w:color w:val="auto"/>
              </w:rPr>
            </w:pPr>
            <w:r>
              <w:rPr>
                <w:rFonts w:ascii="Arial" w:cs="Arial" w:eastAsia="Arial" w:hAnsi="Arial"/>
                <w:sz w:val="16"/>
                <w:szCs w:val="16"/>
                <w:b w:val="1"/>
                <w:bCs w:val="1"/>
                <w:color w:val="auto"/>
              </w:rPr>
              <w:t>907,337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1,655,116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4"/>
              <w:spacing w:after="0"/>
              <w:rPr>
                <w:sz w:val="20"/>
                <w:szCs w:val="20"/>
                <w:color w:val="auto"/>
              </w:rPr>
            </w:pPr>
            <w:r>
              <w:rPr>
                <w:rFonts w:ascii="Arial" w:cs="Arial" w:eastAsia="Arial" w:hAnsi="Arial"/>
                <w:sz w:val="16"/>
                <w:szCs w:val="16"/>
                <w:color w:val="auto"/>
              </w:rPr>
              <w:t>1,715,501</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365,550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382,438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92,087</w:t>
            </w:r>
          </w:p>
        </w:tc>
      </w:tr>
      <w:tr>
        <w:trPr>
          <w:trHeight w:val="217"/>
        </w:trPr>
        <w:tc>
          <w:tcPr>
            <w:tcW w:w="37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1,269,971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1,289,775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1,745,925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1,807,588</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3"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September 30, 2018, debt and preferred equity investments had an estimated fair value ranging between $2.0 billion and $2.2 billion. At December 31, 2017, debt and preferred equity investments had an estimated fair value ranging between $2.1 billion and $2.3 billion.</w:t>
      </w:r>
    </w:p>
    <w:p>
      <w:pPr>
        <w:spacing w:after="0" w:line="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Disclosure about fair value of financial instruments was based on pertinent information available to us as of September 30, 2018 and December 31, 2017. Although we are not aware of any factors that would significantly affect the reasonable fair value amounts, such amounts have not been comprehensively revalued for purposes of these financial statements since that date and current estimates of fair value may differ significantly from the amounts presented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Derivatives and Hedging</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until the hedged item is recognized in earnings. The ineffective portion of a derivative's change in fair value will be immediately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 As of September 30, 2018, the Company had not designated any interest rate swap agreements on any debt investment.</w:t>
      </w:r>
    </w:p>
    <w:p>
      <w:pPr>
        <w:spacing w:after="0" w:line="7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Gains and losses on terminated hedges are included in accumulated other comprehensive income, and are recognized into earnings over the term of the related senior unsecured notes. As of September 30, 2018 and December 31, 2017, the deferred net losses from these terminated hedges, which are included in accumulated other comprehensive income relating to net unrealized loss on derivative instruments, was approximately zero and $1.3 million, respectively.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effect of our derivative financial instruments that are designated and qualify as hedging instruments on the consolidated statements of operations for the three months ended September 30, 2018 and 2017,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0"/>
              </w:rPr>
              <w:t>Amount of Loss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89"/>
              </w:rPr>
              <w:t>Reclassified from</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88"/>
              </w:rPr>
              <w:t>Recognized in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90"/>
              </w:rPr>
              <w:t>Other Comprehensive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0"/>
              </w:rPr>
              <w:t>Comprehensive Loss into</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3"/>
              </w:rPr>
              <w:t>Amount of Gain</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Location of Loss</w:t>
            </w:r>
          </w:p>
        </w:tc>
        <w:tc>
          <w:tcPr>
            <w:tcW w:w="160" w:type="dxa"/>
            <w:vAlign w:val="bottom"/>
          </w:tcPr>
          <w:p>
            <w:pPr>
              <w:spacing w:after="0"/>
              <w:rPr>
                <w:sz w:val="17"/>
                <w:szCs w:val="17"/>
                <w:color w:val="auto"/>
              </w:rPr>
            </w:pPr>
          </w:p>
        </w:tc>
        <w:tc>
          <w:tcPr>
            <w:tcW w:w="124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2"/>
              </w:rPr>
              <w:t>Income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Recognized into Income</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vMerge w:val="restart"/>
          </w:tcPr>
          <w:p>
            <w:pPr>
              <w:jc w:val="center"/>
              <w:ind w:right="119"/>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vMerge w:val="restart"/>
          </w:tcPr>
          <w:p>
            <w:pPr>
              <w:jc w:val="center"/>
              <w:ind w:right="59"/>
              <w:spacing w:after="0"/>
              <w:rPr>
                <w:sz w:val="20"/>
                <w:szCs w:val="20"/>
                <w:color w:val="auto"/>
              </w:rPr>
            </w:pPr>
            <w:r>
              <w:rPr>
                <w:rFonts w:ascii="Arial" w:cs="Arial" w:eastAsia="Arial" w:hAnsi="Arial"/>
                <w:sz w:val="16"/>
                <w:szCs w:val="16"/>
                <w:b w:val="1"/>
                <w:bCs w:val="1"/>
                <w:color w:val="auto"/>
                <w:w w:val="92"/>
              </w:rPr>
              <w:t>(Effective Portion)</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vMerge w:val="restart"/>
          </w:tcPr>
          <w:p>
            <w:pPr>
              <w:jc w:val="center"/>
              <w:ind w:left="239"/>
              <w:spacing w:after="0"/>
              <w:rPr>
                <w:sz w:val="20"/>
                <w:szCs w:val="20"/>
                <w:color w:val="auto"/>
              </w:rPr>
            </w:pPr>
            <w:r>
              <w:rPr>
                <w:rFonts w:ascii="Arial" w:cs="Arial" w:eastAsia="Arial" w:hAnsi="Arial"/>
                <w:sz w:val="16"/>
                <w:szCs w:val="16"/>
                <w:b w:val="1"/>
                <w:bCs w:val="1"/>
                <w:color w:val="auto"/>
                <w:w w:val="93"/>
              </w:rPr>
              <w:t>(Ineffective Portion)</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Reclassified from</w:t>
            </w:r>
          </w:p>
        </w:tc>
        <w:tc>
          <w:tcPr>
            <w:tcW w:w="16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w:t>
            </w:r>
          </w:p>
        </w:tc>
        <w:tc>
          <w:tcPr>
            <w:tcW w:w="18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0" w:type="dxa"/>
            <w:vAlign w:val="bottom"/>
            <w:gridSpan w:val="5"/>
            <w:vMerge w:val="restart"/>
          </w:tcPr>
          <w:p>
            <w:pPr>
              <w:jc w:val="center"/>
              <w:ind w:right="119"/>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980" w:type="dxa"/>
            <w:vAlign w:val="bottom"/>
            <w:gridSpan w:val="4"/>
            <w:vMerge w:val="restart"/>
          </w:tcPr>
          <w:p>
            <w:pPr>
              <w:jc w:val="center"/>
              <w:ind w:right="5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40" w:type="dxa"/>
            <w:vAlign w:val="bottom"/>
            <w:gridSpan w:val="4"/>
            <w:vMerge w:val="restart"/>
          </w:tcPr>
          <w:p>
            <w:pPr>
              <w:jc w:val="center"/>
              <w:ind w:left="239"/>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Recognized in</w:t>
            </w:r>
          </w:p>
        </w:tc>
        <w:tc>
          <w:tcPr>
            <w:tcW w:w="184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0" w:type="dxa"/>
            <w:vAlign w:val="bottom"/>
            <w:gridSpan w:val="5"/>
            <w:vMerge w:val="restart"/>
          </w:tcPr>
          <w:p>
            <w:pPr>
              <w:jc w:val="center"/>
              <w:ind w:right="11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980" w:type="dxa"/>
            <w:vAlign w:val="bottom"/>
            <w:gridSpan w:val="4"/>
            <w:vMerge w:val="restart"/>
          </w:tcPr>
          <w:p>
            <w:pPr>
              <w:jc w:val="center"/>
              <w:ind w:right="5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40" w:type="dxa"/>
            <w:vAlign w:val="bottom"/>
            <w:gridSpan w:val="4"/>
            <w:vMerge w:val="restart"/>
          </w:tcPr>
          <w:p>
            <w:pPr>
              <w:jc w:val="center"/>
              <w:ind w:left="259"/>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1"/>
                <w:szCs w:val="11"/>
                <w:color w:val="auto"/>
              </w:rPr>
            </w:pPr>
          </w:p>
        </w:tc>
        <w:tc>
          <w:tcPr>
            <w:tcW w:w="19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9"/>
              </w:rPr>
              <w:t>Income on</w:t>
            </w:r>
          </w:p>
        </w:tc>
        <w:tc>
          <w:tcPr>
            <w:tcW w:w="18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Derivative</w:t>
            </w:r>
          </w:p>
        </w:tc>
        <w:tc>
          <w:tcPr>
            <w:tcW w:w="2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Loss into Income</w:t>
            </w:r>
          </w:p>
        </w:tc>
        <w:tc>
          <w:tcPr>
            <w:tcW w:w="160" w:type="dxa"/>
            <w:vAlign w:val="bottom"/>
          </w:tcPr>
          <w:p>
            <w:pPr>
              <w:spacing w:after="0"/>
              <w:rPr>
                <w:sz w:val="20"/>
                <w:szCs w:val="20"/>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Derivative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effect of our derivative financial instruments that are designated and qualify as hedging instruments on the consolidated statements of operations for the nine months ended September 30, 2018 and 2017,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90"/>
              </w:rPr>
              <w:t>Amount of Loss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0"/>
              </w:rPr>
              <w:t>Amount of Loss</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89"/>
              </w:rPr>
              <w:t>Reclassified from</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88"/>
              </w:rPr>
              <w:t>Recognized in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93"/>
              </w:rPr>
              <w:t>Accumulated 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w w:val="90"/>
              </w:rPr>
              <w:t>Other Comprehensive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Comprehensive Loss into</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3"/>
              </w:rPr>
              <w:t>Amount of Gain</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Location of Loss</w:t>
            </w:r>
          </w:p>
        </w:tc>
        <w:tc>
          <w:tcPr>
            <w:tcW w:w="70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Income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Recognized into Income</w:t>
            </w: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vMerge w:val="restart"/>
          </w:tcPr>
          <w:p>
            <w:pPr>
              <w:jc w:val="center"/>
              <w:ind w:right="119"/>
              <w:spacing w:after="0"/>
              <w:rPr>
                <w:sz w:val="20"/>
                <w:szCs w:val="20"/>
                <w:color w:val="auto"/>
              </w:rPr>
            </w:pPr>
            <w:r>
              <w:rPr>
                <w:rFonts w:ascii="Arial" w:cs="Arial" w:eastAsia="Arial" w:hAnsi="Arial"/>
                <w:sz w:val="16"/>
                <w:szCs w:val="16"/>
                <w:b w:val="1"/>
                <w:bCs w:val="1"/>
                <w:color w:val="auto"/>
                <w:w w:val="92"/>
              </w:rPr>
              <w:t>(Effective Portion)</w:t>
            </w: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780" w:type="dxa"/>
            <w:vAlign w:val="bottom"/>
            <w:gridSpan w:val="4"/>
            <w:vMerge w:val="restart"/>
          </w:tcPr>
          <w:p>
            <w:pPr>
              <w:jc w:val="center"/>
              <w:ind w:left="299"/>
              <w:spacing w:after="0"/>
              <w:rPr>
                <w:sz w:val="20"/>
                <w:szCs w:val="20"/>
                <w:color w:val="auto"/>
              </w:rPr>
            </w:pPr>
            <w:r>
              <w:rPr>
                <w:rFonts w:ascii="Arial" w:cs="Arial" w:eastAsia="Arial" w:hAnsi="Arial"/>
                <w:sz w:val="16"/>
                <w:szCs w:val="16"/>
                <w:b w:val="1"/>
                <w:bCs w:val="1"/>
                <w:color w:val="auto"/>
                <w:w w:val="92"/>
              </w:rPr>
              <w:t>(Effective Portion)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vMerge w:val="restart"/>
          </w:tcPr>
          <w:p>
            <w:pPr>
              <w:jc w:val="center"/>
              <w:ind w:left="239"/>
              <w:spacing w:after="0"/>
              <w:rPr>
                <w:sz w:val="20"/>
                <w:szCs w:val="20"/>
                <w:color w:val="auto"/>
              </w:rPr>
            </w:pPr>
            <w:r>
              <w:rPr>
                <w:rFonts w:ascii="Arial" w:cs="Arial" w:eastAsia="Arial" w:hAnsi="Arial"/>
                <w:sz w:val="16"/>
                <w:szCs w:val="16"/>
                <w:b w:val="1"/>
                <w:bCs w:val="1"/>
                <w:color w:val="auto"/>
                <w:w w:val="93"/>
              </w:rPr>
              <w:t>(Ineffective Portion)</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Reclassified from</w:t>
            </w:r>
          </w:p>
        </w:tc>
        <w:tc>
          <w:tcPr>
            <w:tcW w:w="178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w:t>
            </w:r>
          </w:p>
        </w:tc>
        <w:tc>
          <w:tcPr>
            <w:tcW w:w="18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2"/>
              </w:rPr>
              <w:t>Nine Months Ended September</w:t>
            </w:r>
          </w:p>
        </w:tc>
        <w:tc>
          <w:tcPr>
            <w:tcW w:w="12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780" w:type="dxa"/>
            <w:vAlign w:val="bottom"/>
            <w:gridSpan w:val="4"/>
            <w:vMerge w:val="restart"/>
          </w:tcPr>
          <w:p>
            <w:pPr>
              <w:jc w:val="center"/>
              <w:ind w:left="319"/>
              <w:spacing w:after="0"/>
              <w:rPr>
                <w:sz w:val="20"/>
                <w:szCs w:val="20"/>
                <w:color w:val="auto"/>
              </w:rPr>
            </w:pPr>
            <w:r>
              <w:rPr>
                <w:rFonts w:ascii="Arial" w:cs="Arial" w:eastAsia="Arial" w:hAnsi="Arial"/>
                <w:sz w:val="16"/>
                <w:szCs w:val="16"/>
                <w:b w:val="1"/>
                <w:bCs w:val="1"/>
                <w:color w:val="auto"/>
                <w:w w:val="92"/>
              </w:rPr>
              <w:t>Nine Months Ended</w:t>
            </w:r>
          </w:p>
        </w:tc>
        <w:tc>
          <w:tcPr>
            <w:tcW w:w="3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40" w:type="dxa"/>
            <w:vAlign w:val="bottom"/>
            <w:gridSpan w:val="4"/>
            <w:vMerge w:val="restart"/>
          </w:tcPr>
          <w:p>
            <w:pPr>
              <w:jc w:val="center"/>
              <w:ind w:left="259"/>
              <w:spacing w:after="0"/>
              <w:rPr>
                <w:sz w:val="20"/>
                <w:szCs w:val="20"/>
                <w:color w:val="auto"/>
              </w:rPr>
            </w:pPr>
            <w:r>
              <w:rPr>
                <w:rFonts w:ascii="Arial" w:cs="Arial" w:eastAsia="Arial" w:hAnsi="Arial"/>
                <w:sz w:val="16"/>
                <w:szCs w:val="16"/>
                <w:b w:val="1"/>
                <w:bCs w:val="1"/>
                <w:color w:val="auto"/>
                <w:w w:val="92"/>
              </w:rPr>
              <w:t>Nine Months Ended</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17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Recognized in</w:t>
            </w:r>
          </w:p>
        </w:tc>
        <w:tc>
          <w:tcPr>
            <w:tcW w:w="184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30,</w:t>
            </w: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780" w:type="dxa"/>
            <w:vAlign w:val="bottom"/>
            <w:gridSpan w:val="4"/>
            <w:vMerge w:val="restart"/>
          </w:tcPr>
          <w:p>
            <w:pPr>
              <w:jc w:val="center"/>
              <w:ind w:left="299"/>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40" w:type="dxa"/>
            <w:vAlign w:val="bottom"/>
            <w:gridSpan w:val="4"/>
            <w:vMerge w:val="restart"/>
          </w:tcPr>
          <w:p>
            <w:pPr>
              <w:jc w:val="center"/>
              <w:ind w:left="259"/>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78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89"/>
              </w:rPr>
              <w:t>Income on</w:t>
            </w:r>
          </w:p>
        </w:tc>
        <w:tc>
          <w:tcPr>
            <w:tcW w:w="18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Derivative</w:t>
            </w:r>
          </w:p>
        </w:tc>
        <w:tc>
          <w:tcPr>
            <w:tcW w:w="240" w:type="dxa"/>
            <w:vAlign w:val="bottom"/>
          </w:tcPr>
          <w:p>
            <w:pPr>
              <w:spacing w:after="0"/>
              <w:rPr>
                <w:sz w:val="20"/>
                <w:szCs w:val="20"/>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Loss into Income</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4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Derivative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269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600" w:firstLine="8"/>
        <w:spacing w:after="0" w:line="400" w:lineRule="auto"/>
        <w:tabs>
          <w:tab w:leader="none" w:pos="27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nine months ended September 30, 2018, Ticonderoga Insurance Company, or Ticonderoga, a Vermont licensed captive insurance company and an affiliate of SL Green, became a member of the Federal Home Loan Bank of New York, or FHLBNY. As a member, Ticonderoga may borrow funds from the FHLBNY in the form of secured advances. As of September 30, 2018, certain debt and preferred equity investments of the Company were pledged as collateral to secure advances under the FHLBNY facility. If Ticonderoga or SL Green are unable to repay the advances upon the termination of Ticonderoga's membership, the maximum potential amount of future payments the Company could be required to make under the secured advances is $13.0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Ground Leases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schedule of future minimum lease payments under non-cancellable operating leases with initial terms in excess of one year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Non-cancellable</w:t>
            </w:r>
          </w:p>
        </w:tc>
      </w:tr>
      <w:tr>
        <w:trPr>
          <w:trHeight w:val="210"/>
        </w:trPr>
        <w:tc>
          <w:tcPr>
            <w:tcW w:w="9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2018</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4,934</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19,736</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19,886</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17,730</w:t>
            </w:r>
          </w:p>
        </w:tc>
      </w:tr>
      <w:tr>
        <w:trPr>
          <w:trHeight w:val="237"/>
        </w:trPr>
        <w:tc>
          <w:tcPr>
            <w:tcW w:w="9380" w:type="dxa"/>
            <w:vAlign w:val="bottom"/>
          </w:tcPr>
          <w:p>
            <w:pPr>
              <w:ind w:left="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15,424</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237,011</w:t>
            </w:r>
          </w:p>
        </w:tc>
      </w:tr>
      <w:tr>
        <w:trPr>
          <w:trHeight w:val="244"/>
        </w:trPr>
        <w:tc>
          <w:tcPr>
            <w:tcW w:w="938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334,457</w:t>
            </w:r>
          </w:p>
        </w:tc>
      </w:tr>
      <w:tr>
        <w:trPr>
          <w:trHeight w:val="20"/>
        </w:trPr>
        <w:tc>
          <w:tcPr>
            <w:tcW w:w="9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 to income from continuing operations.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primary sources of revenue are generated from tenant rents and escalations and reimbursement revenue. Real estate property operating expenses consist primarily of security, maintenance, utility costs, insurance, real estate taxes and ground rent expense (at certain applicable properties). See Note 5, "Debt and Preferred Equity Investments," for additional details on our debt and preferred equity investments.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consolidated results of operations for the three and nine months ended September 30, 2018 and 2017, and selected asset information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 regarding our operating segments are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Debt and Preferred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Real Estate</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Equity</w:t>
            </w:r>
          </w:p>
        </w:tc>
        <w:tc>
          <w:tcPr>
            <w:tcW w:w="260" w:type="dxa"/>
            <w:vAlign w:val="bottom"/>
          </w:tcPr>
          <w:p>
            <w:pPr>
              <w:spacing w:after="0"/>
              <w:rPr>
                <w:sz w:val="17"/>
                <w:szCs w:val="17"/>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Segment</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Segment</w:t>
            </w:r>
          </w:p>
        </w:tc>
        <w:tc>
          <w:tcPr>
            <w:tcW w:w="26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Company</w:t>
            </w:r>
          </w:p>
        </w:tc>
      </w:tr>
      <w:tr>
        <w:trPr>
          <w:trHeight w:val="33"/>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198,587</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September 30,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193,962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47,946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241,908</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Nine months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September 30,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472,777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143,087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615,864</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726,075</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Three months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September 30,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39,354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34,154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73,508</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64,710</w:t>
            </w: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Nine months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272,934</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September 30,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7,342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131,507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138,849</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5,204,346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7,304,548</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6,182,431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2,359,077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8,541,508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Interest costs for the debt and preferred equity segment includes actual costs incurred for investments collateralizing the MRAs. Interest is imputed on the remaining investments using our corporate borrowing cost. We also allocate loan loss reserves, net of recoveries, and transaction related costs to the debt and preferred equity segment. We do not allocate marketing, general and administrative expenses to the debt and preferred equity segment since the use of personnel and resources is dependent on transaction volume between the two segments and varies period over period. In addition, we base performance on the individual segments excluding marketing, general and administrative expenses. All other expenses, except interest, relate entirely to the real estate assets. For the three and nine months ended September 30, 2018 marketing, general and administrative expenses totaled $0.1 million and $0.4 million, respectively. For the three and nine months ended September 30, 2017 marketing, general and administrative expenses totaled $0.1 million and $0.3 million, respectively.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25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SL Green Realty Corp., or SL Green, is the general partner of the Operating Partnership. Unless the context requires otherwise, all references to "we," "our," "us" and the "Company" means ROP and all entities owned or controlled by ROP.</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46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00" w:type="dxa"/>
            <w:vAlign w:val="bottom"/>
          </w:tcPr>
          <w:p>
            <w:pPr>
              <w:spacing w:after="0"/>
              <w:rPr>
                <w:sz w:val="17"/>
                <w:szCs w:val="17"/>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Occupancy</w:t>
            </w:r>
            <w:r>
              <w:rPr>
                <w:rFonts w:ascii="Arial" w:cs="Arial" w:eastAsia="Arial" w:hAnsi="Arial"/>
                <w:sz w:val="21"/>
                <w:szCs w:val="21"/>
                <w:b w:val="1"/>
                <w:bCs w:val="1"/>
                <w:color w:val="auto"/>
                <w:w w:val="91"/>
                <w:vertAlign w:val="superscript"/>
              </w:rPr>
              <w:t>(1)</w:t>
            </w:r>
            <w:r>
              <w:rPr>
                <w:rFonts w:ascii="Arial" w:cs="Arial" w:eastAsia="Arial" w:hAnsi="Arial"/>
                <w:sz w:val="16"/>
                <w:szCs w:val="16"/>
                <w:b w:val="1"/>
                <w:bCs w:val="1"/>
                <w:color w:val="auto"/>
                <w:w w:val="91"/>
              </w:rPr>
              <w:t xml:space="preserve"> (unaudited)</w:t>
            </w: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880" w:type="dxa"/>
            <w:vAlign w:val="bottom"/>
            <w:gridSpan w:val="2"/>
          </w:tcPr>
          <w:p>
            <w:pPr>
              <w:ind w:left="16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Office</w:t>
            </w:r>
            <w:r>
              <w:rPr>
                <w:rFonts w:ascii="Arial" w:cs="Arial" w:eastAsia="Arial" w:hAnsi="Arial"/>
                <w:sz w:val="21"/>
                <w:szCs w:val="21"/>
                <w:color w:val="auto"/>
                <w:w w:val="86"/>
                <w:vertAlign w:val="superscript"/>
              </w:rPr>
              <w:t>(2)(3)</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8,303,245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93.6%</w:t>
            </w:r>
          </w:p>
        </w:tc>
      </w:tr>
      <w:tr>
        <w:trPr>
          <w:trHeight w:val="270"/>
        </w:trPr>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(4)(5)</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364,816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37"/>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Development/Redevelopment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160,000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8,828,061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7"/>
        </w:trPr>
        <w:tc>
          <w:tcPr>
            <w:tcW w:w="2880" w:type="dxa"/>
            <w:vAlign w:val="bottom"/>
            <w:gridSpan w:val="2"/>
          </w:tcPr>
          <w:p>
            <w:pPr>
              <w:ind w:left="160"/>
              <w:spacing w:after="0"/>
              <w:rPr>
                <w:sz w:val="20"/>
                <w:szCs w:val="20"/>
                <w:color w:val="auto"/>
              </w:rPr>
            </w:pPr>
            <w:r>
              <w:rPr>
                <w:rFonts w:ascii="Arial" w:cs="Arial" w:eastAsia="Arial" w:hAnsi="Arial"/>
                <w:sz w:val="16"/>
                <w:szCs w:val="16"/>
                <w:color w:val="auto"/>
              </w:rPr>
              <w:t>Suburban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rPr>
              <w:t>Office</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1,432,400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93.8%</w:t>
            </w: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Retail</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1,484,400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94.0%</w:t>
            </w: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30"/>
        </w:trPr>
        <w:tc>
          <w:tcPr>
            <w:tcW w:w="2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commercial properties</w:t>
            </w:r>
          </w:p>
        </w:tc>
        <w:tc>
          <w:tcPr>
            <w:tcW w:w="2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10,312,461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37"/>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Manhattan</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(4)</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222,855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44"/>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Total portfolio</w:t>
            </w: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10,535,316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92.5%</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right="20" w:hanging="412"/>
        <w:spacing w:after="0" w:line="250"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1 unconsolidated tenancy-in-common (or "TIC") interest at 2 Herald Square, which is under contract for sale as of September 30, 2018.</w:t>
      </w:r>
    </w:p>
    <w:p>
      <w:pPr>
        <w:spacing w:after="0" w:line="1" w:lineRule="exact"/>
        <w:rPr>
          <w:rFonts w:ascii="Arial" w:cs="Arial" w:eastAsia="Arial" w:hAnsi="Arial"/>
          <w:sz w:val="14"/>
          <w:szCs w:val="14"/>
          <w:color w:val="auto"/>
        </w:rPr>
      </w:pPr>
    </w:p>
    <w:p>
      <w:pPr>
        <w:jc w:val="both"/>
        <w:ind w:left="420" w:hanging="412"/>
        <w:spacing w:after="0" w:line="260" w:lineRule="auto"/>
        <w:tabs>
          <w:tab w:leader="none" w:pos="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of September 30, 2018, we owned a building at 315 West 33rd Street, also known as The Olivia, that was comprised of approximately 270,132 square feet (unaudited) of retail space and approximately 222,855 square feet (unaudited) of residential space. For the purpose of this report, we have included this building in the number of retail properties we own. However, we have included only the retail square footage in the retail approximate square footage, and have listed the balance of the square footage as residential square footage.</w:t>
      </w: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we held debt and preferred equity investments with a book value of $2.0 billion.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Refer to the 2017 Annual Report on Form 10-K of the Company and the Operating Partnership for a discussion of our critical accounting policies, which include investment in commercial real estate properties, investment in unconsolidated joint ventures, revenue recognition, allowance for doubtful accounts, reserve for possible credit losses and derivative instruments. There have been no changes to these accounting policies during the three and nine months ended September 30, 2018.</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to the three months ended September 30, 2017</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comparison for the three months ended September 30, 2018, or 2018, to the three months ended September 30, 2017, or 2017, makes reference to the effect of the following:</w:t>
      </w:r>
    </w:p>
    <w:p>
      <w:pPr>
        <w:spacing w:after="0" w:line="62" w:lineRule="exact"/>
        <w:rPr>
          <w:sz w:val="20"/>
          <w:szCs w:val="20"/>
          <w:color w:val="auto"/>
        </w:rPr>
      </w:pPr>
    </w:p>
    <w:p>
      <w:pPr>
        <w:ind w:left="660" w:hanging="247"/>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2017 and still owned by us in the same manner at September 30, 2018 (Same-Store Properties totaled 24 of our 25 consolidated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2018 and 2017 and properties that are under development, redevelopment,</w:t>
      </w: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sold as well as interests in properties sold or partially sold in 2018 and 2017, and</w:t>
      </w:r>
    </w:p>
    <w:p>
      <w:pPr>
        <w:spacing w:after="0" w:line="9"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which represents properties that were partially sold resulting in deconsolidation and corporate level items not allocable to specific properties,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25,721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(72.7)%</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(43,321)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42.4 %</w:t>
            </w:r>
          </w:p>
        </w:tc>
      </w:tr>
      <w:tr>
        <w:trPr>
          <w:trHeight w:val="217"/>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70,441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89,386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(18,945)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(21.2)%</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0"/>
        </w:trPr>
        <w:tc>
          <w:tcPr>
            <w:tcW w:w="5140" w:type="dxa"/>
            <w:vAlign w:val="bottom"/>
            <w:gridSpan w:val="2"/>
          </w:tcPr>
          <w:p>
            <w:pPr>
              <w:ind w:left="40"/>
              <w:spacing w:after="0"/>
              <w:rPr>
                <w:sz w:val="20"/>
                <w:szCs w:val="20"/>
                <w:color w:val="auto"/>
              </w:rPr>
            </w:pPr>
            <w:r>
              <w:rPr>
                <w:rFonts w:ascii="Arial" w:cs="Arial" w:eastAsia="Arial" w:hAnsi="Arial"/>
                <w:sz w:val="16"/>
                <w:szCs w:val="16"/>
                <w:color w:val="auto"/>
                <w:w w:val="94"/>
              </w:rPr>
              <w:t>Interest expense and amortization of deferred financing costs, net of interest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21,028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(56.5)%</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11,682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(loss) income from unconsolidated joint ventures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(3,091)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(105.6)%</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(2,532.5)%</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Depreciable real estate reserves</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estate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2,150.0 %</w:t>
            </w:r>
          </w:p>
        </w:tc>
      </w:tr>
      <w:tr>
        <w:trPr>
          <w:trHeight w:val="21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73,508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64,710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13.6 %</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Rental revenue decreased primarily as a result of the effect of the deconsolidation of 919 Third Avenue ($23.9 million) and Disposed Properties ($8.8 million).</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Escalation and reimbursement revenue decreased primarily as a result of the effect of the deconsolidation of 919 Third Avenue ($5.4 million), partially offset by increased recoveries at our Same-Store properties ($1.4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September 30, 2018, investment income increased primarily as a result of an increase in the weighted book balance. For the three months ended September 30, 2018, the weighted average debt and preferred equity investment balance outstanding and weighted average yield were $2.1 billion and 8.7%, respectively, compared to $2.0 billion and 9.4%, excluding our investment in Two Herald Square which was put on non-accrual in August 2017, respectively, for the same period in 2017. As of September 30, 2018, the debt and preferred equity investments had a weighted average term to maturity of 1.8 years excluding extension options.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decreased primarily due to the deconsolidation of 919 Third Avenue and the Disposed Properties ($0.7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operating expenses decreased primarily due to the deconsolidation of 919 Third Avenue and the Disposed Properties ($17.1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and amortization of deferred financing costs, net of interest income, decreased primarily as a result of the deconsolidation of 919 Third Avenue ($6.6 million) in the first quarter of 2018, and the amendment of the 2012 credit facility ($11.5 million). The weighted average consolidated debt balance outstanding was $1.4 billion for the three months ended September 30, 2018 compared to $3.4 billion for the three months ended September 30, 2017. The consolidated weighted average interest rate was 5.14% for three months ended September 30, 2018 as compared to 3.82% for the three months ended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Depreciation and amortization decreased primarily as a result of the deconsolidation of deconsolidation of 919 Third Avenue and the Disposed Properties ($12.1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net income from unconsolidated joint ventures decreased primarily as a result of the repayment and redemption of certain debt and preferred equity positions accounted for under the equity method ($2.9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September 30, 2018 we recognized a loss on sale related to our interest in Reckson Executive Park ($2.6 million).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to the nine months ended September 30, 2017</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comparison for the nine months ended September 30, 2018, or 2018, to the nine months ended September 30, 2017, or 2017, makes reference to the effect of the following:</w:t>
      </w:r>
    </w:p>
    <w:p>
      <w:pPr>
        <w:spacing w:after="0" w:line="62" w:lineRule="exact"/>
        <w:rPr>
          <w:sz w:val="20"/>
          <w:szCs w:val="20"/>
          <w:color w:val="auto"/>
        </w:rPr>
      </w:pPr>
    </w:p>
    <w:p>
      <w:pPr>
        <w:ind w:left="660" w:hanging="247"/>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2017 and still owned by us in the same manner at September 30, 2018 (Same-Store Properties totaled 24 of our 25 consolidated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2018 and 2017 and properties that are under development or redevelopment,</w:t>
      </w: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or partially sold in 2018 and 2017, and</w:t>
      </w:r>
    </w:p>
    <w:p>
      <w:pPr>
        <w:spacing w:after="0" w:line="9"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which represents properties that were partially sold resulting in deconsolidation and corporate level items not allocable to specific properties,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401,846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(12,763)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8,919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553.3 %</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(110,211)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26.2 %</w:t>
            </w:r>
          </w:p>
        </w:tc>
      </w:tr>
      <w:tr>
        <w:trPr>
          <w:trHeight w:val="217"/>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213,213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258,199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(44,986)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20"/>
        </w:trPr>
        <w:tc>
          <w:tcPr>
            <w:tcW w:w="5140" w:type="dxa"/>
            <w:vAlign w:val="bottom"/>
            <w:gridSpan w:val="2"/>
          </w:tcPr>
          <w:p>
            <w:pPr>
              <w:ind w:left="40"/>
              <w:spacing w:after="0"/>
              <w:rPr>
                <w:sz w:val="20"/>
                <w:szCs w:val="20"/>
                <w:color w:val="auto"/>
              </w:rPr>
            </w:pPr>
            <w:r>
              <w:rPr>
                <w:rFonts w:ascii="Arial" w:cs="Arial" w:eastAsia="Arial" w:hAnsi="Arial"/>
                <w:sz w:val="16"/>
                <w:szCs w:val="16"/>
                <w:color w:val="auto"/>
                <w:w w:val="94"/>
              </w:rPr>
              <w:t>Interest expense and amortization of deferred financing costs, net of interest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51,313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30,943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(loss) income from unconsolidated joint ventures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(6,527)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(63.0)%</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(449.4)%</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Depreciable real estate reserves</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(85,707)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85,707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54,860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2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estate</w:t>
            </w: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5,697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1,998.9 %</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1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138,849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134,085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96.6 %</w:t>
            </w:r>
          </w:p>
        </w:tc>
      </w:tr>
      <w:tr>
        <w:trPr>
          <w:trHeight w:val="33"/>
        </w:trPr>
        <w:tc>
          <w:tcPr>
            <w:tcW w:w="5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Rental revenue decreased primarily as a result of the deconsolidation of 919 Third Avenue ($71.5 million) and the Disposed Properties ($24.7 million).</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Escalation and reimbursement revenue decreased primarily as a result of the deconsolidation of 919 Third Avenue ($15.5 million), partially offset by higher recoveries at our Same-Store Properties ($5.3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nine months ended September 30, 2018, investment income decreased primarily as a result of previously unrecognized income in the second quarter of 2017 net with 2018 income related to our preferred equity investment in 885 Third Avenue ($7.2 million), partially offset by a larger weighted average book balance and an increase in the LIBOR benchmark rate. For the nine months ended September 30, 2018, the weighted average debt and preferred equity investment balance outstanding and weighted average yield were $2.1 billion and 9.0%, respectively, compared to $1.9 billion and 9.3%, excluding our investment in Two Herald Square which was put on non-accrual in August 2017, respectively, for the same period in 2017. As of September 30, 2018, the debt and preferred equity investments had a weighted average term to maturity of 1.8 years excluding extension options.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increased primarily as a result of real estate tax refunds at our Same-Store Properties ($4.1 million) and lease termination income earned at 1185 Avenue of the Americas ($2.9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operating expenses decreased primarily due to the deconsolidation of 919 Third Avenue and the Disposed Properties ($48.8 million), which was partially offset by increased real estate taxes at our Same-Store Properties ($5.2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Interest expense and amortization of financing costs, net of interest income, decreased primarily as a result of the deconsolidation of 919 Third Avenue ($19.9 million) in the first quarter of 2018 and the amendment of the 2012 credit facility ($29.6 million). The weighted average consolidated debt balance outstanding was $1.4 billion for the nine months ended September 30, 2018 compared to $3.1 billion for the nine months ended September 30, 2017. The weighted average consolidated interest rate was 5.11% for the nine months ended September 30, 2018, as compared to 3.86% for the nine months ended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Depreciation and amortization decreased primarily as a result of the deconsolidation of 919 Third Avenue ($25.0 million) and Disposed Properties ($10.4 million), which included the sale of 16 Court Street ($2.8 million) in the fourth quarter of 2017, and the sale of 680/750 Washington Boulevard ($1.6 million) in the third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net income from unconsolidated joint ventures decreased primarily as a result of the repayment and/or redemption of certain debt and preferred equity positions accounted for under the equity method ($6.7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2018, the partnership agreement for our investment in 919 Third Avenue was modified resulting in our partner now having substantive participating rights in the venture and the Company no longer having a controlling interest in the investment. As a result the investment in this property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nine months ended September 30, 2018, we recognized a loss on the sale of 635 Madison Avenue ($14.1 million), a loss on the sale of Reckson Execute Park ($2.6 million), and a loss on the sale of 115-117 Stevens Avenue ($0.7 million). During the nine months ended September 30, 2017, we recognized a gain on the sale associated with the partial sale of the property at 102 Greene Street ($4.9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2017, we recorded an $85.7 million charge in connection with 520 White Plains Road in Tarrytown, NY, 125 Chubb Way in Lyndhurst, NJ and 680/750 Washington Boulevard in Stamford, Connecticut.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25, 2007, we were acquired by SL Green. See Item 7 "Management's Discussion and Analysis of Financial Condition and Results of Operations—Liquidity and Capital Resources" in SL Green and the Operating Partnership's Annual Report on Form 10-K for the year ended December 31, 2017 for a complete discussion of additional sources of liquidity available to us due to our indirect ownership by SL Green.</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currently expect that our principal sources of funds to meet our short-term and long-term liquidity requirements for working capital, acquisitions, development or redevelopment of properties, tenant improvements, leasing costs, repurchases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repayments of outstanding indebtedness (which may include exchangeable debt) and for debt and preferred equity investments may include:</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participations and dispositions of debt and preferred equity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from debt offerings by us.</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flow from operations is primarily dependent upon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our sources of working capital, specifically our cash flow from operations and SL Green's liquidity are adequate for us to meet our short-term and long-term liquidity requirements for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cash equivalents, and restricted cash were $75.2 million and $115.8 million at September 30, 2018 and 2017, respectively, representing a decrease of $40.6 million. The decrease was due to the following changes in cash flows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9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292,572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285,616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128,468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(92,518)</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220,986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(422,992)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(242,240)</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source of operating cash flow is related to the leasing and operating of the properties in our portfolio. Our properties provide a relatively consistent stream of cash flow that provides us with resources to pay operating expenses, debt service and make distributions to SL Green. At September 30, 2018, our operating portfolio was 92.5% occupied. Our debt and preferred equity investments also provide a steady stream of operating cash flow to us.</w:t>
      </w:r>
    </w:p>
    <w:p>
      <w:pPr>
        <w:spacing w:after="0" w:line="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nine months ended September 30, 2018, when compared to the nine months ended September 30, 2017, the change in investing cash flows was due to the following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 properties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15,501</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improvements/acquisition deposits/deferred purchase price</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(20,365)</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65,140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86,237</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283,415</w:t>
            </w:r>
          </w:p>
        </w:tc>
      </w:tr>
      <w:tr>
        <w:trPr>
          <w:trHeight w:val="33"/>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(135,053)</w:t>
            </w:r>
          </w:p>
        </w:tc>
      </w:tr>
      <w:tr>
        <w:trPr>
          <w:trHeight w:val="244"/>
        </w:trPr>
        <w:tc>
          <w:tcPr>
            <w:tcW w:w="9940" w:type="dxa"/>
            <w:vAlign w:val="bottom"/>
          </w:tcPr>
          <w:p>
            <w:pPr>
              <w:ind w:left="40"/>
              <w:spacing w:after="0"/>
              <w:rPr>
                <w:sz w:val="20"/>
                <w:szCs w:val="20"/>
                <w:color w:val="auto"/>
              </w:rPr>
            </w:pPr>
            <w:r>
              <w:rPr>
                <w:rFonts w:ascii="Arial" w:cs="Arial" w:eastAsia="Arial" w:hAnsi="Arial"/>
                <w:sz w:val="16"/>
                <w:szCs w:val="16"/>
                <w:color w:val="auto"/>
              </w:rPr>
              <w:t>Decrease in net cash provided by investing activities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220,986</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Funds spent on capital expenditures, which comprise building and tenant improvements, decreased from $98.5 million for the nine months ended September 30, 2017 to $83.0 million for the nine months ended September 30, 2018, relating primarily to increased costs incurred in connection with the redevelopment of properties.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generally fund our investment activity through the sale of real estate, property-level financing, our 2012 credit facility, our MRA facilities, and senior unsecured notes. During the nine months ended September 30, 2018, when compared to the nine months ended September 30, 2017, we used cash for the following financing activities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(1,447,800)</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917,800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43,116</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common unitholder</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(860,616)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Distributions to common and preferred unitholders</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1,096,602</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obligations related to loan participations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Deferred loan costs and capitalized lease obligation</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9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net cash used in financing activities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(242,240)</w:t>
            </w:r>
          </w:p>
        </w:tc>
      </w:tr>
      <w:tr>
        <w:trPr>
          <w:trHeight w:val="20"/>
        </w:trPr>
        <w:tc>
          <w:tcPr>
            <w:tcW w:w="9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our issued and outstanding Class A common units are owned by Wyoming Acquisition GP LLC or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November 2017, the Company, SL Green and the Operating Partnership entered into an amendment to the credit facility, referred to as the 2017 credit facility, that was originally entered into in November 2012. The amendment resulted in the Company no longer being a borrower, and instead is providing a guarantee of the facility. The 2012 credit facility had a carrying value of $1.2 billion, net of deferred financing costs, as of the amendment date and was removed from our consolidated balance sheet and shown as a non-cash capital contribution. SL Green and the Operating Partnership remain borrowers jointly and severally obligated under the 2017 credit facility. As of September 30, 2018,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SL Green and the Operating Partnership also have an option, subject to customary conditions, to increase the borrowing capacity of the credit facility to $4.5 billion at any time prior to the maturity dates for the revolving credit facility and term loans without the consent of existing lenders, by obtaining additional commitments from the existing lenders and other financial institutions.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September 30, 2018, SL Green and the Operating Partnership had $11.8 million of outstanding letters of credit, $145.0 million drawn under the revolving credit facility and $1.5 billion outstanding under the term loan facilities, with total undrawn capacity of $1.3 billion under the 2017 credit facility. At September 30, 2018 and December 31, 2017, the revolving credit facility had a carrying value of $136.7 million and $30.3 million, respectively, net of deferred financing costs. At September 30, 2018 and December 31, 2017, the term loan facilities had a carrying value of $1.5 billion and $1.5 billion, respectively, net of deferred financing costs.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SL Green's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SL Green will not during any time when a default is continuing, make distributions with respect to SL Green's common stock or other equity interests, except to enable SL Green to continue to qualify as a REIT for Federal income tax purposes. As of September 30, 2018 and December 31, 2017, we were in compliance with all such covenants.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A hypothetical 100 basis point increase in interest rates along the entire interest rate curve for 2018 would decrease our annual interest cost, net of interest income from variable rate debt and preferred equity investments, by approximately $10.7 million. At September 30, 2018, 72.4% of our $2.0 billion debt and preferred equity portfolio is indexed to LIBOR.</w:t>
      </w:r>
    </w:p>
    <w:p>
      <w:pPr>
        <w:spacing w:after="0" w:line="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is immediately recognized in earnings.</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long-term debt of $0.9 billion bears interest at fixed rates, and therefore the fair value of these instruments is affected by changes in the market interest rates. Our variable rate debt as of September 30, 2018 bore interest based on a spread of LIBOR plus 234 basis points to LIBOR plus 340 basis points.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Refer to our 2017 Annual Report on Form 10-K for a discussion of our contractual obligations. There have been no material changes, outside the ordinary course of business, to these contractual obligations during the three and nine months ended September 30,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have off-balance sheet investments, including debt and preferred equity investments. These investments all have varying ownership structures. Our off-balance sheet arrangements are discussed in Note 5, "Debt and Preferred Equity Investments," in the accompanying consolidated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estimate that for the remainder of the year ending December 31, 2018, we expect to incur $38.1 million of recurring capital expenditures and $18.7 million of development or redevelopment expenditures, net of loan reserves, (including tenant improvements and leasing commissions) on existing consolidated properties. Future property acquisitions may require substantial capital investments for refurbishment and leasing costs. We expect to fund these capital expenditures with operating cash flow, existing liquidity, or incremental borrowings. We expect our capital needs over the next twelve months and thereafter will be met through a combination of cash on hand, net cash provided by operations, potential asset sales, borrowings, or additional debt issuances.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insured through a program administered by SL Green. SL Green maintains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Additionally, SL Green's captive insurance company, Belmont Insurance Company, or Belmont, provides coverage for certain policies including NBCR terrorist acts above a deductible. Since March 31, 2018, SL Green's second captive insurance company, Ticonderoga Insurance Company, or Ticonderoga, reinsures the NBCR risk that was retained by Belmont. If Ticonderoga is required to pay a claim under SL Green's insurance policies, SL Green would ultimately record the loss to the extent of Ticonderoga's payment.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debt our instruments if the cost and/or availability of certain types of insurance make it impractical or impossible to comply with such covenants relating to insurance. Belmont provides coverage solely on properties owned by SL Green or its affiliates.</w:t>
      </w:r>
    </w:p>
    <w:p>
      <w:pPr>
        <w:spacing w:after="0" w:line="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SL Green's program, we incurred insurance expense of approximately $1.0 million and $3.2 million for the three and nine months ended September 30, 2018, respectively. We incurred insurance expense of approximately $1.3 million and $4.1 million for the three and nine months ended September 30, 2017,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Consumer Price Index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Accounting Standards Updates are discussed in Note 2, "Significant Accounting Policies-Accounting Standards Updates" in the accompanying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3"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effect of general economic, business and financial conditions, and their effect on the New York City real estate market in particular;</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 and redevelopment, including the cost of construction delays and cost overruns;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 Green's ability to maintain its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We undertake no obligation to publicly update or revise any forward-looking statements, whether as a result of future events, new information or otherwise.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quantitative and qualitative disclosure about market risk, see Item 2, "Management's Discussion and Analysis of Financial Condition and Results of Operation-Interest Rate Risk" in this Quarterly Report on Form 10-Q for the three and nine months ended September 30, 2018 and Item 7A, “Quantitative and Qualitative Disclosures About Market Risk,” in our Annual Report on Form 10-K for the year ended December 31, 2017. Our exposures to market risk have not changed materially since December 31, 2017.</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the principal executive officer and principal financial officer of our general partner,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w:t>
      </w:r>
    </w:p>
    <w:p>
      <w:pPr>
        <w:spacing w:after="0" w:line="5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the President and Treasurer of our general partner, of the effectiveness of the design and operation of our disclosure controls and procedures. Based upon that evaluation as of the end of the period covered by this report, the President and Treasurer of our general partner concluded that our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the quarter ended September 30, 2018 that have materially affected, or are reasonably likely to materially affect, our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As of September 30, 2018 there have been no material changes to the risk factors disclosed in “Part I. Item 1A. Risk Factors” in our 2017 Annual Report on Form 10-K. We encourage you to read “Part I. Item 1A. Risk Factors” in the 2017 Annual Report on Form 10-K for SL Green Realty Corp., our indirect parent company.</w:t>
      </w:r>
    </w:p>
    <w:p>
      <w:pPr>
        <w:spacing w:after="0" w:line="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84" w:lineRule="exact"/>
        <w:rPr>
          <w:sz w:val="20"/>
          <w:szCs w:val="20"/>
          <w:color w:val="auto"/>
        </w:rPr>
      </w:pPr>
    </w:p>
    <w:p>
      <w:pPr>
        <w:jc w:val="both"/>
        <w:ind w:left="840" w:right="20" w:hanging="350"/>
        <w:spacing w:after="0" w:line="328" w:lineRule="auto"/>
        <w:tabs>
          <w:tab w:leader="none" w:pos="820" w:val="left"/>
        </w:tabs>
        <w:rPr>
          <w:rFonts w:ascii="Arial" w:cs="Arial" w:eastAsia="Arial" w:hAnsi="Arial"/>
          <w:sz w:val="16"/>
          <w:szCs w:val="16"/>
          <w:color w:val="0000FF"/>
        </w:rPr>
      </w:pPr>
      <w:hyperlink r:id="rId11">
        <w:r>
          <w:rPr>
            <w:rFonts w:ascii="Arial" w:cs="Arial" w:eastAsia="Arial" w:hAnsi="Arial"/>
            <w:sz w:val="16"/>
            <w:szCs w:val="16"/>
            <w:u w:val="single" w:color="auto"/>
            <w:color w:val="0000FF"/>
          </w:rPr>
          <w:t>4.1</w:t>
        </w:r>
      </w:hyperlink>
      <w:r>
        <w:rPr>
          <w:rFonts w:ascii="Arial" w:cs="Arial" w:eastAsia="Arial" w:hAnsi="Arial"/>
          <w:sz w:val="16"/>
          <w:szCs w:val="16"/>
          <w:color w:val="0000FF"/>
        </w:rPr>
        <w:tab/>
      </w:r>
      <w:r>
        <w:rPr>
          <w:rFonts w:ascii="Arial" w:cs="Arial" w:eastAsia="Arial" w:hAnsi="Arial"/>
          <w:sz w:val="14"/>
          <w:szCs w:val="14"/>
          <w:color w:val="0000FF"/>
        </w:rPr>
        <w:t>Second Supplemental Indenture, dated as of August 7, 2018, among SL Green Realty Corp., SL Green Operating Partnership, L.P. and Reckson Operating Partnership, L.P. and The Bank of New York Mellon, as Trustee, to the Indenture, dated as of October 5, 2017, between SL Green Operating Partnership, L.P. and The Bank of New York Mellon, as Trustee, incorporated by reference to the Company's Form 8-K, dated August 7, 2018, filed with the SEC on August 7, 2018.</w:t>
      </w:r>
    </w:p>
    <w:p>
      <w:pPr>
        <w:spacing w:after="0" w:line="2" w:lineRule="exact"/>
        <w:rPr>
          <w:sz w:val="20"/>
          <w:szCs w:val="20"/>
          <w:color w:val="auto"/>
        </w:rPr>
      </w:pPr>
    </w:p>
    <w:p>
      <w:pPr>
        <w:ind w:left="500"/>
        <w:spacing w:after="0"/>
        <w:tabs>
          <w:tab w:leader="none" w:pos="820" w:val="left"/>
        </w:tabs>
        <w:rPr>
          <w:rFonts w:ascii="Arial" w:cs="Arial" w:eastAsia="Arial" w:hAnsi="Arial"/>
          <w:sz w:val="16"/>
          <w:szCs w:val="16"/>
          <w:color w:val="0000FF"/>
        </w:rPr>
      </w:pPr>
      <w:hyperlink r:id="rId11">
        <w:r>
          <w:rPr>
            <w:rFonts w:ascii="Arial" w:cs="Arial" w:eastAsia="Arial" w:hAnsi="Arial"/>
            <w:sz w:val="16"/>
            <w:szCs w:val="16"/>
            <w:u w:val="single" w:color="auto"/>
            <w:color w:val="0000FF"/>
          </w:rPr>
          <w:t>4.2</w:t>
        </w:r>
      </w:hyperlink>
      <w:r>
        <w:rPr>
          <w:rFonts w:ascii="Arial" w:cs="Arial" w:eastAsia="Arial" w:hAnsi="Arial"/>
          <w:sz w:val="16"/>
          <w:szCs w:val="16"/>
          <w:color w:val="0000FF"/>
        </w:rPr>
        <w:tab/>
      </w:r>
      <w:r>
        <w:rPr>
          <w:rFonts w:ascii="Arial" w:cs="Arial" w:eastAsia="Arial" w:hAnsi="Arial"/>
          <w:sz w:val="14"/>
          <w:szCs w:val="14"/>
          <w:color w:val="0000FF"/>
        </w:rPr>
        <w:t>Form of Floating Rate Note (included in the Second Supplemental Indenture incorporated by reference as Exhibit 4.1 of this Form 10-Q).</w:t>
      </w:r>
    </w:p>
    <w:p>
      <w:pPr>
        <w:spacing w:after="0" w:line="73" w:lineRule="exact"/>
        <w:rPr>
          <w:sz w:val="20"/>
          <w:szCs w:val="20"/>
          <w:color w:val="auto"/>
        </w:rPr>
      </w:pPr>
    </w:p>
    <w:p>
      <w:pPr>
        <w:ind w:left="840" w:right="20" w:hanging="431"/>
        <w:spacing w:after="0" w:line="293" w:lineRule="auto"/>
        <w:tabs>
          <w:tab w:leader="none" w:pos="820" w:val="left"/>
        </w:tabs>
        <w:rPr>
          <w:rFonts w:ascii="Arial" w:cs="Arial" w:eastAsia="Arial" w:hAnsi="Arial"/>
          <w:sz w:val="16"/>
          <w:szCs w:val="16"/>
          <w:color w:val="0000FF"/>
        </w:rPr>
      </w:pPr>
      <w:hyperlink w:anchor="page43">
        <w:r>
          <w:rPr>
            <w:rFonts w:ascii="Arial" w:cs="Arial" w:eastAsia="Arial" w:hAnsi="Arial"/>
            <w:sz w:val="16"/>
            <w:szCs w:val="16"/>
            <w:u w:val="single" w:color="auto"/>
            <w:color w:val="0000FF"/>
          </w:rPr>
          <w:t>31.1</w:t>
        </w:r>
      </w:hyperlink>
      <w:r>
        <w:rPr>
          <w:rFonts w:ascii="Arial" w:cs="Arial" w:eastAsia="Arial" w:hAnsi="Arial"/>
          <w:sz w:val="16"/>
          <w:szCs w:val="16"/>
          <w:color w:val="0000FF"/>
        </w:rPr>
        <w:tab/>
        <w:t>Certification of Marc Holliday, President of Wyoming Acquisition GP LLC, the sole general partner of the Registrant, pursuant to Rule 13a-14(a) or Rule 15(d)-14(a), filed herewith.</w:t>
      </w:r>
    </w:p>
    <w:p>
      <w:pPr>
        <w:spacing w:after="0" w:line="10" w:lineRule="exact"/>
        <w:rPr>
          <w:sz w:val="20"/>
          <w:szCs w:val="20"/>
          <w:color w:val="auto"/>
        </w:rPr>
      </w:pPr>
    </w:p>
    <w:p>
      <w:pPr>
        <w:ind w:left="840" w:right="20" w:hanging="431"/>
        <w:spacing w:after="0" w:line="293" w:lineRule="auto"/>
        <w:tabs>
          <w:tab w:leader="none" w:pos="820" w:val="left"/>
        </w:tabs>
        <w:rPr>
          <w:rFonts w:ascii="Arial" w:cs="Arial" w:eastAsia="Arial" w:hAnsi="Arial"/>
          <w:sz w:val="16"/>
          <w:szCs w:val="16"/>
          <w:color w:val="0000FF"/>
        </w:rPr>
      </w:pPr>
      <w:hyperlink w:anchor="page44">
        <w:r>
          <w:rPr>
            <w:rFonts w:ascii="Arial" w:cs="Arial" w:eastAsia="Arial" w:hAnsi="Arial"/>
            <w:sz w:val="16"/>
            <w:szCs w:val="16"/>
            <w:u w:val="single" w:color="auto"/>
            <w:color w:val="0000FF"/>
          </w:rPr>
          <w:t>31.2</w:t>
        </w:r>
      </w:hyperlink>
      <w:r>
        <w:rPr>
          <w:rFonts w:ascii="Arial" w:cs="Arial" w:eastAsia="Arial" w:hAnsi="Arial"/>
          <w:sz w:val="16"/>
          <w:szCs w:val="16"/>
          <w:color w:val="0000FF"/>
        </w:rPr>
        <w:tab/>
        <w:t>Certification of Matthew J. DiLiberto, Treasurer of Wyoming Acquisition GP LLC, the sole general partner of the Registrant, pursuant to Rule 13a-14(a) or Rule 15(d)-14(a), filed herewith.</w:t>
      </w:r>
    </w:p>
    <w:p>
      <w:pPr>
        <w:spacing w:after="0" w:line="10" w:lineRule="exact"/>
        <w:rPr>
          <w:sz w:val="20"/>
          <w:szCs w:val="20"/>
          <w:color w:val="auto"/>
        </w:rPr>
      </w:pPr>
    </w:p>
    <w:p>
      <w:pPr>
        <w:ind w:left="840" w:hanging="431"/>
        <w:spacing w:after="0" w:line="293" w:lineRule="auto"/>
        <w:tabs>
          <w:tab w:leader="none" w:pos="820" w:val="left"/>
        </w:tabs>
        <w:rPr>
          <w:rFonts w:ascii="Arial" w:cs="Arial" w:eastAsia="Arial" w:hAnsi="Arial"/>
          <w:sz w:val="16"/>
          <w:szCs w:val="16"/>
          <w:color w:val="0000FF"/>
        </w:rPr>
      </w:pPr>
      <w:hyperlink w:anchor="page45">
        <w:r>
          <w:rPr>
            <w:rFonts w:ascii="Arial" w:cs="Arial" w:eastAsia="Arial" w:hAnsi="Arial"/>
            <w:sz w:val="16"/>
            <w:szCs w:val="16"/>
            <w:u w:val="single" w:color="auto"/>
            <w:color w:val="0000FF"/>
          </w:rPr>
          <w:t>32.1</w:t>
        </w:r>
      </w:hyperlink>
      <w:r>
        <w:rPr>
          <w:rFonts w:ascii="Arial" w:cs="Arial" w:eastAsia="Arial" w:hAnsi="Arial"/>
          <w:sz w:val="16"/>
          <w:szCs w:val="16"/>
          <w:color w:val="0000FF"/>
        </w:rPr>
        <w:tab/>
        <w:t>Certification of Marc Holliday, President of Wyoming Acquisition GP LLC, the sole general partner of the Registrant, pursuant to Section 1350 of Chapter 63 of Title 18 of the United States Code, filed herewith.</w:t>
      </w:r>
    </w:p>
    <w:p>
      <w:pPr>
        <w:spacing w:after="0" w:line="10" w:lineRule="exact"/>
        <w:rPr>
          <w:sz w:val="20"/>
          <w:szCs w:val="20"/>
          <w:color w:val="auto"/>
        </w:rPr>
      </w:pPr>
    </w:p>
    <w:p>
      <w:pPr>
        <w:ind w:left="420"/>
        <w:spacing w:after="0"/>
        <w:tabs>
          <w:tab w:leader="none" w:pos="820" w:val="left"/>
        </w:tabs>
        <w:rPr>
          <w:rFonts w:ascii="Arial" w:cs="Arial" w:eastAsia="Arial" w:hAnsi="Arial"/>
          <w:sz w:val="16"/>
          <w:szCs w:val="16"/>
          <w:color w:val="0000FF"/>
        </w:rPr>
      </w:pPr>
      <w:hyperlink w:anchor="page46">
        <w:r>
          <w:rPr>
            <w:rFonts w:ascii="Arial" w:cs="Arial" w:eastAsia="Arial" w:hAnsi="Arial"/>
            <w:sz w:val="16"/>
            <w:szCs w:val="16"/>
            <w:u w:val="single" w:color="auto"/>
            <w:color w:val="0000FF"/>
          </w:rPr>
          <w:t>32.2</w:t>
        </w:r>
      </w:hyperlink>
      <w:r>
        <w:rPr>
          <w:rFonts w:ascii="Arial" w:cs="Arial" w:eastAsia="Arial" w:hAnsi="Arial"/>
          <w:sz w:val="16"/>
          <w:szCs w:val="16"/>
          <w:color w:val="0000FF"/>
        </w:rPr>
        <w:tab/>
      </w:r>
      <w:r>
        <w:rPr>
          <w:rFonts w:ascii="Arial" w:cs="Arial" w:eastAsia="Arial" w:hAnsi="Arial"/>
          <w:sz w:val="14"/>
          <w:szCs w:val="14"/>
          <w:color w:val="0000FF"/>
        </w:rPr>
        <w:t>Certification of Matthew J. DiLiberto, Treasurer of Wyoming Acquisition GP LLC, the sole general partner of the Registrant, pursuant to Section 1350 of Chapter</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63 of Title 18 of the United States Code, filed herewith.</w:t>
      </w:r>
    </w:p>
    <w:p>
      <w:pPr>
        <w:spacing w:after="0" w:line="69" w:lineRule="exact"/>
        <w:rPr>
          <w:sz w:val="20"/>
          <w:szCs w:val="20"/>
          <w:color w:val="auto"/>
        </w:rPr>
      </w:pPr>
    </w:p>
    <w:p>
      <w:pPr>
        <w:ind w:left="840" w:right="100" w:hanging="512"/>
        <w:spacing w:after="0" w:line="273" w:lineRule="auto"/>
        <w:tabs>
          <w:tab w:leader="none" w:pos="820" w:val="left"/>
        </w:tabs>
        <w:rPr>
          <w:sz w:val="20"/>
          <w:szCs w:val="20"/>
          <w:color w:val="auto"/>
        </w:rPr>
      </w:pPr>
      <w:r>
        <w:rPr>
          <w:rFonts w:ascii="Arial" w:cs="Arial" w:eastAsia="Arial" w:hAnsi="Arial"/>
          <w:sz w:val="16"/>
          <w:szCs w:val="16"/>
          <w:color w:val="auto"/>
        </w:rPr>
        <w:t>101.1</w:t>
        <w:tab/>
        <w:t>The following financial statements from Reckson Operating Partnership, L.P.’s Quarterly Report on Form 10-Q for the quarter ended September 30, 2018, formatted in XBRL: (i) Consolidated Balance Sheets (unaudited), (ii) Consolidated Statements of Operations (unaudited), (iii) Consolidated Statements of Comprehensive Income (unaudited), (iv) Consolidated Statements of Capital (unaudited), (v) Consolidated Statements of Cash Flows (unaudited), and (vi) Notes to Consolidated Financial Statements (unaudited), detail tagged and filed herewith.</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RECKSON OPERATING PARTNERSHIP, L.P.</w:t>
      </w:r>
    </w:p>
    <w:p>
      <w:pPr>
        <w:spacing w:after="0" w:line="1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WYOMING ACQUISITION GP LLC</w:t>
      </w:r>
    </w:p>
    <w:p>
      <w:pPr>
        <w:spacing w:after="0" w:line="63" w:lineRule="exact"/>
        <w:rPr>
          <w:sz w:val="20"/>
          <w:szCs w:val="20"/>
          <w:color w:val="auto"/>
        </w:rPr>
      </w:pPr>
    </w:p>
    <w:p>
      <w:pPr>
        <w:ind w:left="598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i w:val="1"/>
          <w:iCs w:val="1"/>
          <w:color w:val="auto"/>
        </w:rPr>
        <w:t>Treasurer</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99" w:right="29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31.1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8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Reckson Operating Partnership, L.P. (the "registrant");</w:t>
      </w:r>
    </w:p>
    <w:p>
      <w:pPr>
        <w:spacing w:after="0" w:line="144" w:lineRule="exact"/>
        <w:rPr>
          <w:rFonts w:ascii="Arial" w:cs="Arial" w:eastAsia="Arial" w:hAnsi="Arial"/>
          <w:sz w:val="18"/>
          <w:szCs w:val="18"/>
          <w:color w:val="auto"/>
        </w:rPr>
      </w:pPr>
    </w:p>
    <w:p>
      <w:pPr>
        <w:ind w:firstLine="8"/>
        <w:spacing w:after="0" w:line="342" w:lineRule="auto"/>
        <w:tabs>
          <w:tab w:leader="none" w:pos="3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4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8"/>
        <w:spacing w:after="0" w:line="264" w:lineRule="auto"/>
        <w:tabs>
          <w:tab w:leader="none" w:pos="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3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firstLine="8"/>
        <w:spacing w:after="0" w:line="308" w:lineRule="auto"/>
        <w:tabs>
          <w:tab w:leader="none" w:pos="38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2018</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715"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8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Reckson Operating Partnership, L.P. (the "registrant");</w:t>
      </w:r>
    </w:p>
    <w:p>
      <w:pPr>
        <w:spacing w:after="0" w:line="144" w:lineRule="exact"/>
        <w:rPr>
          <w:rFonts w:ascii="Arial" w:cs="Arial" w:eastAsia="Arial" w:hAnsi="Arial"/>
          <w:sz w:val="18"/>
          <w:szCs w:val="18"/>
          <w:color w:val="auto"/>
        </w:rPr>
      </w:pPr>
    </w:p>
    <w:p>
      <w:pPr>
        <w:ind w:firstLine="8"/>
        <w:spacing w:after="0" w:line="342" w:lineRule="auto"/>
        <w:tabs>
          <w:tab w:leader="none" w:pos="3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8"/>
        <w:spacing w:after="0" w:line="277" w:lineRule="auto"/>
        <w:tabs>
          <w:tab w:leader="none" w:pos="4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8"/>
        <w:spacing w:after="0" w:line="26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0" w:hanging="320"/>
        <w:spacing w:after="0" w:line="281" w:lineRule="auto"/>
        <w:tabs>
          <w:tab w:leader="none" w:pos="13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firstLine="8"/>
        <w:spacing w:after="0" w:line="308" w:lineRule="auto"/>
        <w:tabs>
          <w:tab w:leader="none" w:pos="38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13, 2018</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97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Marc Holliday, President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right="20" w:firstLine="8"/>
        <w:spacing w:after="0" w:line="277" w:lineRule="auto"/>
        <w:tabs>
          <w:tab w:leader="none" w:pos="3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2018 (the "Report") fully complies with the requirements of Section 13(a) or 15(d) of the Securities Exchange Act of 1934 (15 U.S.C. 78m or 78o(d)); and</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November 13, 2018</w:t>
      </w:r>
    </w:p>
    <w:p>
      <w:pPr>
        <w:sectPr>
          <w:pgSz w:w="11900" w:h="16838" w:orient="portrait"/>
          <w:cols w:equalWidth="0" w:num="1">
            <w:col w:w="11420"/>
          </w:cols>
          <w:pgMar w:left="240" w:top="97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Matthew J. DiLiberto, Treasurer and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right="20" w:firstLine="8"/>
        <w:spacing w:after="0" w:line="277" w:lineRule="auto"/>
        <w:tabs>
          <w:tab w:leader="none" w:pos="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2018 (the "Report") fully complies with the requirements of Section 13(a) or 15(d) of the Securities Exchange Act of 1934 (15 U.S.C. 78m or 78o(d)); and</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November 13, 2018</w:t>
      </w:r>
    </w:p>
    <w:sectPr>
      <w:pgSz w:w="11900" w:h="16838" w:orient="portrait"/>
      <w:cols w:equalWidth="0" w:num="1">
        <w:col w:w="11420"/>
      </w:cols>
      <w:pgMar w:left="240" w:top="7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8"/>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4"/>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1" Type="http://schemas.openxmlformats.org/officeDocument/2006/relationships/hyperlink" Target="http://www.sec.gov/Archives/edgar/data/930810/000110465918050160/a18-18353_1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2019-12-28T18:04:03Z</dcterms:created>
  <dcterms:modified xsi:type="dcterms:W3CDTF">2019-12-28T18:04:03Z</dcterms:modified>
</cp:coreProperties>
</file>