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8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1586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SL Green Realty Corp.</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778510</wp:posOffset>
            </wp:positionV>
            <wp:extent cx="1972310"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62611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2330450</wp:posOffset>
            </wp:positionV>
            <wp:extent cx="6089015" cy="3327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9015" cy="3327400"/>
                    </a:xfrm>
                    <a:prstGeom prst="rect">
                      <a:avLst/>
                    </a:prstGeom>
                    <a:noFill/>
                  </pic:spPr>
                </pic:pic>
              </a:graphicData>
            </a:graphic>
          </wp:anchor>
        </w:drawing>
      </w:r>
    </w:p>
    <w:p>
      <w:pPr>
        <w:sectPr>
          <w:pgSz w:w="11900" w:h="16838" w:orient="portrait"/>
          <w:cols w:equalWidth="0" w:num="1">
            <w:col w:w="10240"/>
          </w:cols>
          <w:pgMar w:left="240" w:top="12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08"/>
          <w:szCs w:val="108"/>
          <w:b w:val="1"/>
          <w:bCs w:val="1"/>
          <w:color w:val="345988"/>
        </w:rPr>
        <w:t>2019</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72"/>
          <w:szCs w:val="72"/>
          <w:color w:val="345988"/>
        </w:rPr>
        <w:t>Proxy</w:t>
      </w:r>
    </w:p>
    <w:p>
      <w:pPr>
        <w:jc w:val="right"/>
        <w:spacing w:after="0" w:line="237" w:lineRule="auto"/>
        <w:rPr>
          <w:sz w:val="20"/>
          <w:szCs w:val="20"/>
          <w:color w:val="auto"/>
        </w:rPr>
      </w:pPr>
      <w:r>
        <w:rPr>
          <w:rFonts w:ascii="Arial" w:cs="Arial" w:eastAsia="Arial" w:hAnsi="Arial"/>
          <w:sz w:val="72"/>
          <w:szCs w:val="72"/>
          <w:color w:val="345988"/>
        </w:rPr>
        <w:t>Statement</w:t>
      </w:r>
    </w:p>
    <w:p>
      <w:pPr>
        <w:ind w:left="1180"/>
        <w:spacing w:after="0"/>
        <w:rPr>
          <w:sz w:val="20"/>
          <w:szCs w:val="20"/>
          <w:color w:val="auto"/>
        </w:rPr>
      </w:pPr>
      <w:r>
        <w:rPr>
          <w:rFonts w:ascii="Arial" w:cs="Arial" w:eastAsia="Arial" w:hAnsi="Arial"/>
          <w:sz w:val="32"/>
          <w:szCs w:val="32"/>
          <w:color w:val="345988"/>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40"/>
          </w:cols>
          <w:pgMar w:left="240" w:top="121" w:right="1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2019 PROXY STATEMENT HIGHLIGHTS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80" w:type="dxa"/>
            <w:vAlign w:val="bottom"/>
          </w:tcPr>
          <w:p>
            <w:pPr>
              <w:ind w:left="840"/>
              <w:spacing w:after="0"/>
              <w:rPr>
                <w:sz w:val="20"/>
                <w:szCs w:val="20"/>
                <w:color w:val="auto"/>
              </w:rPr>
            </w:pPr>
            <w:r>
              <w:rPr>
                <w:rFonts w:ascii="Arial" w:cs="Arial" w:eastAsia="Arial" w:hAnsi="Arial"/>
                <w:sz w:val="20"/>
                <w:szCs w:val="20"/>
                <w:b w:val="1"/>
                <w:bCs w:val="1"/>
                <w:color w:val="345988"/>
              </w:rPr>
              <w:t>Date &amp; Time</w:t>
            </w:r>
          </w:p>
        </w:tc>
        <w:tc>
          <w:tcPr>
            <w:tcW w:w="4000" w:type="dxa"/>
            <w:vAlign w:val="bottom"/>
          </w:tcPr>
          <w:p>
            <w:pPr>
              <w:ind w:left="660"/>
              <w:spacing w:after="0"/>
              <w:rPr>
                <w:sz w:val="20"/>
                <w:szCs w:val="20"/>
                <w:color w:val="auto"/>
              </w:rPr>
            </w:pPr>
            <w:r>
              <w:rPr>
                <w:rFonts w:ascii="Arial" w:cs="Arial" w:eastAsia="Arial" w:hAnsi="Arial"/>
                <w:sz w:val="20"/>
                <w:szCs w:val="20"/>
                <w:b w:val="1"/>
                <w:bCs w:val="1"/>
                <w:color w:val="345988"/>
              </w:rPr>
              <w:t>Location</w:t>
            </w:r>
          </w:p>
        </w:tc>
        <w:tc>
          <w:tcPr>
            <w:tcW w:w="3340" w:type="dxa"/>
            <w:vAlign w:val="bottom"/>
          </w:tcPr>
          <w:p>
            <w:pPr>
              <w:ind w:left="600"/>
              <w:spacing w:after="0"/>
              <w:rPr>
                <w:sz w:val="20"/>
                <w:szCs w:val="20"/>
                <w:color w:val="auto"/>
              </w:rPr>
            </w:pPr>
            <w:r>
              <w:rPr>
                <w:rFonts w:ascii="Arial" w:cs="Arial" w:eastAsia="Arial" w:hAnsi="Arial"/>
                <w:sz w:val="20"/>
                <w:szCs w:val="20"/>
                <w:b w:val="1"/>
                <w:bCs w:val="1"/>
                <w:color w:val="345988"/>
              </w:rPr>
              <w:t>Record Date</w:t>
            </w:r>
          </w:p>
        </w:tc>
      </w:tr>
      <w:tr>
        <w:trPr>
          <w:trHeight w:val="203"/>
        </w:trPr>
        <w:tc>
          <w:tcPr>
            <w:tcW w:w="4080" w:type="dxa"/>
            <w:vAlign w:val="bottom"/>
          </w:tcPr>
          <w:p>
            <w:pPr>
              <w:ind w:left="840"/>
              <w:spacing w:after="0" w:line="202" w:lineRule="exact"/>
              <w:rPr>
                <w:sz w:val="20"/>
                <w:szCs w:val="20"/>
                <w:color w:val="auto"/>
              </w:rPr>
            </w:pPr>
            <w:r>
              <w:rPr>
                <w:rFonts w:ascii="Arial" w:cs="Arial" w:eastAsia="Arial" w:hAnsi="Arial"/>
                <w:sz w:val="18"/>
                <w:szCs w:val="18"/>
                <w:color w:val="auto"/>
              </w:rPr>
              <w:t>Thursday, May 30, 2019 at 10:00</w:t>
            </w:r>
          </w:p>
        </w:tc>
        <w:tc>
          <w:tcPr>
            <w:tcW w:w="4000" w:type="dxa"/>
            <w:vAlign w:val="bottom"/>
          </w:tcPr>
          <w:p>
            <w:pPr>
              <w:ind w:left="660"/>
              <w:spacing w:after="0" w:line="202" w:lineRule="exact"/>
              <w:rPr>
                <w:sz w:val="20"/>
                <w:szCs w:val="20"/>
                <w:color w:val="auto"/>
              </w:rPr>
            </w:pPr>
            <w:r>
              <w:rPr>
                <w:rFonts w:ascii="Arial" w:cs="Arial" w:eastAsia="Arial" w:hAnsi="Arial"/>
                <w:sz w:val="18"/>
                <w:szCs w:val="18"/>
                <w:color w:val="auto"/>
              </w:rPr>
              <w:t>Convene (The Club Room), 237</w:t>
            </w:r>
          </w:p>
        </w:tc>
        <w:tc>
          <w:tcPr>
            <w:tcW w:w="3340" w:type="dxa"/>
            <w:vAlign w:val="bottom"/>
          </w:tcPr>
          <w:p>
            <w:pPr>
              <w:ind w:left="600"/>
              <w:spacing w:after="0" w:line="202" w:lineRule="exact"/>
              <w:rPr>
                <w:sz w:val="20"/>
                <w:szCs w:val="20"/>
                <w:color w:val="auto"/>
              </w:rPr>
            </w:pPr>
            <w:r>
              <w:rPr>
                <w:rFonts w:ascii="Arial" w:cs="Arial" w:eastAsia="Arial" w:hAnsi="Arial"/>
                <w:sz w:val="18"/>
                <w:szCs w:val="18"/>
                <w:color w:val="auto"/>
              </w:rPr>
              <w:t>March 29, 2019</w:t>
            </w:r>
          </w:p>
        </w:tc>
      </w:tr>
      <w:tr>
        <w:trPr>
          <w:trHeight w:val="203"/>
        </w:trPr>
        <w:tc>
          <w:tcPr>
            <w:tcW w:w="4080" w:type="dxa"/>
            <w:vAlign w:val="bottom"/>
          </w:tcPr>
          <w:p>
            <w:pPr>
              <w:ind w:left="840"/>
              <w:spacing w:after="0" w:line="202" w:lineRule="exact"/>
              <w:rPr>
                <w:sz w:val="20"/>
                <w:szCs w:val="20"/>
                <w:color w:val="auto"/>
              </w:rPr>
            </w:pPr>
            <w:r>
              <w:rPr>
                <w:rFonts w:ascii="Arial" w:cs="Arial" w:eastAsia="Arial" w:hAnsi="Arial"/>
                <w:sz w:val="18"/>
                <w:szCs w:val="18"/>
                <w:color w:val="auto"/>
              </w:rPr>
              <w:t>a.m., local time</w:t>
            </w:r>
          </w:p>
        </w:tc>
        <w:tc>
          <w:tcPr>
            <w:tcW w:w="4000" w:type="dxa"/>
            <w:vAlign w:val="bottom"/>
          </w:tcPr>
          <w:p>
            <w:pPr>
              <w:ind w:left="660"/>
              <w:spacing w:after="0" w:line="202" w:lineRule="exact"/>
              <w:rPr>
                <w:sz w:val="20"/>
                <w:szCs w:val="20"/>
                <w:color w:val="auto"/>
              </w:rPr>
            </w:pPr>
            <w:r>
              <w:rPr>
                <w:rFonts w:ascii="Arial" w:cs="Arial" w:eastAsia="Arial" w:hAnsi="Arial"/>
                <w:sz w:val="18"/>
                <w:szCs w:val="18"/>
                <w:color w:val="auto"/>
              </w:rPr>
              <w:t>Park Avenue, New York, New York,</w:t>
            </w:r>
          </w:p>
        </w:tc>
        <w:tc>
          <w:tcPr>
            <w:tcW w:w="3340" w:type="dxa"/>
            <w:vAlign w:val="bottom"/>
          </w:tcPr>
          <w:p>
            <w:pPr>
              <w:spacing w:after="0"/>
              <w:rPr>
                <w:sz w:val="17"/>
                <w:szCs w:val="17"/>
                <w:color w:val="auto"/>
              </w:rPr>
            </w:pPr>
          </w:p>
        </w:tc>
      </w:tr>
      <w:tr>
        <w:trPr>
          <w:trHeight w:val="211"/>
        </w:trPr>
        <w:tc>
          <w:tcPr>
            <w:tcW w:w="4080" w:type="dxa"/>
            <w:vAlign w:val="bottom"/>
          </w:tcPr>
          <w:p>
            <w:pPr>
              <w:spacing w:after="0"/>
              <w:rPr>
                <w:sz w:val="18"/>
                <w:szCs w:val="18"/>
                <w:color w:val="auto"/>
              </w:rPr>
            </w:pPr>
          </w:p>
        </w:tc>
        <w:tc>
          <w:tcPr>
            <w:tcW w:w="4000" w:type="dxa"/>
            <w:vAlign w:val="bottom"/>
          </w:tcPr>
          <w:p>
            <w:pPr>
              <w:ind w:left="660"/>
              <w:spacing w:after="0"/>
              <w:rPr>
                <w:sz w:val="20"/>
                <w:szCs w:val="20"/>
                <w:color w:val="auto"/>
              </w:rPr>
            </w:pPr>
            <w:r>
              <w:rPr>
                <w:rFonts w:ascii="Arial" w:cs="Arial" w:eastAsia="Arial" w:hAnsi="Arial"/>
                <w:sz w:val="18"/>
                <w:szCs w:val="18"/>
                <w:color w:val="auto"/>
              </w:rPr>
              <w:t>10017</w:t>
            </w:r>
          </w:p>
        </w:tc>
        <w:tc>
          <w:tcPr>
            <w:tcW w:w="3340" w:type="dxa"/>
            <w:vAlign w:val="bottom"/>
          </w:tcPr>
          <w:p>
            <w:pPr>
              <w:spacing w:after="0"/>
              <w:rPr>
                <w:sz w:val="18"/>
                <w:szCs w:val="18"/>
                <w:color w:val="auto"/>
              </w:rPr>
            </w:pPr>
          </w:p>
        </w:tc>
      </w:tr>
      <w:tr>
        <w:trPr>
          <w:trHeight w:val="563"/>
        </w:trPr>
        <w:tc>
          <w:tcPr>
            <w:tcW w:w="4080" w:type="dxa"/>
            <w:vAlign w:val="bottom"/>
            <w:tcBorders>
              <w:bottom w:val="single" w:sz="8" w:color="auto"/>
            </w:tcBorders>
          </w:tcPr>
          <w:p>
            <w:pPr>
              <w:spacing w:after="0"/>
              <w:rPr>
                <w:sz w:val="20"/>
                <w:szCs w:val="20"/>
                <w:color w:val="auto"/>
              </w:rPr>
            </w:pPr>
            <w:r>
              <w:rPr>
                <w:rFonts w:ascii="Arial" w:cs="Arial" w:eastAsia="Arial" w:hAnsi="Arial"/>
                <w:sz w:val="25"/>
                <w:szCs w:val="25"/>
                <w:b w:val="1"/>
                <w:bCs w:val="1"/>
                <w:color w:val="auto"/>
              </w:rPr>
              <w:t>Roadmap of Voting Matters</w:t>
            </w:r>
          </w:p>
        </w:tc>
        <w:tc>
          <w:tcPr>
            <w:tcW w:w="40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38608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3257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-899795</wp:posOffset>
            </wp:positionV>
            <wp:extent cx="38608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6080" cy="3257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-899795</wp:posOffset>
            </wp:positionV>
            <wp:extent cx="39433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346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You are being asked to vote on the following matters: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spacing w:after="0"/>
              <w:rPr>
                <w:sz w:val="17"/>
                <w:szCs w:val="17"/>
                <w:color w:val="auto"/>
              </w:rPr>
            </w:pPr>
          </w:p>
        </w:tc>
        <w:tc>
          <w:tcPr>
            <w:tcW w:w="1420" w:type="dxa"/>
            <w:vAlign w:val="bottom"/>
            <w:shd w:val="clear" w:color="auto" w:fill="F5F5F5"/>
          </w:tcPr>
          <w:p>
            <w:pPr>
              <w:ind w:left="160"/>
              <w:spacing w:after="0"/>
              <w:rPr>
                <w:sz w:val="20"/>
                <w:szCs w:val="20"/>
                <w:color w:val="auto"/>
              </w:rPr>
            </w:pPr>
            <w:r>
              <w:rPr>
                <w:rFonts w:ascii="Arial" w:cs="Arial" w:eastAsia="Arial" w:hAnsi="Arial"/>
                <w:sz w:val="14"/>
                <w:szCs w:val="14"/>
                <w:b w:val="1"/>
                <w:bCs w:val="1"/>
                <w:color w:val="345988"/>
              </w:rPr>
              <w:t>Board</w:t>
            </w:r>
          </w:p>
        </w:tc>
        <w:tc>
          <w:tcPr>
            <w:tcW w:w="540" w:type="dxa"/>
            <w:vAlign w:val="bottom"/>
            <w:gridSpan w:val="2"/>
            <w:shd w:val="clear" w:color="auto" w:fill="F5F5F5"/>
          </w:tcPr>
          <w:p>
            <w:pPr>
              <w:ind w:left="140"/>
              <w:spacing w:after="0"/>
              <w:rPr>
                <w:sz w:val="20"/>
                <w:szCs w:val="20"/>
                <w:color w:val="auto"/>
              </w:rPr>
            </w:pPr>
            <w:r>
              <w:rPr>
                <w:rFonts w:ascii="Arial" w:cs="Arial" w:eastAsia="Arial" w:hAnsi="Arial"/>
                <w:sz w:val="14"/>
                <w:szCs w:val="14"/>
                <w:b w:val="1"/>
                <w:bCs w:val="1"/>
                <w:color w:val="345988"/>
              </w:rPr>
              <w:t>See</w:t>
            </w:r>
          </w:p>
        </w:tc>
        <w:tc>
          <w:tcPr>
            <w:tcW w:w="0" w:type="dxa"/>
            <w:vAlign w:val="bottom"/>
          </w:tcPr>
          <w:p>
            <w:pPr>
              <w:spacing w:after="0"/>
              <w:rPr>
                <w:sz w:val="1"/>
                <w:szCs w:val="1"/>
                <w:color w:val="auto"/>
              </w:rPr>
            </w:pPr>
          </w:p>
        </w:tc>
      </w:tr>
      <w:tr>
        <w:trPr>
          <w:trHeight w:val="199"/>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345988"/>
              </w:rPr>
              <w:t>Proposal</w:t>
            </w:r>
          </w:p>
        </w:tc>
        <w:tc>
          <w:tcPr>
            <w:tcW w:w="1420" w:type="dxa"/>
            <w:vAlign w:val="bottom"/>
            <w:shd w:val="clear" w:color="auto" w:fill="F5F5F5"/>
          </w:tcPr>
          <w:p>
            <w:pPr>
              <w:ind w:left="160"/>
              <w:spacing w:after="0"/>
              <w:rPr>
                <w:sz w:val="20"/>
                <w:szCs w:val="20"/>
                <w:color w:val="auto"/>
              </w:rPr>
            </w:pPr>
            <w:r>
              <w:rPr>
                <w:rFonts w:ascii="Arial" w:cs="Arial" w:eastAsia="Arial" w:hAnsi="Arial"/>
                <w:sz w:val="14"/>
                <w:szCs w:val="14"/>
                <w:b w:val="1"/>
                <w:bCs w:val="1"/>
                <w:color w:val="345988"/>
              </w:rPr>
              <w:t>Recommendation</w:t>
            </w:r>
          </w:p>
        </w:tc>
        <w:tc>
          <w:tcPr>
            <w:tcW w:w="540" w:type="dxa"/>
            <w:vAlign w:val="bottom"/>
            <w:gridSpan w:val="2"/>
            <w:shd w:val="clear" w:color="auto" w:fill="F5F5F5"/>
          </w:tcPr>
          <w:p>
            <w:pPr>
              <w:ind w:left="140"/>
              <w:spacing w:after="0"/>
              <w:rPr>
                <w:sz w:val="20"/>
                <w:szCs w:val="20"/>
                <w:color w:val="auto"/>
              </w:rPr>
            </w:pPr>
            <w:r>
              <w:rPr>
                <w:rFonts w:ascii="Arial" w:cs="Arial" w:eastAsia="Arial" w:hAnsi="Arial"/>
                <w:sz w:val="14"/>
                <w:szCs w:val="14"/>
                <w:b w:val="1"/>
                <w:bCs w:val="1"/>
                <w:color w:val="345988"/>
              </w:rPr>
              <w:t>Page</w:t>
            </w:r>
          </w:p>
        </w:tc>
        <w:tc>
          <w:tcPr>
            <w:tcW w:w="0" w:type="dxa"/>
            <w:vAlign w:val="bottom"/>
          </w:tcPr>
          <w:p>
            <w:pPr>
              <w:spacing w:after="0"/>
              <w:rPr>
                <w:sz w:val="1"/>
                <w:szCs w:val="1"/>
                <w:color w:val="auto"/>
              </w:rPr>
            </w:pPr>
          </w:p>
        </w:tc>
      </w:tr>
      <w:tr>
        <w:trPr>
          <w:trHeight w:val="246"/>
        </w:trPr>
        <w:tc>
          <w:tcPr>
            <w:tcW w:w="80" w:type="dxa"/>
            <w:vAlign w:val="bottom"/>
            <w:tcBorders>
              <w:top w:val="single" w:sz="8" w:color="F5F5F5"/>
            </w:tcBorders>
            <w:shd w:val="clear" w:color="auto" w:fill="F5F5F5"/>
          </w:tcPr>
          <w:p>
            <w:pPr>
              <w:spacing w:after="0"/>
              <w:rPr>
                <w:sz w:val="21"/>
                <w:szCs w:val="21"/>
                <w:color w:val="auto"/>
              </w:rPr>
            </w:pPr>
          </w:p>
        </w:tc>
        <w:tc>
          <w:tcPr>
            <w:tcW w:w="260" w:type="dxa"/>
            <w:vAlign w:val="bottom"/>
            <w:tcBorders>
              <w:top w:val="single" w:sz="8" w:color="345988"/>
            </w:tcBorders>
            <w:shd w:val="clear" w:color="auto" w:fill="F5F5F5"/>
          </w:tcPr>
          <w:p>
            <w:pPr>
              <w:jc w:val="right"/>
              <w:ind w:right="41"/>
              <w:spacing w:after="0"/>
              <w:rPr>
                <w:sz w:val="20"/>
                <w:szCs w:val="20"/>
                <w:color w:val="auto"/>
              </w:rPr>
            </w:pPr>
            <w:r>
              <w:rPr>
                <w:rFonts w:ascii="Arial" w:cs="Arial" w:eastAsia="Arial" w:hAnsi="Arial"/>
                <w:sz w:val="20"/>
                <w:szCs w:val="20"/>
                <w:b w:val="1"/>
                <w:bCs w:val="1"/>
                <w:color w:val="345988"/>
                <w:w w:val="89"/>
              </w:rPr>
              <w:t>1</w:t>
            </w:r>
          </w:p>
        </w:tc>
        <w:tc>
          <w:tcPr>
            <w:tcW w:w="9120" w:type="dxa"/>
            <w:vAlign w:val="bottom"/>
            <w:tcBorders>
              <w:top w:val="single" w:sz="8" w:color="345988"/>
            </w:tcBorders>
            <w:shd w:val="clear" w:color="auto" w:fill="F5F5F5"/>
          </w:tcPr>
          <w:p>
            <w:pPr>
              <w:ind w:left="140"/>
              <w:spacing w:after="0"/>
              <w:rPr>
                <w:sz w:val="20"/>
                <w:szCs w:val="20"/>
                <w:color w:val="auto"/>
              </w:rPr>
            </w:pPr>
            <w:r>
              <w:rPr>
                <w:rFonts w:ascii="Arial" w:cs="Arial" w:eastAsia="Arial" w:hAnsi="Arial"/>
                <w:sz w:val="20"/>
                <w:szCs w:val="20"/>
                <w:b w:val="1"/>
                <w:bCs w:val="1"/>
                <w:color w:val="345988"/>
              </w:rPr>
              <w:t>Election of Directors</w:t>
            </w:r>
          </w:p>
        </w:tc>
        <w:tc>
          <w:tcPr>
            <w:tcW w:w="1420" w:type="dxa"/>
            <w:vAlign w:val="bottom"/>
            <w:tcBorders>
              <w:top w:val="single" w:sz="8" w:color="345988"/>
            </w:tcBorders>
            <w:vMerge w:val="restart"/>
            <w:shd w:val="clear" w:color="auto" w:fill="F5F5F5"/>
          </w:tcPr>
          <w:p>
            <w:pPr>
              <w:ind w:left="16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tcBorders>
              <w:top w:val="single" w:sz="8" w:color="345988"/>
            </w:tcBorders>
            <w:shd w:val="clear" w:color="auto" w:fill="F5F5F5"/>
          </w:tcPr>
          <w:p>
            <w:pPr>
              <w:spacing w:after="0"/>
              <w:rPr>
                <w:sz w:val="21"/>
                <w:szCs w:val="21"/>
                <w:color w:val="auto"/>
              </w:rPr>
            </w:pPr>
          </w:p>
        </w:tc>
        <w:tc>
          <w:tcPr>
            <w:tcW w:w="80" w:type="dxa"/>
            <w:vAlign w:val="bottom"/>
            <w:tcBorders>
              <w:top w:val="single" w:sz="8" w:color="F5F5F5"/>
            </w:tcBorders>
            <w:shd w:val="clear" w:color="auto" w:fill="F5F5F5"/>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w w:val="99"/>
              </w:rPr>
              <w:t>The Board unanimously recommends a vote for each of John H. Alschuler, Edwin T. Burton, III, Lauren B. Dillard,</w:t>
            </w:r>
          </w:p>
        </w:tc>
        <w:tc>
          <w:tcPr>
            <w:tcW w:w="142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w w:val="98"/>
              </w:rPr>
              <w:t>Stephen L. Green, Craig M. Hatkoff and Andrew W. Mathias to serve as directors until the 2020 annual meeting of</w:t>
            </w:r>
          </w:p>
        </w:tc>
        <w:tc>
          <w:tcPr>
            <w:tcW w:w="1420" w:type="dxa"/>
            <w:vAlign w:val="bottom"/>
            <w:shd w:val="clear" w:color="auto" w:fill="F5F5F5"/>
          </w:tcPr>
          <w:p>
            <w:pPr>
              <w:ind w:left="440"/>
              <w:spacing w:after="0" w:line="202" w:lineRule="exact"/>
              <w:rPr>
                <w:sz w:val="20"/>
                <w:szCs w:val="20"/>
                <w:color w:val="auto"/>
              </w:rPr>
            </w:pPr>
            <w:r>
              <w:rPr>
                <w:rFonts w:ascii="Arial" w:cs="Arial" w:eastAsia="Arial" w:hAnsi="Arial"/>
                <w:sz w:val="18"/>
                <w:szCs w:val="18"/>
                <w:color w:val="auto"/>
              </w:rPr>
              <w:t>Each</w:t>
            </w: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F5F5F5"/>
          </w:tcPr>
          <w:p>
            <w:pPr>
              <w:spacing w:after="0"/>
              <w:rPr>
                <w:sz w:val="18"/>
                <w:szCs w:val="18"/>
                <w:color w:val="auto"/>
              </w:rPr>
            </w:pPr>
          </w:p>
        </w:tc>
        <w:tc>
          <w:tcPr>
            <w:tcW w:w="260" w:type="dxa"/>
            <w:vAlign w:val="bottom"/>
            <w:shd w:val="clear" w:color="auto" w:fill="F5F5F5"/>
          </w:tcPr>
          <w:p>
            <w:pPr>
              <w:spacing w:after="0"/>
              <w:rPr>
                <w:sz w:val="18"/>
                <w:szCs w:val="18"/>
                <w:color w:val="auto"/>
              </w:rPr>
            </w:pPr>
          </w:p>
        </w:tc>
        <w:tc>
          <w:tcPr>
            <w:tcW w:w="9120" w:type="dxa"/>
            <w:vAlign w:val="bottom"/>
            <w:shd w:val="clear" w:color="auto" w:fill="F5F5F5"/>
          </w:tcPr>
          <w:p>
            <w:pPr>
              <w:ind w:left="140"/>
              <w:spacing w:after="0"/>
              <w:rPr>
                <w:sz w:val="20"/>
                <w:szCs w:val="20"/>
                <w:color w:val="auto"/>
              </w:rPr>
            </w:pPr>
            <w:r>
              <w:rPr>
                <w:rFonts w:ascii="Arial" w:cs="Arial" w:eastAsia="Arial" w:hAnsi="Arial"/>
                <w:sz w:val="18"/>
                <w:szCs w:val="18"/>
                <w:color w:val="auto"/>
              </w:rPr>
              <w:t>stockholders and until their successors are duly elected and qualify.</w:t>
            </w:r>
          </w:p>
        </w:tc>
        <w:tc>
          <w:tcPr>
            <w:tcW w:w="1420" w:type="dxa"/>
            <w:vAlign w:val="bottom"/>
            <w:shd w:val="clear" w:color="auto" w:fill="F5F5F5"/>
          </w:tcPr>
          <w:p>
            <w:pPr>
              <w:ind w:left="440"/>
              <w:spacing w:after="0"/>
              <w:rPr>
                <w:sz w:val="20"/>
                <w:szCs w:val="20"/>
                <w:color w:val="auto"/>
              </w:rPr>
            </w:pPr>
            <w:r>
              <w:rPr>
                <w:rFonts w:ascii="Arial" w:cs="Arial" w:eastAsia="Arial" w:hAnsi="Arial"/>
                <w:sz w:val="18"/>
                <w:szCs w:val="18"/>
                <w:color w:val="auto"/>
              </w:rPr>
              <w:t>Nominee</w:t>
            </w:r>
          </w:p>
        </w:tc>
        <w:tc>
          <w:tcPr>
            <w:tcW w:w="460" w:type="dxa"/>
            <w:vAlign w:val="bottom"/>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40" w:type="dxa"/>
            <w:vAlign w:val="bottom"/>
            <w:gridSpan w:val="2"/>
            <w:shd w:val="clear" w:color="auto" w:fill="F5F5F5"/>
          </w:tcPr>
          <w:p>
            <w:pPr>
              <w:jc w:val="right"/>
              <w:ind w:right="41"/>
              <w:spacing w:after="0"/>
              <w:rPr>
                <w:sz w:val="20"/>
                <w:szCs w:val="20"/>
                <w:color w:val="auto"/>
              </w:rPr>
            </w:pPr>
            <w:r>
              <w:rPr>
                <w:rFonts w:ascii="Arial" w:cs="Arial" w:eastAsia="Arial" w:hAnsi="Arial"/>
                <w:sz w:val="20"/>
                <w:szCs w:val="20"/>
                <w:b w:val="1"/>
                <w:bCs w:val="1"/>
                <w:color w:val="345988"/>
              </w:rPr>
              <w:t>2</w:t>
            </w:r>
          </w:p>
        </w:tc>
        <w:tc>
          <w:tcPr>
            <w:tcW w:w="9120" w:type="dxa"/>
            <w:vAlign w:val="bottom"/>
            <w:shd w:val="clear" w:color="auto" w:fill="F5F5F5"/>
          </w:tcPr>
          <w:p>
            <w:pPr>
              <w:ind w:left="140"/>
              <w:spacing w:after="0"/>
              <w:rPr>
                <w:sz w:val="20"/>
                <w:szCs w:val="20"/>
                <w:color w:val="auto"/>
              </w:rPr>
            </w:pPr>
            <w:r>
              <w:rPr>
                <w:rFonts w:ascii="Arial" w:cs="Arial" w:eastAsia="Arial" w:hAnsi="Arial"/>
                <w:sz w:val="20"/>
                <w:szCs w:val="20"/>
                <w:b w:val="1"/>
                <w:bCs w:val="1"/>
                <w:color w:val="345988"/>
              </w:rPr>
              <w:t>Advisory Approval of Executive Compensation</w:t>
            </w:r>
          </w:p>
        </w:tc>
        <w:tc>
          <w:tcPr>
            <w:tcW w:w="1420" w:type="dxa"/>
            <w:vAlign w:val="bottom"/>
            <w:vMerge w:val="restart"/>
            <w:shd w:val="clear" w:color="auto" w:fill="F5F5F5"/>
          </w:tcPr>
          <w:p>
            <w:pPr>
              <w:ind w:left="16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shd w:val="clear" w:color="auto" w:fill="F5F5F5"/>
          </w:tcPr>
          <w:p>
            <w:pPr>
              <w:spacing w:after="0"/>
              <w:rPr>
                <w:sz w:val="24"/>
                <w:szCs w:val="24"/>
                <w:color w:val="auto"/>
              </w:rPr>
            </w:pPr>
          </w:p>
        </w:tc>
        <w:tc>
          <w:tcPr>
            <w:tcW w:w="8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The Company seeks non-binding stockholder approval of the compensation of the company’s named executive</w:t>
            </w:r>
          </w:p>
        </w:tc>
        <w:tc>
          <w:tcPr>
            <w:tcW w:w="142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w w:val="99"/>
              </w:rPr>
              <w:t>officers, as described in the Compensation Discussion and Analysis section and compensation tables included in</w:t>
            </w:r>
          </w:p>
        </w:tc>
        <w:tc>
          <w:tcPr>
            <w:tcW w:w="142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F5F5F5"/>
          </w:tcPr>
          <w:p>
            <w:pPr>
              <w:spacing w:after="0"/>
              <w:rPr>
                <w:sz w:val="18"/>
                <w:szCs w:val="18"/>
                <w:color w:val="auto"/>
              </w:rPr>
            </w:pPr>
          </w:p>
        </w:tc>
        <w:tc>
          <w:tcPr>
            <w:tcW w:w="260" w:type="dxa"/>
            <w:vAlign w:val="bottom"/>
            <w:shd w:val="clear" w:color="auto" w:fill="F5F5F5"/>
          </w:tcPr>
          <w:p>
            <w:pPr>
              <w:spacing w:after="0"/>
              <w:rPr>
                <w:sz w:val="18"/>
                <w:szCs w:val="18"/>
                <w:color w:val="auto"/>
              </w:rPr>
            </w:pPr>
          </w:p>
        </w:tc>
        <w:tc>
          <w:tcPr>
            <w:tcW w:w="9120" w:type="dxa"/>
            <w:vAlign w:val="bottom"/>
            <w:shd w:val="clear" w:color="auto" w:fill="F5F5F5"/>
          </w:tcPr>
          <w:p>
            <w:pPr>
              <w:ind w:left="140"/>
              <w:spacing w:after="0"/>
              <w:rPr>
                <w:sz w:val="20"/>
                <w:szCs w:val="20"/>
                <w:color w:val="auto"/>
              </w:rPr>
            </w:pPr>
            <w:r>
              <w:rPr>
                <w:rFonts w:ascii="Arial" w:cs="Arial" w:eastAsia="Arial" w:hAnsi="Arial"/>
                <w:sz w:val="18"/>
                <w:szCs w:val="18"/>
                <w:color w:val="auto"/>
              </w:rPr>
              <w:t>this proxy statement.</w:t>
            </w:r>
          </w:p>
        </w:tc>
        <w:tc>
          <w:tcPr>
            <w:tcW w:w="1420" w:type="dxa"/>
            <w:vAlign w:val="bottom"/>
            <w:shd w:val="clear" w:color="auto" w:fill="F5F5F5"/>
          </w:tcPr>
          <w:p>
            <w:pPr>
              <w:spacing w:after="0"/>
              <w:rPr>
                <w:sz w:val="18"/>
                <w:szCs w:val="18"/>
                <w:color w:val="auto"/>
              </w:rPr>
            </w:pPr>
          </w:p>
        </w:tc>
        <w:tc>
          <w:tcPr>
            <w:tcW w:w="460" w:type="dxa"/>
            <w:vAlign w:val="bottom"/>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40" w:type="dxa"/>
            <w:vAlign w:val="bottom"/>
            <w:gridSpan w:val="2"/>
            <w:shd w:val="clear" w:color="auto" w:fill="F5F5F5"/>
          </w:tcPr>
          <w:p>
            <w:pPr>
              <w:jc w:val="right"/>
              <w:ind w:right="41"/>
              <w:spacing w:after="0"/>
              <w:rPr>
                <w:sz w:val="20"/>
                <w:szCs w:val="20"/>
                <w:color w:val="auto"/>
              </w:rPr>
            </w:pPr>
            <w:r>
              <w:rPr>
                <w:rFonts w:ascii="Arial" w:cs="Arial" w:eastAsia="Arial" w:hAnsi="Arial"/>
                <w:sz w:val="20"/>
                <w:szCs w:val="20"/>
                <w:b w:val="1"/>
                <w:bCs w:val="1"/>
                <w:color w:val="345988"/>
              </w:rPr>
              <w:t>3</w:t>
            </w:r>
          </w:p>
        </w:tc>
        <w:tc>
          <w:tcPr>
            <w:tcW w:w="9120" w:type="dxa"/>
            <w:vAlign w:val="bottom"/>
            <w:shd w:val="clear" w:color="auto" w:fill="F5F5F5"/>
          </w:tcPr>
          <w:p>
            <w:pPr>
              <w:ind w:left="140"/>
              <w:spacing w:after="0"/>
              <w:rPr>
                <w:sz w:val="20"/>
                <w:szCs w:val="20"/>
                <w:color w:val="auto"/>
              </w:rPr>
            </w:pPr>
            <w:r>
              <w:rPr>
                <w:rFonts w:ascii="Arial" w:cs="Arial" w:eastAsia="Arial" w:hAnsi="Arial"/>
                <w:sz w:val="20"/>
                <w:szCs w:val="20"/>
                <w:b w:val="1"/>
                <w:bCs w:val="1"/>
                <w:color w:val="345988"/>
              </w:rPr>
              <w:t>Ratification of Independent Registered Public Accounting Firm</w:t>
            </w:r>
          </w:p>
        </w:tc>
        <w:tc>
          <w:tcPr>
            <w:tcW w:w="1420" w:type="dxa"/>
            <w:vAlign w:val="bottom"/>
            <w:vMerge w:val="restart"/>
            <w:shd w:val="clear" w:color="auto" w:fill="F5F5F5"/>
          </w:tcPr>
          <w:p>
            <w:pPr>
              <w:ind w:left="160"/>
              <w:spacing w:after="0" w:line="207" w:lineRule="exact"/>
              <w:rPr>
                <w:sz w:val="20"/>
                <w:szCs w:val="20"/>
                <w:color w:val="auto"/>
              </w:rPr>
            </w:pPr>
            <w:r>
              <w:rPr>
                <w:rFonts w:ascii="MS PGothic" w:cs="MS PGothic" w:eastAsia="MS PGothic" w:hAnsi="MS PGothic"/>
                <w:sz w:val="18"/>
                <w:szCs w:val="18"/>
                <w:color w:val="000000"/>
                <w:shd w:val="clear" w:color="auto" w:fill="345988"/>
              </w:rPr>
              <w:t>✓</w:t>
            </w:r>
            <w:r>
              <w:rPr>
                <w:rFonts w:ascii="Arial" w:cs="Arial" w:eastAsia="Arial" w:hAnsi="Arial"/>
                <w:sz w:val="18"/>
                <w:szCs w:val="18"/>
                <w:b w:val="1"/>
                <w:bCs w:val="1"/>
                <w:color w:val="345988"/>
              </w:rPr>
              <w:t xml:space="preserve"> FOR</w:t>
            </w:r>
          </w:p>
        </w:tc>
        <w:tc>
          <w:tcPr>
            <w:tcW w:w="460" w:type="dxa"/>
            <w:vAlign w:val="bottom"/>
            <w:shd w:val="clear" w:color="auto" w:fill="F5F5F5"/>
          </w:tcPr>
          <w:p>
            <w:pPr>
              <w:spacing w:after="0"/>
              <w:rPr>
                <w:sz w:val="24"/>
                <w:szCs w:val="24"/>
                <w:color w:val="auto"/>
              </w:rPr>
            </w:pPr>
          </w:p>
        </w:tc>
        <w:tc>
          <w:tcPr>
            <w:tcW w:w="8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w w:val="99"/>
              </w:rPr>
              <w:t>The Audit Committee and the Board believe that the continued appointment of Ernst &amp; Young LLP to serve as our</w:t>
            </w:r>
          </w:p>
        </w:tc>
        <w:tc>
          <w:tcPr>
            <w:tcW w:w="1420" w:type="dxa"/>
            <w:vAlign w:val="bottom"/>
            <w:vMerge w:val="continue"/>
            <w:shd w:val="clear" w:color="auto" w:fill="F5F5F5"/>
          </w:tcPr>
          <w:p>
            <w:pPr>
              <w:spacing w:after="0"/>
              <w:rPr>
                <w:sz w:val="17"/>
                <w:szCs w:val="17"/>
                <w:color w:val="auto"/>
              </w:rPr>
            </w:pPr>
          </w:p>
        </w:tc>
        <w:tc>
          <w:tcPr>
            <w:tcW w:w="46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rPr>
              <w:t>59</w:t>
            </w: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9120" w:type="dxa"/>
            <w:vAlign w:val="bottom"/>
            <w:shd w:val="clear" w:color="auto" w:fill="F5F5F5"/>
          </w:tcPr>
          <w:p>
            <w:pPr>
              <w:ind w:left="140"/>
              <w:spacing w:after="0" w:line="202" w:lineRule="exact"/>
              <w:rPr>
                <w:sz w:val="20"/>
                <w:szCs w:val="20"/>
                <w:color w:val="auto"/>
              </w:rPr>
            </w:pPr>
            <w:r>
              <w:rPr>
                <w:rFonts w:ascii="Arial" w:cs="Arial" w:eastAsia="Arial" w:hAnsi="Arial"/>
                <w:sz w:val="18"/>
                <w:szCs w:val="18"/>
                <w:color w:val="auto"/>
                <w:w w:val="99"/>
              </w:rPr>
              <w:t>independent registered public accounting firm for the fiscal year ending December 31, 2019 is in the best interest</w:t>
            </w:r>
          </w:p>
        </w:tc>
        <w:tc>
          <w:tcPr>
            <w:tcW w:w="142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F5F5F5"/>
          </w:tcPr>
          <w:p>
            <w:pPr>
              <w:spacing w:after="0"/>
              <w:rPr>
                <w:sz w:val="18"/>
                <w:szCs w:val="18"/>
                <w:color w:val="auto"/>
              </w:rPr>
            </w:pPr>
          </w:p>
        </w:tc>
        <w:tc>
          <w:tcPr>
            <w:tcW w:w="260" w:type="dxa"/>
            <w:vAlign w:val="bottom"/>
            <w:shd w:val="clear" w:color="auto" w:fill="F5F5F5"/>
          </w:tcPr>
          <w:p>
            <w:pPr>
              <w:spacing w:after="0"/>
              <w:rPr>
                <w:sz w:val="18"/>
                <w:szCs w:val="18"/>
                <w:color w:val="auto"/>
              </w:rPr>
            </w:pPr>
          </w:p>
        </w:tc>
        <w:tc>
          <w:tcPr>
            <w:tcW w:w="9120" w:type="dxa"/>
            <w:vAlign w:val="bottom"/>
            <w:shd w:val="clear" w:color="auto" w:fill="F5F5F5"/>
          </w:tcPr>
          <w:p>
            <w:pPr>
              <w:ind w:left="140"/>
              <w:spacing w:after="0"/>
              <w:rPr>
                <w:sz w:val="20"/>
                <w:szCs w:val="20"/>
                <w:color w:val="auto"/>
              </w:rPr>
            </w:pPr>
            <w:r>
              <w:rPr>
                <w:rFonts w:ascii="Arial" w:cs="Arial" w:eastAsia="Arial" w:hAnsi="Arial"/>
                <w:sz w:val="18"/>
                <w:szCs w:val="18"/>
                <w:color w:val="auto"/>
              </w:rPr>
              <w:t>of the Company and its stockholders.</w:t>
            </w:r>
          </w:p>
        </w:tc>
        <w:tc>
          <w:tcPr>
            <w:tcW w:w="1420" w:type="dxa"/>
            <w:vAlign w:val="bottom"/>
            <w:shd w:val="clear" w:color="auto" w:fill="F5F5F5"/>
          </w:tcPr>
          <w:p>
            <w:pPr>
              <w:spacing w:after="0"/>
              <w:rPr>
                <w:sz w:val="18"/>
                <w:szCs w:val="18"/>
                <w:color w:val="auto"/>
              </w:rPr>
            </w:pPr>
          </w:p>
        </w:tc>
        <w:tc>
          <w:tcPr>
            <w:tcW w:w="460" w:type="dxa"/>
            <w:vAlign w:val="bottom"/>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80" w:type="dxa"/>
            <w:vAlign w:val="bottom"/>
            <w:shd w:val="clear" w:color="auto" w:fill="F5F5F5"/>
          </w:tcPr>
          <w:p>
            <w:pPr>
              <w:spacing w:after="0"/>
              <w:rPr>
                <w:sz w:val="6"/>
                <w:szCs w:val="6"/>
                <w:color w:val="auto"/>
              </w:rPr>
            </w:pPr>
          </w:p>
        </w:tc>
        <w:tc>
          <w:tcPr>
            <w:tcW w:w="260" w:type="dxa"/>
            <w:vAlign w:val="bottom"/>
            <w:shd w:val="clear" w:color="auto" w:fill="F5F5F5"/>
          </w:tcPr>
          <w:p>
            <w:pPr>
              <w:spacing w:after="0"/>
              <w:rPr>
                <w:sz w:val="6"/>
                <w:szCs w:val="6"/>
                <w:color w:val="auto"/>
              </w:rPr>
            </w:pPr>
          </w:p>
        </w:tc>
        <w:tc>
          <w:tcPr>
            <w:tcW w:w="9120" w:type="dxa"/>
            <w:vAlign w:val="bottom"/>
            <w:shd w:val="clear" w:color="auto" w:fill="F5F5F5"/>
          </w:tcPr>
          <w:p>
            <w:pPr>
              <w:spacing w:after="0"/>
              <w:rPr>
                <w:sz w:val="6"/>
                <w:szCs w:val="6"/>
                <w:color w:val="auto"/>
              </w:rPr>
            </w:pPr>
          </w:p>
        </w:tc>
        <w:tc>
          <w:tcPr>
            <w:tcW w:w="1420" w:type="dxa"/>
            <w:vAlign w:val="bottom"/>
            <w:shd w:val="clear" w:color="auto" w:fill="F5F5F5"/>
          </w:tcPr>
          <w:p>
            <w:pPr>
              <w:spacing w:after="0"/>
              <w:rPr>
                <w:sz w:val="6"/>
                <w:szCs w:val="6"/>
                <w:color w:val="auto"/>
              </w:rPr>
            </w:pPr>
          </w:p>
        </w:tc>
        <w:tc>
          <w:tcPr>
            <w:tcW w:w="460" w:type="dxa"/>
            <w:vAlign w:val="bottom"/>
            <w:shd w:val="clear" w:color="auto" w:fill="F5F5F5"/>
          </w:tcPr>
          <w:p>
            <w:pPr>
              <w:spacing w:after="0"/>
              <w:rPr>
                <w:sz w:val="6"/>
                <w:szCs w:val="6"/>
                <w:color w:val="auto"/>
              </w:rPr>
            </w:pPr>
          </w:p>
        </w:tc>
        <w:tc>
          <w:tcPr>
            <w:tcW w:w="8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Vote is Important—Vote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to us. Please vote as soon as possible by one of the methods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40" w:type="dxa"/>
            <w:vAlign w:val="bottom"/>
          </w:tcPr>
          <w:p>
            <w:pPr>
              <w:ind w:left="820"/>
              <w:spacing w:after="0"/>
              <w:rPr>
                <w:sz w:val="20"/>
                <w:szCs w:val="20"/>
                <w:color w:val="auto"/>
              </w:rPr>
            </w:pPr>
            <w:r>
              <w:rPr>
                <w:rFonts w:ascii="Arial" w:cs="Arial" w:eastAsia="Arial" w:hAnsi="Arial"/>
                <w:sz w:val="20"/>
                <w:szCs w:val="20"/>
                <w:b w:val="1"/>
                <w:bCs w:val="1"/>
                <w:color w:val="345988"/>
              </w:rPr>
              <w:t>By Internet</w:t>
            </w:r>
          </w:p>
        </w:tc>
        <w:tc>
          <w:tcPr>
            <w:tcW w:w="4300" w:type="dxa"/>
            <w:vAlign w:val="bottom"/>
          </w:tcPr>
          <w:p>
            <w:pPr>
              <w:ind w:left="980"/>
              <w:spacing w:after="0"/>
              <w:rPr>
                <w:sz w:val="20"/>
                <w:szCs w:val="20"/>
                <w:color w:val="auto"/>
              </w:rPr>
            </w:pPr>
            <w:r>
              <w:rPr>
                <w:rFonts w:ascii="Arial" w:cs="Arial" w:eastAsia="Arial" w:hAnsi="Arial"/>
                <w:sz w:val="20"/>
                <w:szCs w:val="20"/>
                <w:b w:val="1"/>
                <w:bCs w:val="1"/>
                <w:color w:val="345988"/>
              </w:rPr>
              <w:t>By Tablet or Smartphone</w:t>
            </w:r>
          </w:p>
        </w:tc>
        <w:tc>
          <w:tcPr>
            <w:tcW w:w="3400" w:type="dxa"/>
            <w:vAlign w:val="bottom"/>
          </w:tcPr>
          <w:p>
            <w:pPr>
              <w:ind w:left="520"/>
              <w:spacing w:after="0"/>
              <w:rPr>
                <w:sz w:val="20"/>
                <w:szCs w:val="20"/>
                <w:color w:val="auto"/>
              </w:rPr>
            </w:pPr>
            <w:r>
              <w:rPr>
                <w:rFonts w:ascii="Arial" w:cs="Arial" w:eastAsia="Arial" w:hAnsi="Arial"/>
                <w:sz w:val="20"/>
                <w:szCs w:val="20"/>
                <w:b w:val="1"/>
                <w:bCs w:val="1"/>
                <w:color w:val="345988"/>
              </w:rPr>
              <w:t>By Telephone</w:t>
            </w:r>
          </w:p>
        </w:tc>
      </w:tr>
      <w:tr>
        <w:trPr>
          <w:trHeight w:val="203"/>
        </w:trPr>
        <w:tc>
          <w:tcPr>
            <w:tcW w:w="3740" w:type="dxa"/>
            <w:vAlign w:val="bottom"/>
          </w:tcPr>
          <w:p>
            <w:pPr>
              <w:ind w:left="820"/>
              <w:spacing w:after="0" w:line="202" w:lineRule="exact"/>
              <w:rPr>
                <w:sz w:val="20"/>
                <w:szCs w:val="20"/>
                <w:color w:val="auto"/>
              </w:rPr>
            </w:pPr>
            <w:r>
              <w:rPr>
                <w:rFonts w:ascii="Arial" w:cs="Arial" w:eastAsia="Arial" w:hAnsi="Arial"/>
                <w:sz w:val="18"/>
                <w:szCs w:val="18"/>
                <w:color w:val="auto"/>
              </w:rPr>
              <w:t>Visit www.proxyvote.com</w:t>
            </w:r>
          </w:p>
        </w:tc>
        <w:tc>
          <w:tcPr>
            <w:tcW w:w="4300" w:type="dxa"/>
            <w:vAlign w:val="bottom"/>
          </w:tcPr>
          <w:p>
            <w:pPr>
              <w:ind w:left="980"/>
              <w:spacing w:after="0" w:line="202" w:lineRule="exact"/>
              <w:rPr>
                <w:sz w:val="20"/>
                <w:szCs w:val="20"/>
                <w:color w:val="auto"/>
              </w:rPr>
            </w:pPr>
            <w:r>
              <w:rPr>
                <w:rFonts w:ascii="Arial" w:cs="Arial" w:eastAsia="Arial" w:hAnsi="Arial"/>
                <w:sz w:val="18"/>
                <w:szCs w:val="18"/>
                <w:color w:val="auto"/>
              </w:rPr>
              <w:t>Scan this QR code to vote with your</w:t>
            </w:r>
          </w:p>
        </w:tc>
        <w:tc>
          <w:tcPr>
            <w:tcW w:w="3400" w:type="dxa"/>
            <w:vAlign w:val="bottom"/>
          </w:tcPr>
          <w:p>
            <w:pPr>
              <w:ind w:left="520"/>
              <w:spacing w:after="0" w:line="202" w:lineRule="exact"/>
              <w:rPr>
                <w:sz w:val="20"/>
                <w:szCs w:val="20"/>
                <w:color w:val="auto"/>
              </w:rPr>
            </w:pPr>
            <w:r>
              <w:rPr>
                <w:rFonts w:ascii="Arial" w:cs="Arial" w:eastAsia="Arial" w:hAnsi="Arial"/>
                <w:sz w:val="18"/>
                <w:szCs w:val="18"/>
                <w:color w:val="auto"/>
              </w:rPr>
              <w:t>Call 1-800-454-8683 24h/7</w:t>
            </w:r>
          </w:p>
        </w:tc>
      </w:tr>
      <w:tr>
        <w:trPr>
          <w:trHeight w:val="211"/>
        </w:trPr>
        <w:tc>
          <w:tcPr>
            <w:tcW w:w="3740" w:type="dxa"/>
            <w:vAlign w:val="bottom"/>
          </w:tcPr>
          <w:p>
            <w:pPr>
              <w:spacing w:after="0"/>
              <w:rPr>
                <w:sz w:val="18"/>
                <w:szCs w:val="18"/>
                <w:color w:val="auto"/>
              </w:rPr>
            </w:pPr>
          </w:p>
        </w:tc>
        <w:tc>
          <w:tcPr>
            <w:tcW w:w="4300" w:type="dxa"/>
            <w:vAlign w:val="bottom"/>
          </w:tcPr>
          <w:p>
            <w:pPr>
              <w:ind w:left="980"/>
              <w:spacing w:after="0"/>
              <w:rPr>
                <w:sz w:val="20"/>
                <w:szCs w:val="20"/>
                <w:color w:val="auto"/>
              </w:rPr>
            </w:pPr>
            <w:r>
              <w:rPr>
                <w:rFonts w:ascii="Arial" w:cs="Arial" w:eastAsia="Arial" w:hAnsi="Arial"/>
                <w:sz w:val="18"/>
                <w:szCs w:val="18"/>
                <w:color w:val="auto"/>
              </w:rPr>
              <w:t>mobile device</w:t>
            </w:r>
          </w:p>
        </w:tc>
        <w:tc>
          <w:tcPr>
            <w:tcW w:w="3400" w:type="dxa"/>
            <w:vAlign w:val="bottom"/>
          </w:tcPr>
          <w:p>
            <w:pPr>
              <w:spacing w:after="0"/>
              <w:rPr>
                <w:sz w:val="18"/>
                <w:szCs w:val="18"/>
                <w:color w:val="auto"/>
              </w:rPr>
            </w:pPr>
          </w:p>
        </w:tc>
      </w:tr>
      <w:tr>
        <w:trPr>
          <w:trHeight w:val="419"/>
        </w:trPr>
        <w:tc>
          <w:tcPr>
            <w:tcW w:w="37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0" w:type="dxa"/>
            <w:vAlign w:val="bottom"/>
          </w:tcPr>
          <w:p>
            <w:pPr>
              <w:ind w:left="1400"/>
              <w:spacing w:after="0"/>
              <w:rPr>
                <w:sz w:val="20"/>
                <w:szCs w:val="20"/>
                <w:color w:val="auto"/>
              </w:rPr>
            </w:pPr>
            <w:r>
              <w:rPr>
                <w:rFonts w:ascii="Arial" w:cs="Arial" w:eastAsia="Arial" w:hAnsi="Arial"/>
                <w:sz w:val="18"/>
                <w:szCs w:val="18"/>
                <w:color w:val="auto"/>
                <w:w w:val="99"/>
              </w:rPr>
              <w:t xml:space="preserve">2019 Proxy Statement  </w:t>
            </w:r>
            <w:r>
              <w:rPr>
                <w:rFonts w:ascii="Arial" w:cs="Arial" w:eastAsia="Arial" w:hAnsi="Arial"/>
                <w:sz w:val="18"/>
                <w:szCs w:val="18"/>
                <w:color w:val="345988"/>
                <w:w w:val="99"/>
              </w:rPr>
              <w:t>1</w:t>
            </w:r>
          </w:p>
        </w:tc>
      </w:tr>
      <w:tr>
        <w:trPr>
          <w:trHeight w:val="215"/>
        </w:trPr>
        <w:tc>
          <w:tcPr>
            <w:tcW w:w="374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-815975</wp:posOffset>
            </wp:positionV>
            <wp:extent cx="37719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33464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-815975</wp:posOffset>
            </wp:positionV>
            <wp:extent cx="31750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-815975</wp:posOffset>
            </wp:positionV>
            <wp:extent cx="21463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31750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2019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b w:val="1"/>
                <w:bCs w:val="1"/>
                <w:color w:val="auto"/>
              </w:rPr>
              <w:t>Our Mission</w:t>
            </w:r>
          </w:p>
        </w:tc>
        <w:tc>
          <w:tcPr>
            <w:tcW w:w="9920" w:type="dxa"/>
            <w:vAlign w:val="bottom"/>
            <w:gridSpan w:val="4"/>
          </w:tcPr>
          <w:p>
            <w:pPr>
              <w:spacing w:after="0"/>
              <w:rPr>
                <w:sz w:val="20"/>
                <w:szCs w:val="20"/>
                <w:color w:val="auto"/>
              </w:rPr>
            </w:pPr>
            <w:r>
              <w:rPr>
                <w:rFonts w:ascii="Arial" w:cs="Arial" w:eastAsia="Arial" w:hAnsi="Arial"/>
                <w:sz w:val="14"/>
                <w:szCs w:val="14"/>
                <w:color w:val="auto"/>
              </w:rPr>
              <w:t>We are a fully integrated REIT focused on maximizing total return to stockholders through strategically acquiring, redeveloping, repositioning and managing</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500" w:type="dxa"/>
            <w:vAlign w:val="bottom"/>
            <w:gridSpan w:val="3"/>
          </w:tcPr>
          <w:p>
            <w:pPr>
              <w:spacing w:after="0"/>
              <w:rPr>
                <w:sz w:val="20"/>
                <w:szCs w:val="20"/>
                <w:color w:val="auto"/>
              </w:rPr>
            </w:pPr>
            <w:r>
              <w:rPr>
                <w:rFonts w:ascii="Arial" w:cs="Arial" w:eastAsia="Arial" w:hAnsi="Arial"/>
                <w:sz w:val="14"/>
                <w:szCs w:val="14"/>
                <w:color w:val="auto"/>
              </w:rPr>
              <w:t>commercial properties, located primarily in Manhattan, in order to generate cash flow and create value.</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5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1500" w:type="dxa"/>
            <w:vAlign w:val="bottom"/>
          </w:tcPr>
          <w:p>
            <w:pPr>
              <w:spacing w:after="0" w:line="251" w:lineRule="exact"/>
              <w:rPr>
                <w:sz w:val="20"/>
                <w:szCs w:val="20"/>
                <w:color w:val="auto"/>
              </w:rPr>
            </w:pPr>
            <w:r>
              <w:rPr>
                <w:rFonts w:ascii="Arial" w:cs="Arial" w:eastAsia="Arial" w:hAnsi="Arial"/>
                <w:sz w:val="18"/>
                <w:szCs w:val="18"/>
                <w:b w:val="1"/>
                <w:bCs w:val="1"/>
                <w:color w:val="auto"/>
              </w:rPr>
              <w:t>Who We Are</w:t>
            </w:r>
            <w:r>
              <w:rPr>
                <w:rFonts w:ascii="Arial" w:cs="Arial" w:eastAsia="Arial" w:hAnsi="Arial"/>
                <w:sz w:val="29"/>
                <w:szCs w:val="29"/>
                <w:b w:val="1"/>
                <w:bCs w:val="1"/>
                <w:color w:val="auto"/>
                <w:vertAlign w:val="superscript"/>
              </w:rPr>
              <w:t>1</w:t>
            </w:r>
          </w:p>
        </w:tc>
        <w:tc>
          <w:tcPr>
            <w:tcW w:w="2460" w:type="dxa"/>
            <w:vAlign w:val="bottom"/>
            <w:vMerge w:val="restart"/>
            <w:shd w:val="clear" w:color="auto" w:fill="98A0B5"/>
          </w:tcPr>
          <w:p>
            <w:pPr>
              <w:jc w:val="center"/>
              <w:spacing w:after="0"/>
              <w:rPr>
                <w:sz w:val="20"/>
                <w:szCs w:val="20"/>
                <w:color w:val="auto"/>
              </w:rPr>
            </w:pPr>
            <w:r>
              <w:rPr>
                <w:rFonts w:ascii="Arial" w:cs="Arial" w:eastAsia="Arial" w:hAnsi="Arial"/>
                <w:sz w:val="22"/>
                <w:szCs w:val="22"/>
                <w:b w:val="1"/>
                <w:bCs w:val="1"/>
                <w:color w:val="FFFFFF"/>
                <w:w w:val="98"/>
              </w:rPr>
              <w:t>$1.8 Billion</w:t>
            </w:r>
          </w:p>
        </w:tc>
        <w:tc>
          <w:tcPr>
            <w:tcW w:w="2600" w:type="dxa"/>
            <w:vAlign w:val="bottom"/>
            <w:shd w:val="clear" w:color="auto" w:fill="98A0B5"/>
          </w:tcPr>
          <w:p>
            <w:pPr>
              <w:jc w:val="center"/>
              <w:spacing w:after="0" w:line="251" w:lineRule="exact"/>
              <w:rPr>
                <w:sz w:val="20"/>
                <w:szCs w:val="20"/>
                <w:color w:val="auto"/>
              </w:rPr>
            </w:pPr>
            <w:r>
              <w:rPr>
                <w:rFonts w:ascii="Arial" w:cs="Arial" w:eastAsia="Arial" w:hAnsi="Arial"/>
                <w:sz w:val="22"/>
                <w:szCs w:val="22"/>
                <w:b w:val="1"/>
                <w:bCs w:val="1"/>
                <w:color w:val="FFFFFF"/>
              </w:rPr>
              <w:t>#1</w:t>
            </w:r>
          </w:p>
        </w:tc>
        <w:tc>
          <w:tcPr>
            <w:tcW w:w="2440" w:type="dxa"/>
            <w:vAlign w:val="bottom"/>
            <w:vMerge w:val="restart"/>
            <w:shd w:val="clear" w:color="auto" w:fill="98A0B5"/>
          </w:tcPr>
          <w:p>
            <w:pPr>
              <w:jc w:val="center"/>
              <w:ind w:right="22"/>
              <w:spacing w:after="0"/>
              <w:rPr>
                <w:sz w:val="20"/>
                <w:szCs w:val="20"/>
                <w:color w:val="auto"/>
              </w:rPr>
            </w:pPr>
            <w:r>
              <w:rPr>
                <w:rFonts w:ascii="Arial" w:cs="Arial" w:eastAsia="Arial" w:hAnsi="Arial"/>
                <w:sz w:val="22"/>
                <w:szCs w:val="22"/>
                <w:b w:val="1"/>
                <w:bCs w:val="1"/>
                <w:color w:val="FFFFFF"/>
                <w:w w:val="97"/>
              </w:rPr>
              <w:t>48.3 Million</w:t>
            </w:r>
          </w:p>
        </w:tc>
        <w:tc>
          <w:tcPr>
            <w:tcW w:w="2420" w:type="dxa"/>
            <w:vAlign w:val="bottom"/>
            <w:vMerge w:val="restart"/>
            <w:shd w:val="clear" w:color="auto" w:fill="98A0B5"/>
          </w:tcPr>
          <w:p>
            <w:pPr>
              <w:jc w:val="center"/>
              <w:spacing w:after="0"/>
              <w:rPr>
                <w:sz w:val="20"/>
                <w:szCs w:val="20"/>
                <w:color w:val="auto"/>
              </w:rPr>
            </w:pPr>
            <w:r>
              <w:rPr>
                <w:rFonts w:ascii="Arial" w:cs="Arial" w:eastAsia="Arial" w:hAnsi="Arial"/>
                <w:sz w:val="22"/>
                <w:szCs w:val="22"/>
                <w:b w:val="1"/>
                <w:bCs w:val="1"/>
                <w:color w:val="FFFFFF"/>
                <w:w w:val="98"/>
              </w:rPr>
              <w:t>$16.9 Billion</w:t>
            </w:r>
          </w:p>
        </w:tc>
        <w:tc>
          <w:tcPr>
            <w:tcW w:w="0" w:type="dxa"/>
            <w:vAlign w:val="bottom"/>
          </w:tcPr>
          <w:p>
            <w:pPr>
              <w:spacing w:after="0"/>
              <w:rPr>
                <w:sz w:val="1"/>
                <w:szCs w:val="1"/>
                <w:color w:val="auto"/>
              </w:rPr>
            </w:pPr>
          </w:p>
        </w:tc>
      </w:tr>
      <w:tr>
        <w:trPr>
          <w:trHeight w:val="85"/>
        </w:trPr>
        <w:tc>
          <w:tcPr>
            <w:tcW w:w="1500" w:type="dxa"/>
            <w:vAlign w:val="bottom"/>
          </w:tcPr>
          <w:p>
            <w:pPr>
              <w:spacing w:after="0"/>
              <w:rPr>
                <w:sz w:val="7"/>
                <w:szCs w:val="7"/>
                <w:color w:val="auto"/>
              </w:rPr>
            </w:pPr>
          </w:p>
        </w:tc>
        <w:tc>
          <w:tcPr>
            <w:tcW w:w="2460" w:type="dxa"/>
            <w:vAlign w:val="bottom"/>
            <w:vMerge w:val="continue"/>
            <w:shd w:val="clear" w:color="auto" w:fill="98A0B5"/>
          </w:tcPr>
          <w:p>
            <w:pPr>
              <w:spacing w:after="0"/>
              <w:rPr>
                <w:sz w:val="7"/>
                <w:szCs w:val="7"/>
                <w:color w:val="auto"/>
              </w:rPr>
            </w:pPr>
          </w:p>
        </w:tc>
        <w:tc>
          <w:tcPr>
            <w:tcW w:w="2600" w:type="dxa"/>
            <w:vAlign w:val="bottom"/>
            <w:vMerge w:val="restart"/>
            <w:shd w:val="clear" w:color="auto" w:fill="98A0B5"/>
          </w:tcPr>
          <w:p>
            <w:pPr>
              <w:jc w:val="center"/>
              <w:spacing w:after="0" w:line="202" w:lineRule="exact"/>
              <w:rPr>
                <w:sz w:val="20"/>
                <w:szCs w:val="20"/>
                <w:color w:val="auto"/>
              </w:rPr>
            </w:pPr>
            <w:r>
              <w:rPr>
                <w:rFonts w:ascii="Arial" w:cs="Arial" w:eastAsia="Arial" w:hAnsi="Arial"/>
                <w:sz w:val="18"/>
                <w:szCs w:val="18"/>
                <w:b w:val="1"/>
                <w:bCs w:val="1"/>
                <w:color w:val="345988"/>
                <w:w w:val="96"/>
              </w:rPr>
              <w:t>Owner of Office</w:t>
            </w:r>
          </w:p>
        </w:tc>
        <w:tc>
          <w:tcPr>
            <w:tcW w:w="2440" w:type="dxa"/>
            <w:vAlign w:val="bottom"/>
            <w:vMerge w:val="continue"/>
            <w:shd w:val="clear" w:color="auto" w:fill="98A0B5"/>
          </w:tcPr>
          <w:p>
            <w:pPr>
              <w:spacing w:after="0"/>
              <w:rPr>
                <w:sz w:val="7"/>
                <w:szCs w:val="7"/>
                <w:color w:val="auto"/>
              </w:rPr>
            </w:pPr>
          </w:p>
        </w:tc>
        <w:tc>
          <w:tcPr>
            <w:tcW w:w="2420" w:type="dxa"/>
            <w:vAlign w:val="bottom"/>
            <w:vMerge w:val="continue"/>
            <w:shd w:val="clear" w:color="auto" w:fill="98A0B5"/>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500" w:type="dxa"/>
            <w:vAlign w:val="bottom"/>
          </w:tcPr>
          <w:p>
            <w:pPr>
              <w:spacing w:after="0"/>
              <w:rPr>
                <w:sz w:val="10"/>
                <w:szCs w:val="10"/>
                <w:color w:val="auto"/>
              </w:rPr>
            </w:pPr>
          </w:p>
        </w:tc>
        <w:tc>
          <w:tcPr>
            <w:tcW w:w="246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7"/>
              </w:rPr>
              <w:t>Combined Revenues</w:t>
            </w:r>
          </w:p>
        </w:tc>
        <w:tc>
          <w:tcPr>
            <w:tcW w:w="2600" w:type="dxa"/>
            <w:vAlign w:val="bottom"/>
            <w:vMerge w:val="continue"/>
            <w:shd w:val="clear" w:color="auto" w:fill="98A0B5"/>
          </w:tcPr>
          <w:p>
            <w:pPr>
              <w:spacing w:after="0"/>
              <w:rPr>
                <w:sz w:val="10"/>
                <w:szCs w:val="10"/>
                <w:color w:val="auto"/>
              </w:rPr>
            </w:pPr>
          </w:p>
        </w:tc>
        <w:tc>
          <w:tcPr>
            <w:tcW w:w="2440" w:type="dxa"/>
            <w:vAlign w:val="bottom"/>
            <w:vMerge w:val="restart"/>
            <w:shd w:val="clear" w:color="auto" w:fill="98A0B5"/>
          </w:tcPr>
          <w:p>
            <w:pPr>
              <w:jc w:val="center"/>
              <w:ind w:right="42"/>
              <w:spacing w:after="0" w:line="299" w:lineRule="exact"/>
              <w:rPr>
                <w:sz w:val="20"/>
                <w:szCs w:val="20"/>
                <w:color w:val="auto"/>
              </w:rPr>
            </w:pPr>
            <w:r>
              <w:rPr>
                <w:rFonts w:ascii="Arial" w:cs="Arial" w:eastAsia="Arial" w:hAnsi="Arial"/>
                <w:sz w:val="18"/>
                <w:szCs w:val="18"/>
                <w:b w:val="1"/>
                <w:bCs w:val="1"/>
                <w:color w:val="345988"/>
                <w:w w:val="95"/>
              </w:rPr>
              <w:t>Total Square Feet</w:t>
            </w:r>
            <w:r>
              <w:rPr>
                <w:rFonts w:ascii="Arial" w:cs="Arial" w:eastAsia="Arial" w:hAnsi="Arial"/>
                <w:sz w:val="29"/>
                <w:szCs w:val="29"/>
                <w:b w:val="1"/>
                <w:bCs w:val="1"/>
                <w:color w:val="345988"/>
                <w:w w:val="95"/>
                <w:vertAlign w:val="superscript"/>
              </w:rPr>
              <w:t>2</w:t>
            </w:r>
          </w:p>
        </w:tc>
        <w:tc>
          <w:tcPr>
            <w:tcW w:w="242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7"/>
              </w:rPr>
              <w:t>Enterprise Value</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2460" w:type="dxa"/>
            <w:vAlign w:val="bottom"/>
            <w:vMerge w:val="continue"/>
            <w:shd w:val="clear" w:color="auto" w:fill="98A0B5"/>
          </w:tcPr>
          <w:p>
            <w:pPr>
              <w:spacing w:after="0"/>
              <w:rPr>
                <w:sz w:val="15"/>
                <w:szCs w:val="15"/>
                <w:color w:val="auto"/>
              </w:rPr>
            </w:pPr>
          </w:p>
        </w:tc>
        <w:tc>
          <w:tcPr>
            <w:tcW w:w="2600" w:type="dxa"/>
            <w:vAlign w:val="bottom"/>
            <w:vMerge w:val="restart"/>
            <w:shd w:val="clear" w:color="auto" w:fill="98A0B5"/>
          </w:tcPr>
          <w:p>
            <w:pPr>
              <w:jc w:val="center"/>
              <w:spacing w:after="0"/>
              <w:rPr>
                <w:sz w:val="20"/>
                <w:szCs w:val="20"/>
                <w:color w:val="auto"/>
              </w:rPr>
            </w:pPr>
            <w:r>
              <w:rPr>
                <w:rFonts w:ascii="Arial" w:cs="Arial" w:eastAsia="Arial" w:hAnsi="Arial"/>
                <w:sz w:val="18"/>
                <w:szCs w:val="18"/>
                <w:b w:val="1"/>
                <w:bCs w:val="1"/>
                <w:color w:val="345988"/>
                <w:w w:val="97"/>
              </w:rPr>
              <w:t>Property in Manhattan</w:t>
            </w:r>
          </w:p>
        </w:tc>
        <w:tc>
          <w:tcPr>
            <w:tcW w:w="2440" w:type="dxa"/>
            <w:vAlign w:val="bottom"/>
            <w:vMerge w:val="continue"/>
            <w:shd w:val="clear" w:color="auto" w:fill="98A0B5"/>
          </w:tcPr>
          <w:p>
            <w:pPr>
              <w:spacing w:after="0"/>
              <w:rPr>
                <w:sz w:val="15"/>
                <w:szCs w:val="15"/>
                <w:color w:val="auto"/>
              </w:rPr>
            </w:pPr>
          </w:p>
        </w:tc>
        <w:tc>
          <w:tcPr>
            <w:tcW w:w="2420" w:type="dxa"/>
            <w:vAlign w:val="bottom"/>
            <w:vMerge w:val="continue"/>
            <w:shd w:val="clear" w:color="auto" w:fill="98A0B5"/>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2460" w:type="dxa"/>
            <w:vAlign w:val="bottom"/>
            <w:shd w:val="clear" w:color="auto" w:fill="98A0B5"/>
          </w:tcPr>
          <w:p>
            <w:pPr>
              <w:spacing w:after="0"/>
              <w:rPr>
                <w:sz w:val="5"/>
                <w:szCs w:val="5"/>
                <w:color w:val="auto"/>
              </w:rPr>
            </w:pPr>
          </w:p>
        </w:tc>
        <w:tc>
          <w:tcPr>
            <w:tcW w:w="2600" w:type="dxa"/>
            <w:vAlign w:val="bottom"/>
            <w:vMerge w:val="continue"/>
            <w:shd w:val="clear" w:color="auto" w:fill="98A0B5"/>
          </w:tcPr>
          <w:p>
            <w:pPr>
              <w:spacing w:after="0"/>
              <w:rPr>
                <w:sz w:val="5"/>
                <w:szCs w:val="5"/>
                <w:color w:val="auto"/>
              </w:rPr>
            </w:pPr>
          </w:p>
        </w:tc>
        <w:tc>
          <w:tcPr>
            <w:tcW w:w="2440" w:type="dxa"/>
            <w:vAlign w:val="bottom"/>
            <w:shd w:val="clear" w:color="auto" w:fill="98A0B5"/>
          </w:tcPr>
          <w:p>
            <w:pPr>
              <w:spacing w:after="0"/>
              <w:rPr>
                <w:sz w:val="5"/>
                <w:szCs w:val="5"/>
                <w:color w:val="auto"/>
              </w:rPr>
            </w:pPr>
          </w:p>
        </w:tc>
        <w:tc>
          <w:tcPr>
            <w:tcW w:w="2420" w:type="dxa"/>
            <w:vAlign w:val="bottom"/>
            <w:shd w:val="clear" w:color="auto" w:fill="98A0B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-445135</wp:posOffset>
            </wp:positionV>
            <wp:extent cx="889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-445135</wp:posOffset>
            </wp:positionV>
            <wp:extent cx="889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-445135</wp:posOffset>
            </wp:positionV>
            <wp:extent cx="889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44577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three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989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89455"/>
                    </a:xfrm>
                    <a:prstGeom prst="rect">
                      <a:avLst/>
                    </a:prstGeom>
                    <a:noFill/>
                  </pic:spPr>
                </pic:pic>
              </a:graphicData>
            </a:graphic>
          </wp:anchor>
        </w:drawing>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Active and Engaged Business Strategy</w:t>
      </w:r>
    </w:p>
    <w:p>
      <w:pPr>
        <w:spacing w:after="0" w:line="79" w:lineRule="exact"/>
        <w:rPr>
          <w:sz w:val="20"/>
          <w:szCs w:val="20"/>
          <w:color w:val="auto"/>
        </w:rPr>
      </w:pPr>
    </w:p>
    <w:p>
      <w:pPr>
        <w:ind w:left="340" w:hanging="201"/>
        <w:spacing w:after="0"/>
        <w:tabs>
          <w:tab w:leader="none" w:pos="340" w:val="left"/>
        </w:tabs>
        <w:numPr>
          <w:ilvl w:val="0"/>
          <w:numId w:val="4"/>
        </w:numPr>
        <w:rPr>
          <w:rFonts w:ascii="Arial" w:cs="Arial" w:eastAsia="Arial" w:hAnsi="Arial"/>
          <w:sz w:val="13"/>
          <w:szCs w:val="13"/>
          <w:color w:val="FFFFFF"/>
        </w:rPr>
      </w:pPr>
      <w:r>
        <w:rPr>
          <w:rFonts w:ascii="Arial" w:cs="Arial" w:eastAsia="Arial" w:hAnsi="Arial"/>
          <w:sz w:val="14"/>
          <w:szCs w:val="14"/>
          <w:b w:val="1"/>
          <w:bCs w:val="1"/>
          <w:color w:val="345988"/>
        </w:rPr>
        <w:t>SLG does not subscribe to a traditional “buy and hold” strategy and is a very active transaction-oriented company</w:t>
      </w:r>
    </w:p>
    <w:p>
      <w:pPr>
        <w:spacing w:after="0" w:line="55" w:lineRule="exact"/>
        <w:rPr>
          <w:rFonts w:ascii="Arial" w:cs="Arial" w:eastAsia="Arial" w:hAnsi="Arial"/>
          <w:sz w:val="13"/>
          <w:szCs w:val="13"/>
          <w:color w:val="FFFFFF"/>
        </w:rPr>
      </w:pPr>
    </w:p>
    <w:p>
      <w:pPr>
        <w:ind w:left="340" w:hanging="201"/>
        <w:spacing w:after="0"/>
        <w:tabs>
          <w:tab w:leader="none" w:pos="340" w:val="left"/>
        </w:tabs>
        <w:numPr>
          <w:ilvl w:val="0"/>
          <w:numId w:val="4"/>
        </w:numPr>
        <w:rPr>
          <w:rFonts w:ascii="Arial" w:cs="Arial" w:eastAsia="Arial" w:hAnsi="Arial"/>
          <w:sz w:val="13"/>
          <w:szCs w:val="13"/>
          <w:color w:val="FFFFFF"/>
        </w:rPr>
      </w:pPr>
      <w:r>
        <w:rPr>
          <w:rFonts w:ascii="Arial" w:cs="Arial" w:eastAsia="Arial" w:hAnsi="Arial"/>
          <w:sz w:val="14"/>
          <w:szCs w:val="14"/>
          <w:b w:val="1"/>
          <w:bCs w:val="1"/>
          <w:color w:val="345988"/>
        </w:rPr>
        <w:t>In any given year, we execute more transactions than many of our competitors do over a much longer, multi-year period</w:t>
      </w:r>
    </w:p>
    <w:p>
      <w:pPr>
        <w:spacing w:after="0" w:line="68" w:lineRule="exact"/>
        <w:rPr>
          <w:rFonts w:ascii="Arial" w:cs="Arial" w:eastAsia="Arial" w:hAnsi="Arial"/>
          <w:sz w:val="13"/>
          <w:szCs w:val="13"/>
          <w:color w:val="FFFFFF"/>
        </w:rPr>
      </w:pPr>
    </w:p>
    <w:p>
      <w:pPr>
        <w:ind w:left="340" w:hanging="201"/>
        <w:spacing w:after="0"/>
        <w:tabs>
          <w:tab w:leader="none" w:pos="340" w:val="left"/>
        </w:tabs>
        <w:numPr>
          <w:ilvl w:val="0"/>
          <w:numId w:val="4"/>
        </w:numPr>
        <w:rPr>
          <w:rFonts w:ascii="Arial" w:cs="Arial" w:eastAsia="Arial" w:hAnsi="Arial"/>
          <w:sz w:val="13"/>
          <w:szCs w:val="13"/>
          <w:color w:val="FFFFFF"/>
        </w:rPr>
      </w:pPr>
      <w:r>
        <w:rPr>
          <w:rFonts w:ascii="Arial" w:cs="Arial" w:eastAsia="Arial" w:hAnsi="Arial"/>
          <w:sz w:val="14"/>
          <w:szCs w:val="14"/>
          <w:b w:val="1"/>
          <w:bCs w:val="1"/>
          <w:color w:val="345988"/>
        </w:rPr>
        <w:t>Accordingly, we frequently capitalize on opportunities in the market, maximizing returns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Operations on Multiple Platforms</w:t>
      </w:r>
    </w:p>
    <w:p>
      <w:pPr>
        <w:spacing w:after="0" w:line="79" w:lineRule="exact"/>
        <w:rPr>
          <w:sz w:val="20"/>
          <w:szCs w:val="20"/>
          <w:color w:val="auto"/>
        </w:rPr>
      </w:pPr>
    </w:p>
    <w:p>
      <w:pPr>
        <w:ind w:left="340" w:hanging="201"/>
        <w:spacing w:after="0"/>
        <w:tabs>
          <w:tab w:leader="none" w:pos="340" w:val="left"/>
        </w:tabs>
        <w:numPr>
          <w:ilvl w:val="0"/>
          <w:numId w:val="5"/>
        </w:numPr>
        <w:rPr>
          <w:rFonts w:ascii="Arial" w:cs="Arial" w:eastAsia="Arial" w:hAnsi="Arial"/>
          <w:sz w:val="13"/>
          <w:szCs w:val="13"/>
          <w:color w:val="FFFFFF"/>
        </w:rPr>
      </w:pPr>
      <w:r>
        <w:rPr>
          <w:rFonts w:ascii="Arial" w:cs="Arial" w:eastAsia="Arial" w:hAnsi="Arial"/>
          <w:sz w:val="14"/>
          <w:szCs w:val="14"/>
          <w:b w:val="1"/>
          <w:bCs w:val="1"/>
          <w:color w:val="345988"/>
        </w:rPr>
        <w:t>Buy and sell properties independently and collaborate with other organizations through joint ventures when advantageous</w:t>
      </w:r>
    </w:p>
    <w:p>
      <w:pPr>
        <w:spacing w:after="0" w:line="55" w:lineRule="exact"/>
        <w:rPr>
          <w:rFonts w:ascii="Arial" w:cs="Arial" w:eastAsia="Arial" w:hAnsi="Arial"/>
          <w:sz w:val="13"/>
          <w:szCs w:val="13"/>
          <w:color w:val="FFFFFF"/>
        </w:rPr>
      </w:pPr>
    </w:p>
    <w:p>
      <w:pPr>
        <w:ind w:left="340" w:hanging="201"/>
        <w:spacing w:after="0"/>
        <w:tabs>
          <w:tab w:leader="none" w:pos="340" w:val="left"/>
        </w:tabs>
        <w:numPr>
          <w:ilvl w:val="0"/>
          <w:numId w:val="5"/>
        </w:numPr>
        <w:rPr>
          <w:rFonts w:ascii="Arial" w:cs="Arial" w:eastAsia="Arial" w:hAnsi="Arial"/>
          <w:sz w:val="13"/>
          <w:szCs w:val="13"/>
          <w:color w:val="FFFFFF"/>
        </w:rPr>
      </w:pPr>
      <w:r>
        <w:rPr>
          <w:rFonts w:ascii="Arial" w:cs="Arial" w:eastAsia="Arial" w:hAnsi="Arial"/>
          <w:sz w:val="14"/>
          <w:szCs w:val="14"/>
          <w:b w:val="1"/>
          <w:bCs w:val="1"/>
          <w:color w:val="345988"/>
        </w:rPr>
        <w:t>Invest in redeveloping existing assets (e.g. 609 Fifth Avenue) and developing projects from the ground up (e.g. One Vanderbilt)</w:t>
      </w:r>
    </w:p>
    <w:p>
      <w:pPr>
        <w:spacing w:after="0" w:line="68" w:lineRule="exact"/>
        <w:rPr>
          <w:rFonts w:ascii="Arial" w:cs="Arial" w:eastAsia="Arial" w:hAnsi="Arial"/>
          <w:sz w:val="13"/>
          <w:szCs w:val="13"/>
          <w:color w:val="FFFFFF"/>
        </w:rPr>
      </w:pPr>
    </w:p>
    <w:p>
      <w:pPr>
        <w:ind w:left="380" w:right="400" w:hanging="241"/>
        <w:spacing w:after="0" w:line="247" w:lineRule="auto"/>
        <w:tabs>
          <w:tab w:leader="none" w:pos="357" w:val="left"/>
        </w:tabs>
        <w:numPr>
          <w:ilvl w:val="0"/>
          <w:numId w:val="5"/>
        </w:numPr>
        <w:rPr>
          <w:rFonts w:ascii="Arial" w:cs="Arial" w:eastAsia="Arial" w:hAnsi="Arial"/>
          <w:sz w:val="13"/>
          <w:szCs w:val="13"/>
          <w:color w:val="FFFFFF"/>
        </w:rPr>
      </w:pPr>
      <w:r>
        <w:rPr>
          <w:rFonts w:ascii="Arial" w:cs="Arial" w:eastAsia="Arial" w:hAnsi="Arial"/>
          <w:sz w:val="14"/>
          <w:szCs w:val="14"/>
          <w:b w:val="1"/>
          <w:bCs w:val="1"/>
          <w:color w:val="345988"/>
        </w:rPr>
        <w:t>Provide financing for other real estate related entities through our debt and preferred equity platform – a unique business that we operate at a scale unmatched by our peers and that provides us a diversified source of revenue and market intelligence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45988"/>
        </w:rPr>
        <w:t>NYC-Focused Business Model</w:t>
      </w:r>
    </w:p>
    <w:p>
      <w:pPr>
        <w:spacing w:after="0" w:line="79" w:lineRule="exact"/>
        <w:rPr>
          <w:sz w:val="20"/>
          <w:szCs w:val="20"/>
          <w:color w:val="auto"/>
        </w:rPr>
      </w:pPr>
    </w:p>
    <w:p>
      <w:pPr>
        <w:ind w:left="340" w:hanging="201"/>
        <w:spacing w:after="0"/>
        <w:tabs>
          <w:tab w:leader="none" w:pos="340" w:val="left"/>
        </w:tabs>
        <w:numPr>
          <w:ilvl w:val="0"/>
          <w:numId w:val="6"/>
        </w:numPr>
        <w:rPr>
          <w:rFonts w:ascii="Arial" w:cs="Arial" w:eastAsia="Arial" w:hAnsi="Arial"/>
          <w:sz w:val="12"/>
          <w:szCs w:val="12"/>
          <w:color w:val="FFFFFF"/>
        </w:rPr>
      </w:pPr>
      <w:r>
        <w:rPr>
          <w:rFonts w:ascii="Arial" w:cs="Arial" w:eastAsia="Arial" w:hAnsi="Arial"/>
          <w:sz w:val="12"/>
          <w:szCs w:val="12"/>
          <w:b w:val="1"/>
          <w:bCs w:val="1"/>
          <w:color w:val="345988"/>
        </w:rPr>
        <w:t>Singularly focused on New York City real estate – one of the most liquid and resilient markets through business cycles, and also one of the most complex and competitive</w:t>
      </w:r>
    </w:p>
    <w:p>
      <w:pPr>
        <w:spacing w:after="0" w:line="78" w:lineRule="exact"/>
        <w:rPr>
          <w:rFonts w:ascii="Arial" w:cs="Arial" w:eastAsia="Arial" w:hAnsi="Arial"/>
          <w:sz w:val="12"/>
          <w:szCs w:val="12"/>
          <w:color w:val="FFFFFF"/>
        </w:rPr>
      </w:pPr>
    </w:p>
    <w:p>
      <w:pPr>
        <w:ind w:left="340" w:hanging="201"/>
        <w:spacing w:after="0"/>
        <w:tabs>
          <w:tab w:leader="none" w:pos="340" w:val="left"/>
        </w:tabs>
        <w:numPr>
          <w:ilvl w:val="0"/>
          <w:numId w:val="6"/>
        </w:numPr>
        <w:rPr>
          <w:rFonts w:ascii="Arial" w:cs="Arial" w:eastAsia="Arial" w:hAnsi="Arial"/>
          <w:sz w:val="13"/>
          <w:szCs w:val="13"/>
          <w:color w:val="FFFFFF"/>
        </w:rPr>
      </w:pPr>
      <w:r>
        <w:rPr>
          <w:rFonts w:ascii="Arial" w:cs="Arial" w:eastAsia="Arial" w:hAnsi="Arial"/>
          <w:sz w:val="14"/>
          <w:szCs w:val="14"/>
          <w:b w:val="1"/>
          <w:bCs w:val="1"/>
          <w:color w:val="345988"/>
        </w:rPr>
        <w:t>Presence and operations in this complex and highly competitive market necessitate a top level of talent in our executive ranks</w:t>
      </w:r>
    </w:p>
    <w:p>
      <w:pPr>
        <w:spacing w:after="0" w:line="68" w:lineRule="exact"/>
        <w:rPr>
          <w:rFonts w:ascii="Arial" w:cs="Arial" w:eastAsia="Arial" w:hAnsi="Arial"/>
          <w:sz w:val="13"/>
          <w:szCs w:val="13"/>
          <w:color w:val="FFFFFF"/>
        </w:rPr>
      </w:pPr>
    </w:p>
    <w:p>
      <w:pPr>
        <w:ind w:left="380" w:right="240" w:hanging="241"/>
        <w:spacing w:after="0" w:line="247" w:lineRule="auto"/>
        <w:tabs>
          <w:tab w:leader="none" w:pos="357" w:val="left"/>
        </w:tabs>
        <w:numPr>
          <w:ilvl w:val="0"/>
          <w:numId w:val="6"/>
        </w:numPr>
        <w:rPr>
          <w:rFonts w:ascii="Arial" w:cs="Arial" w:eastAsia="Arial" w:hAnsi="Arial"/>
          <w:sz w:val="13"/>
          <w:szCs w:val="13"/>
          <w:color w:val="FFFFFF"/>
        </w:rPr>
      </w:pPr>
      <w:r>
        <w:rPr>
          <w:rFonts w:ascii="Arial" w:cs="Arial" w:eastAsia="Arial" w:hAnsi="Arial"/>
          <w:sz w:val="14"/>
          <w:szCs w:val="14"/>
          <w:b w:val="1"/>
          <w:bCs w:val="1"/>
          <w:color w:val="345988"/>
        </w:rPr>
        <w:t>Our leadership team allows us to be very efficient, with an employee base much smaller than other fully-integrated “gateway city” real estate companies that transact far less business than SLG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595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Growth in FFO Per Share</w:t>
      </w:r>
    </w:p>
    <w:p>
      <w:pPr>
        <w:spacing w:after="0" w:line="8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345988"/>
        </w:rPr>
        <w:t>Normalized FFO Per Share</w:t>
      </w:r>
      <w:r>
        <w:rPr>
          <w:rFonts w:ascii="Arial" w:cs="Arial" w:eastAsia="Arial" w:hAnsi="Arial"/>
          <w:sz w:val="22"/>
          <w:szCs w:val="22"/>
          <w:b w:val="1"/>
          <w:bCs w:val="1"/>
          <w:color w:val="345988"/>
          <w:vertAlign w:val="superscript"/>
        </w:rPr>
        <w:t>(3)</w:t>
      </w:r>
    </w:p>
    <w:p>
      <w:pPr>
        <w:spacing w:after="0" w:line="315"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16%</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345988"/>
        </w:rPr>
        <w:t>growth in normalized FFO per</w:t>
      </w:r>
    </w:p>
    <w:p>
      <w:pPr>
        <w:ind w:left="400"/>
        <w:spacing w:after="0"/>
        <w:rPr>
          <w:sz w:val="20"/>
          <w:szCs w:val="20"/>
          <w:color w:val="auto"/>
        </w:rPr>
      </w:pPr>
      <w:r>
        <w:rPr>
          <w:rFonts w:ascii="Arial" w:cs="Arial" w:eastAsia="Arial" w:hAnsi="Arial"/>
          <w:sz w:val="22"/>
          <w:szCs w:val="22"/>
          <w:b w:val="1"/>
          <w:bCs w:val="1"/>
          <w:color w:val="345988"/>
        </w:rPr>
        <w:t>share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646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345988"/>
        </w:rPr>
        <w:t>Superior Long-Term TSR</w:t>
      </w:r>
    </w:p>
    <w:p>
      <w:pPr>
        <w:spacing w:after="0" w:line="88"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345988"/>
        </w:rPr>
        <w:t>SLG TSR % vs. MSCI U.S. REIT Index Total Return</w:t>
      </w:r>
      <w:r>
        <w:rPr>
          <w:rFonts w:ascii="Arial" w:cs="Arial" w:eastAsia="Arial" w:hAnsi="Arial"/>
          <w:sz w:val="22"/>
          <w:szCs w:val="22"/>
          <w:b w:val="1"/>
          <w:bCs w:val="1"/>
          <w:color w:val="345988"/>
          <w:vertAlign w:val="superscript"/>
        </w:rPr>
        <w:t>(4)</w:t>
      </w:r>
    </w:p>
    <w:p>
      <w:pPr>
        <w:spacing w:after="0" w:line="200" w:lineRule="exact"/>
        <w:rPr>
          <w:sz w:val="20"/>
          <w:szCs w:val="20"/>
          <w:color w:val="auto"/>
        </w:rPr>
      </w:pPr>
    </w:p>
    <w:p>
      <w:pPr>
        <w:spacing w:after="0" w:line="346" w:lineRule="exact"/>
        <w:rPr>
          <w:sz w:val="20"/>
          <w:szCs w:val="20"/>
          <w:color w:val="auto"/>
        </w:rPr>
      </w:pPr>
    </w:p>
    <w:p>
      <w:pPr>
        <w:ind w:left="9040" w:right="200"/>
        <w:spacing w:after="0" w:line="244" w:lineRule="auto"/>
        <w:rPr>
          <w:sz w:val="20"/>
          <w:szCs w:val="20"/>
          <w:color w:val="auto"/>
        </w:rPr>
      </w:pPr>
      <w:r>
        <w:rPr>
          <w:rFonts w:ascii="Arial" w:cs="Arial" w:eastAsia="Arial" w:hAnsi="Arial"/>
          <w:sz w:val="18"/>
          <w:szCs w:val="18"/>
          <w:b w:val="1"/>
          <w:bCs w:val="1"/>
          <w:color w:val="FFFFFF"/>
        </w:rPr>
        <w:t>We have continued to deliver superior long-term return to stockholders, or TSR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4"/>
          <w:szCs w:val="14"/>
          <w:color w:val="auto"/>
        </w:rPr>
        <w:t>Data as of 12/31/2018</w:t>
      </w:r>
    </w:p>
    <w:p>
      <w:pPr>
        <w:spacing w:after="0" w:line="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debt and preferred equity investments and suburban properties</w:t>
      </w:r>
    </w:p>
    <w:p>
      <w:pPr>
        <w:spacing w:after="0" w:line="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Refer to Appendix A to this proxy statement for a reconciliation of Normalized FFO</w:t>
      </w:r>
    </w:p>
    <w:p>
      <w:pPr>
        <w:spacing w:after="0" w:line="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3"/>
          <w:szCs w:val="13"/>
          <w:color w:val="auto"/>
        </w:rPr>
        <w:t>Source: Bloomberg (data as of 12/31/2008 – 12/31/2018)</w:t>
      </w:r>
    </w:p>
    <w:p>
      <w:pPr>
        <w:spacing w:after="0" w:line="23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2019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Stockholder Engagement and Responsiveness – Significant Changes for 2019</w:t>
      </w:r>
    </w:p>
    <w:p>
      <w:pPr>
        <w:spacing w:after="0" w:line="234"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Since the 2018 annual meeting, we have reached out to over 70% of stockholders. In response to feedback from our engagement efforts, our Board reduced director compensation, and the Compensation Committee fundamentally redesigned our executive compensation program to implement the following changes: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Arial" w:cs="Arial" w:eastAsia="Arial" w:hAnsi="Arial"/>
                <w:sz w:val="14"/>
                <w:szCs w:val="14"/>
                <w:b w:val="1"/>
                <w:bCs w:val="1"/>
                <w:color w:val="345988"/>
              </w:rPr>
              <w:t>Stockholder Feedback</w:t>
            </w:r>
          </w:p>
        </w:tc>
        <w:tc>
          <w:tcPr>
            <w:tcW w:w="2060" w:type="dxa"/>
            <w:vAlign w:val="bottom"/>
            <w:gridSpan w:val="3"/>
          </w:tcPr>
          <w:p>
            <w:pPr>
              <w:ind w:left="100"/>
              <w:spacing w:after="0"/>
              <w:rPr>
                <w:sz w:val="20"/>
                <w:szCs w:val="20"/>
                <w:color w:val="auto"/>
              </w:rPr>
            </w:pPr>
            <w:r>
              <w:rPr>
                <w:rFonts w:ascii="Arial" w:cs="Arial" w:eastAsia="Arial" w:hAnsi="Arial"/>
                <w:sz w:val="14"/>
                <w:szCs w:val="14"/>
                <w:b w:val="1"/>
                <w:bCs w:val="1"/>
                <w:color w:val="345988"/>
              </w:rPr>
              <w:t>Action</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60" w:type="dxa"/>
            <w:vAlign w:val="bottom"/>
            <w:tcBorders>
              <w:bottom w:val="single" w:sz="8" w:color="345988"/>
            </w:tcBorders>
          </w:tcPr>
          <w:p>
            <w:pPr>
              <w:ind w:left="120"/>
              <w:spacing w:after="0"/>
              <w:rPr>
                <w:sz w:val="20"/>
                <w:szCs w:val="20"/>
                <w:color w:val="auto"/>
              </w:rPr>
            </w:pPr>
            <w:r>
              <w:rPr>
                <w:rFonts w:ascii="Arial" w:cs="Arial" w:eastAsia="Arial" w:hAnsi="Arial"/>
                <w:sz w:val="14"/>
                <w:szCs w:val="14"/>
                <w:b w:val="1"/>
                <w:bCs w:val="1"/>
                <w:color w:val="345988"/>
              </w:rPr>
              <w:t>Element</w:t>
            </w:r>
          </w:p>
        </w:tc>
        <w:tc>
          <w:tcPr>
            <w:tcW w:w="2240" w:type="dxa"/>
            <w:vAlign w:val="bottom"/>
            <w:tcBorders>
              <w:bottom w:val="single" w:sz="8" w:color="345988"/>
            </w:tcBorders>
            <w:gridSpan w:val="2"/>
          </w:tcPr>
          <w:p>
            <w:pPr>
              <w:ind w:left="160"/>
              <w:spacing w:after="0"/>
              <w:rPr>
                <w:sz w:val="20"/>
                <w:szCs w:val="20"/>
                <w:color w:val="auto"/>
              </w:rPr>
            </w:pPr>
            <w:r>
              <w:rPr>
                <w:rFonts w:ascii="Arial" w:cs="Arial" w:eastAsia="Arial" w:hAnsi="Arial"/>
                <w:sz w:val="14"/>
                <w:szCs w:val="14"/>
                <w:b w:val="1"/>
                <w:bCs w:val="1"/>
                <w:color w:val="345988"/>
              </w:rPr>
              <w:t>(“What We Heard”)</w:t>
            </w:r>
          </w:p>
        </w:tc>
        <w:tc>
          <w:tcPr>
            <w:tcW w:w="2060" w:type="dxa"/>
            <w:vAlign w:val="bottom"/>
            <w:tcBorders>
              <w:bottom w:val="single" w:sz="8" w:color="345988"/>
            </w:tcBorders>
            <w:gridSpan w:val="3"/>
          </w:tcPr>
          <w:p>
            <w:pPr>
              <w:ind w:left="100"/>
              <w:spacing w:after="0"/>
              <w:rPr>
                <w:sz w:val="20"/>
                <w:szCs w:val="20"/>
                <w:color w:val="auto"/>
              </w:rPr>
            </w:pPr>
            <w:r>
              <w:rPr>
                <w:rFonts w:ascii="Arial" w:cs="Arial" w:eastAsia="Arial" w:hAnsi="Arial"/>
                <w:sz w:val="14"/>
                <w:szCs w:val="14"/>
                <w:b w:val="1"/>
                <w:bCs w:val="1"/>
                <w:color w:val="345988"/>
              </w:rPr>
              <w:t>(“What We Did”)</w:t>
            </w:r>
          </w:p>
        </w:tc>
        <w:tc>
          <w:tcPr>
            <w:tcW w:w="2020" w:type="dxa"/>
            <w:vAlign w:val="bottom"/>
            <w:tcBorders>
              <w:bottom w:val="single" w:sz="8" w:color="345988"/>
            </w:tcBorders>
          </w:tcPr>
          <w:p>
            <w:pPr>
              <w:ind w:left="100"/>
              <w:spacing w:after="0"/>
              <w:rPr>
                <w:sz w:val="20"/>
                <w:szCs w:val="20"/>
                <w:color w:val="auto"/>
              </w:rPr>
            </w:pPr>
            <w:r>
              <w:rPr>
                <w:rFonts w:ascii="Arial" w:cs="Arial" w:eastAsia="Arial" w:hAnsi="Arial"/>
                <w:sz w:val="14"/>
                <w:szCs w:val="14"/>
                <w:b w:val="1"/>
                <w:bCs w:val="1"/>
                <w:color w:val="345988"/>
              </w:rPr>
              <w:t>Executive</w:t>
            </w:r>
          </w:p>
        </w:tc>
        <w:tc>
          <w:tcPr>
            <w:tcW w:w="1520" w:type="dxa"/>
            <w:vAlign w:val="bottom"/>
            <w:tcBorders>
              <w:bottom w:val="single" w:sz="8" w:color="345988"/>
            </w:tcBorders>
          </w:tcPr>
          <w:p>
            <w:pPr>
              <w:ind w:left="240"/>
              <w:spacing w:after="0"/>
              <w:rPr>
                <w:sz w:val="20"/>
                <w:szCs w:val="20"/>
                <w:color w:val="auto"/>
              </w:rPr>
            </w:pPr>
            <w:r>
              <w:rPr>
                <w:rFonts w:ascii="Arial" w:cs="Arial" w:eastAsia="Arial" w:hAnsi="Arial"/>
                <w:sz w:val="14"/>
                <w:szCs w:val="14"/>
                <w:b w:val="1"/>
                <w:bCs w:val="1"/>
                <w:color w:val="345988"/>
              </w:rPr>
              <w:t>Effective</w:t>
            </w:r>
          </w:p>
        </w:tc>
        <w:tc>
          <w:tcPr>
            <w:tcW w:w="1920" w:type="dxa"/>
            <w:vAlign w:val="bottom"/>
            <w:tcBorders>
              <w:bottom w:val="single" w:sz="8" w:color="345988"/>
            </w:tcBorders>
            <w:gridSpan w:val="2"/>
          </w:tcPr>
          <w:p>
            <w:pPr>
              <w:ind w:left="120"/>
              <w:spacing w:after="0"/>
              <w:rPr>
                <w:sz w:val="20"/>
                <w:szCs w:val="20"/>
                <w:color w:val="auto"/>
              </w:rPr>
            </w:pPr>
            <w:r>
              <w:rPr>
                <w:rFonts w:ascii="Arial" w:cs="Arial" w:eastAsia="Arial" w:hAnsi="Arial"/>
                <w:sz w:val="14"/>
                <w:szCs w:val="14"/>
                <w:b w:val="1"/>
                <w:bCs w:val="1"/>
                <w:color w:val="345988"/>
              </w:rPr>
              <w:t>Impact</w:t>
            </w: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2240" w:type="dxa"/>
            <w:vAlign w:val="bottom"/>
            <w:gridSpan w:val="2"/>
            <w:vMerge w:val="restart"/>
          </w:tcPr>
          <w:p>
            <w:pPr>
              <w:ind w:left="1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Base salary and deferred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20" w:type="dxa"/>
            <w:vAlign w:val="bottom"/>
            <w:vMerge w:val="restart"/>
          </w:tcPr>
          <w:p>
            <w:pPr>
              <w:ind w:left="240"/>
              <w:spacing w:after="0"/>
              <w:rPr>
                <w:sz w:val="20"/>
                <w:szCs w:val="20"/>
                <w:color w:val="auto"/>
              </w:rPr>
            </w:pPr>
            <w:r>
              <w:rPr>
                <w:rFonts w:ascii="Arial" w:cs="Arial" w:eastAsia="Arial" w:hAnsi="Arial"/>
                <w:sz w:val="14"/>
                <w:szCs w:val="14"/>
                <w:color w:val="auto"/>
              </w:rPr>
              <w:t>Retroactive to</w:t>
            </w:r>
          </w:p>
        </w:tc>
        <w:tc>
          <w:tcPr>
            <w:tcW w:w="260" w:type="dxa"/>
            <w:vAlign w:val="bottom"/>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rPr>
                <w:sz w:val="20"/>
                <w:szCs w:val="20"/>
                <w:color w:val="auto"/>
              </w:rPr>
            </w:pPr>
            <w:r>
              <w:rPr>
                <w:rFonts w:ascii="Arial" w:cs="Arial" w:eastAsia="Arial" w:hAnsi="Arial"/>
                <w:sz w:val="14"/>
                <w:szCs w:val="14"/>
                <w:color w:val="auto"/>
              </w:rPr>
              <w:t>Reduces fixed pay</w:t>
            </w:r>
          </w:p>
        </w:tc>
        <w:tc>
          <w:tcPr>
            <w:tcW w:w="0" w:type="dxa"/>
            <w:vAlign w:val="bottom"/>
          </w:tcPr>
          <w:p>
            <w:pPr>
              <w:spacing w:after="0"/>
              <w:rPr>
                <w:sz w:val="1"/>
                <w:szCs w:val="1"/>
                <w:color w:val="auto"/>
              </w:rPr>
            </w:pPr>
          </w:p>
        </w:tc>
      </w:tr>
      <w:tr>
        <w:trPr>
          <w:trHeight w:val="122"/>
        </w:trPr>
        <w:tc>
          <w:tcPr>
            <w:tcW w:w="1660" w:type="dxa"/>
            <w:vAlign w:val="bottom"/>
            <w:shd w:val="clear" w:color="auto" w:fill="ECEFF2"/>
          </w:tcPr>
          <w:p>
            <w:pPr>
              <w:spacing w:after="0"/>
              <w:rPr>
                <w:sz w:val="10"/>
                <w:szCs w:val="10"/>
                <w:color w:val="auto"/>
              </w:rPr>
            </w:pPr>
          </w:p>
        </w:tc>
        <w:tc>
          <w:tcPr>
            <w:tcW w:w="2240" w:type="dxa"/>
            <w:vAlign w:val="bottom"/>
            <w:gridSpan w:val="2"/>
            <w:vMerge w:val="continue"/>
          </w:tcPr>
          <w:p>
            <w:pPr>
              <w:spacing w:after="0"/>
              <w:rPr>
                <w:sz w:val="10"/>
                <w:szCs w:val="10"/>
                <w:color w:val="auto"/>
              </w:rPr>
            </w:pPr>
          </w:p>
        </w:tc>
        <w:tc>
          <w:tcPr>
            <w:tcW w:w="240" w:type="dxa"/>
            <w:vAlign w:val="bottom"/>
            <w:gridSpan w:val="2"/>
          </w:tcPr>
          <w:p>
            <w:pPr>
              <w:ind w:left="100"/>
              <w:spacing w:after="0" w:line="123" w:lineRule="exact"/>
              <w:rPr>
                <w:sz w:val="20"/>
                <w:szCs w:val="20"/>
                <w:color w:val="auto"/>
              </w:rPr>
            </w:pPr>
            <w:r>
              <w:rPr>
                <w:rFonts w:ascii="Arial" w:cs="Arial" w:eastAsia="Arial" w:hAnsi="Arial"/>
                <w:sz w:val="13"/>
                <w:szCs w:val="13"/>
                <w:color w:val="345988"/>
              </w:rPr>
              <w:t>●</w:t>
            </w:r>
          </w:p>
        </w:tc>
        <w:tc>
          <w:tcPr>
            <w:tcW w:w="1820" w:type="dxa"/>
            <w:vAlign w:val="bottom"/>
          </w:tcPr>
          <w:p>
            <w:pPr>
              <w:ind w:left="60"/>
              <w:spacing w:after="0" w:line="123" w:lineRule="exact"/>
              <w:rPr>
                <w:sz w:val="20"/>
                <w:szCs w:val="20"/>
                <w:color w:val="auto"/>
              </w:rPr>
            </w:pPr>
            <w:r>
              <w:rPr>
                <w:rFonts w:ascii="Arial" w:cs="Arial" w:eastAsia="Arial" w:hAnsi="Arial"/>
                <w:sz w:val="14"/>
                <w:szCs w:val="14"/>
                <w:color w:val="auto"/>
              </w:rPr>
              <w:t>Reduced base salary</w:t>
            </w:r>
          </w:p>
        </w:tc>
        <w:tc>
          <w:tcPr>
            <w:tcW w:w="2020" w:type="dxa"/>
            <w:vAlign w:val="bottom"/>
          </w:tcPr>
          <w:p>
            <w:pPr>
              <w:ind w:left="100"/>
              <w:spacing w:after="0" w:line="123" w:lineRule="exact"/>
              <w:rPr>
                <w:sz w:val="20"/>
                <w:szCs w:val="20"/>
                <w:color w:val="auto"/>
              </w:rPr>
            </w:pPr>
            <w:r>
              <w:rPr>
                <w:rFonts w:ascii="Arial" w:cs="Arial" w:eastAsia="Arial" w:hAnsi="Arial"/>
                <w:sz w:val="14"/>
                <w:szCs w:val="14"/>
                <w:color w:val="auto"/>
              </w:rPr>
              <w:t>CEO - Holliday</w:t>
            </w:r>
          </w:p>
        </w:tc>
        <w:tc>
          <w:tcPr>
            <w:tcW w:w="1520" w:type="dxa"/>
            <w:vAlign w:val="bottom"/>
            <w:vMerge w:val="continue"/>
          </w:tcPr>
          <w:p>
            <w:pPr>
              <w:spacing w:after="0"/>
              <w:rPr>
                <w:sz w:val="10"/>
                <w:szCs w:val="10"/>
                <w:color w:val="auto"/>
              </w:rPr>
            </w:pPr>
          </w:p>
        </w:tc>
        <w:tc>
          <w:tcPr>
            <w:tcW w:w="260" w:type="dxa"/>
            <w:vAlign w:val="bottom"/>
            <w:shd w:val="clear" w:color="auto" w:fill="F5F5F5"/>
          </w:tcPr>
          <w:p>
            <w:pPr>
              <w:ind w:left="120"/>
              <w:spacing w:after="0" w:line="123" w:lineRule="exact"/>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line="123" w:lineRule="exact"/>
              <w:rPr>
                <w:sz w:val="20"/>
                <w:szCs w:val="20"/>
                <w:color w:val="auto"/>
              </w:rPr>
            </w:pPr>
            <w:r>
              <w:rPr>
                <w:rFonts w:ascii="Arial" w:cs="Arial" w:eastAsia="Arial" w:hAnsi="Arial"/>
                <w:sz w:val="14"/>
                <w:szCs w:val="14"/>
                <w:color w:val="auto"/>
              </w:rPr>
              <w:t>Reduces target cash</w:t>
            </w:r>
          </w:p>
        </w:tc>
        <w:tc>
          <w:tcPr>
            <w:tcW w:w="0" w:type="dxa"/>
            <w:vAlign w:val="bottom"/>
          </w:tcPr>
          <w:p>
            <w:pPr>
              <w:spacing w:after="0"/>
              <w:rPr>
                <w:sz w:val="1"/>
                <w:szCs w:val="1"/>
                <w:color w:val="auto"/>
              </w:rPr>
            </w:pPr>
          </w:p>
        </w:tc>
      </w:tr>
      <w:tr>
        <w:trPr>
          <w:trHeight w:val="134"/>
        </w:trPr>
        <w:tc>
          <w:tcPr>
            <w:tcW w:w="1660" w:type="dxa"/>
            <w:vAlign w:val="bottom"/>
            <w:vMerge w:val="restart"/>
            <w:shd w:val="clear" w:color="auto" w:fill="ECEFF2"/>
          </w:tcPr>
          <w:p>
            <w:pPr>
              <w:ind w:left="120"/>
              <w:spacing w:after="0" w:line="202" w:lineRule="exact"/>
              <w:rPr>
                <w:sz w:val="20"/>
                <w:szCs w:val="20"/>
                <w:color w:val="auto"/>
              </w:rPr>
            </w:pPr>
            <w:r>
              <w:rPr>
                <w:rFonts w:ascii="Arial" w:cs="Arial" w:eastAsia="Arial" w:hAnsi="Arial"/>
                <w:sz w:val="18"/>
                <w:szCs w:val="18"/>
                <w:b w:val="1"/>
                <w:bCs w:val="1"/>
                <w:color w:val="345988"/>
              </w:rPr>
              <w:t>Fixed Pay</w:t>
            </w:r>
          </w:p>
        </w:tc>
        <w:tc>
          <w:tcPr>
            <w:tcW w:w="300" w:type="dxa"/>
            <w:vAlign w:val="bottom"/>
          </w:tcPr>
          <w:p>
            <w:pPr>
              <w:spacing w:after="0"/>
              <w:rPr>
                <w:sz w:val="11"/>
                <w:szCs w:val="11"/>
                <w:color w:val="auto"/>
              </w:rPr>
            </w:pPr>
          </w:p>
        </w:tc>
        <w:tc>
          <w:tcPr>
            <w:tcW w:w="1940" w:type="dxa"/>
            <w:vAlign w:val="bottom"/>
          </w:tcPr>
          <w:p>
            <w:pPr>
              <w:ind w:left="100"/>
              <w:spacing w:after="0" w:line="135" w:lineRule="exact"/>
              <w:rPr>
                <w:sz w:val="20"/>
                <w:szCs w:val="20"/>
                <w:color w:val="auto"/>
              </w:rPr>
            </w:pPr>
            <w:r>
              <w:rPr>
                <w:rFonts w:ascii="Arial" w:cs="Arial" w:eastAsia="Arial" w:hAnsi="Arial"/>
                <w:sz w:val="14"/>
                <w:szCs w:val="14"/>
                <w:color w:val="auto"/>
              </w:rPr>
              <w:t>compensation provide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520" w:type="dxa"/>
            <w:vAlign w:val="bottom"/>
          </w:tcPr>
          <w:p>
            <w:pPr>
              <w:ind w:left="240"/>
              <w:spacing w:after="0" w:line="135" w:lineRule="exact"/>
              <w:rPr>
                <w:sz w:val="20"/>
                <w:szCs w:val="20"/>
                <w:color w:val="auto"/>
              </w:rPr>
            </w:pPr>
            <w:r>
              <w:rPr>
                <w:rFonts w:ascii="Arial" w:cs="Arial" w:eastAsia="Arial" w:hAnsi="Arial"/>
                <w:sz w:val="14"/>
                <w:szCs w:val="14"/>
                <w:color w:val="auto"/>
              </w:rPr>
              <w:t>1/18/2018</w:t>
            </w:r>
          </w:p>
        </w:tc>
        <w:tc>
          <w:tcPr>
            <w:tcW w:w="260" w:type="dxa"/>
            <w:vAlign w:val="bottom"/>
            <w:shd w:val="clear" w:color="auto" w:fill="F5F5F5"/>
          </w:tcPr>
          <w:p>
            <w:pPr>
              <w:spacing w:after="0"/>
              <w:rPr>
                <w:sz w:val="11"/>
                <w:szCs w:val="11"/>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bonus</w:t>
            </w:r>
          </w:p>
        </w:tc>
        <w:tc>
          <w:tcPr>
            <w:tcW w:w="0" w:type="dxa"/>
            <w:vAlign w:val="bottom"/>
          </w:tcPr>
          <w:p>
            <w:pPr>
              <w:spacing w:after="0"/>
              <w:rPr>
                <w:sz w:val="1"/>
                <w:szCs w:val="1"/>
                <w:color w:val="auto"/>
              </w:rPr>
            </w:pPr>
          </w:p>
        </w:tc>
      </w:tr>
      <w:tr>
        <w:trPr>
          <w:trHeight w:val="68"/>
        </w:trPr>
        <w:tc>
          <w:tcPr>
            <w:tcW w:w="1660" w:type="dxa"/>
            <w:vAlign w:val="bottom"/>
            <w:tcBorders>
              <w:bottom w:val="single" w:sz="8" w:color="ECEFF2"/>
            </w:tcBorders>
            <w:vMerge w:val="continue"/>
            <w:shd w:val="clear" w:color="auto" w:fill="ECEFF2"/>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overlapping fixed pay</w:t>
            </w:r>
          </w:p>
        </w:tc>
        <w:tc>
          <w:tcPr>
            <w:tcW w:w="100" w:type="dxa"/>
            <w:vAlign w:val="bottom"/>
          </w:tcPr>
          <w:p>
            <w:pPr>
              <w:spacing w:after="0"/>
              <w:rPr>
                <w:sz w:val="5"/>
                <w:szCs w:val="5"/>
                <w:color w:val="auto"/>
              </w:rPr>
            </w:pPr>
          </w:p>
        </w:tc>
        <w:tc>
          <w:tcPr>
            <w:tcW w:w="140" w:type="dxa"/>
            <w:vAlign w:val="bottom"/>
            <w:tcBorders>
              <w:bottom w:val="single" w:sz="8" w:color="8590A9"/>
            </w:tcBorders>
          </w:tcPr>
          <w:p>
            <w:pPr>
              <w:spacing w:after="0"/>
              <w:rPr>
                <w:sz w:val="5"/>
                <w:szCs w:val="5"/>
                <w:color w:val="auto"/>
              </w:rPr>
            </w:pPr>
          </w:p>
        </w:tc>
        <w:tc>
          <w:tcPr>
            <w:tcW w:w="1820" w:type="dxa"/>
            <w:vAlign w:val="bottom"/>
            <w:tcBorders>
              <w:bottom w:val="single" w:sz="8" w:color="8590A9"/>
            </w:tcBorders>
          </w:tcPr>
          <w:p>
            <w:pPr>
              <w:spacing w:after="0"/>
              <w:rPr>
                <w:sz w:val="5"/>
                <w:szCs w:val="5"/>
                <w:color w:val="auto"/>
              </w:rPr>
            </w:pPr>
          </w:p>
        </w:tc>
        <w:tc>
          <w:tcPr>
            <w:tcW w:w="2020" w:type="dxa"/>
            <w:vAlign w:val="bottom"/>
            <w:tcBorders>
              <w:bottom w:val="single" w:sz="8" w:color="8590A9"/>
            </w:tcBorders>
          </w:tcPr>
          <w:p>
            <w:pPr>
              <w:spacing w:after="0"/>
              <w:rPr>
                <w:sz w:val="5"/>
                <w:szCs w:val="5"/>
                <w:color w:val="auto"/>
              </w:rPr>
            </w:pPr>
          </w:p>
        </w:tc>
        <w:tc>
          <w:tcPr>
            <w:tcW w:w="1520" w:type="dxa"/>
            <w:vAlign w:val="bottom"/>
            <w:tcBorders>
              <w:bottom w:val="single" w:sz="8" w:color="8590A9"/>
            </w:tcBorders>
          </w:tcPr>
          <w:p>
            <w:pPr>
              <w:spacing w:after="0"/>
              <w:rPr>
                <w:sz w:val="5"/>
                <w:szCs w:val="5"/>
                <w:color w:val="auto"/>
              </w:rPr>
            </w:pPr>
          </w:p>
        </w:tc>
        <w:tc>
          <w:tcPr>
            <w:tcW w:w="260" w:type="dxa"/>
            <w:vAlign w:val="bottom"/>
            <w:tcBorders>
              <w:bottom w:val="single" w:sz="8" w:color="8590A9"/>
            </w:tcBorders>
            <w:shd w:val="clear" w:color="auto" w:fill="F5F5F5"/>
          </w:tcPr>
          <w:p>
            <w:pPr>
              <w:spacing w:after="0"/>
              <w:rPr>
                <w:sz w:val="5"/>
                <w:szCs w:val="5"/>
                <w:color w:val="auto"/>
              </w:rPr>
            </w:pPr>
          </w:p>
        </w:tc>
        <w:tc>
          <w:tcPr>
            <w:tcW w:w="1660" w:type="dxa"/>
            <w:vAlign w:val="bottom"/>
            <w:tcBorders>
              <w:bottom w:val="single" w:sz="8" w:color="8590A9"/>
            </w:tcBorders>
            <w:vMerge w:val="continue"/>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660" w:type="dxa"/>
            <w:vAlign w:val="bottom"/>
            <w:shd w:val="clear" w:color="auto" w:fill="ECEFF2"/>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345988"/>
              </w:rPr>
              <w:t>●</w:t>
            </w:r>
          </w:p>
        </w:tc>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Eliminated deferred</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5"/>
                <w:szCs w:val="5"/>
                <w:color w:val="auto"/>
              </w:rPr>
            </w:pP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vMerge w:val="restart"/>
            <w:shd w:val="clear" w:color="auto" w:fill="F5F5F5"/>
          </w:tcPr>
          <w:p>
            <w:pPr>
              <w:ind w:left="60"/>
              <w:spacing w:after="0"/>
              <w:rPr>
                <w:sz w:val="20"/>
                <w:szCs w:val="20"/>
                <w:color w:val="auto"/>
              </w:rPr>
            </w:pPr>
            <w:r>
              <w:rPr>
                <w:rFonts w:ascii="Arial" w:cs="Arial" w:eastAsia="Arial" w:hAnsi="Arial"/>
                <w:sz w:val="14"/>
                <w:szCs w:val="14"/>
                <w:color w:val="auto"/>
              </w:rPr>
              <w:t>Eliminates multiple fixed</w:t>
            </w:r>
          </w:p>
        </w:tc>
        <w:tc>
          <w:tcPr>
            <w:tcW w:w="0" w:type="dxa"/>
            <w:vAlign w:val="bottom"/>
          </w:tcPr>
          <w:p>
            <w:pPr>
              <w:spacing w:after="0"/>
              <w:rPr>
                <w:sz w:val="1"/>
                <w:szCs w:val="1"/>
                <w:color w:val="auto"/>
              </w:rPr>
            </w:pPr>
          </w:p>
        </w:tc>
      </w:tr>
      <w:tr>
        <w:trPr>
          <w:trHeight w:val="122"/>
        </w:trPr>
        <w:tc>
          <w:tcPr>
            <w:tcW w:w="1660" w:type="dxa"/>
            <w:vAlign w:val="bottom"/>
            <w:shd w:val="clear" w:color="auto" w:fill="ECEFF2"/>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Pr>
          <w:p>
            <w:pPr>
              <w:ind w:left="100"/>
              <w:spacing w:after="0" w:line="123" w:lineRule="exact"/>
              <w:rPr>
                <w:sz w:val="20"/>
                <w:szCs w:val="20"/>
                <w:color w:val="auto"/>
              </w:rPr>
            </w:pPr>
            <w:r>
              <w:rPr>
                <w:rFonts w:ascii="Arial" w:cs="Arial" w:eastAsia="Arial" w:hAnsi="Arial"/>
                <w:sz w:val="14"/>
                <w:szCs w:val="14"/>
                <w:color w:val="auto"/>
              </w:rPr>
              <w:t>elements</w:t>
            </w:r>
          </w:p>
        </w:tc>
        <w:tc>
          <w:tcPr>
            <w:tcW w:w="240" w:type="dxa"/>
            <w:vAlign w:val="bottom"/>
            <w:gridSpan w:val="2"/>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1520" w:type="dxa"/>
            <w:vAlign w:val="bottom"/>
          </w:tcPr>
          <w:p>
            <w:pPr>
              <w:ind w:left="240"/>
              <w:spacing w:after="0" w:line="123" w:lineRule="exact"/>
              <w:rPr>
                <w:sz w:val="20"/>
                <w:szCs w:val="20"/>
                <w:color w:val="auto"/>
              </w:rPr>
            </w:pPr>
            <w:r>
              <w:rPr>
                <w:rFonts w:ascii="Arial" w:cs="Arial" w:eastAsia="Arial" w:hAnsi="Arial"/>
                <w:sz w:val="14"/>
                <w:szCs w:val="14"/>
                <w:color w:val="auto"/>
              </w:rPr>
              <w:t>2019 onward</w:t>
            </w:r>
          </w:p>
        </w:tc>
        <w:tc>
          <w:tcPr>
            <w:tcW w:w="260" w:type="dxa"/>
            <w:vAlign w:val="bottom"/>
            <w:vMerge w:val="continue"/>
            <w:shd w:val="clear" w:color="auto" w:fill="F5F5F5"/>
          </w:tcPr>
          <w:p>
            <w:pPr>
              <w:spacing w:after="0"/>
              <w:rPr>
                <w:sz w:val="10"/>
                <w:szCs w:val="10"/>
                <w:color w:val="auto"/>
              </w:rPr>
            </w:pPr>
          </w:p>
        </w:tc>
        <w:tc>
          <w:tcPr>
            <w:tcW w:w="1660" w:type="dxa"/>
            <w:vAlign w:val="bottom"/>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Borders>
              <w:bottom w:val="single" w:sz="8" w:color="8590A9"/>
            </w:tcBorders>
            <w:shd w:val="clear" w:color="auto" w:fill="ECEFF2"/>
          </w:tcPr>
          <w:p>
            <w:pPr>
              <w:spacing w:after="0"/>
              <w:rPr>
                <w:sz w:val="14"/>
                <w:szCs w:val="14"/>
                <w:color w:val="auto"/>
              </w:rPr>
            </w:pPr>
          </w:p>
        </w:tc>
        <w:tc>
          <w:tcPr>
            <w:tcW w:w="300" w:type="dxa"/>
            <w:vAlign w:val="bottom"/>
            <w:tcBorders>
              <w:bottom w:val="single" w:sz="8" w:color="8590A9"/>
            </w:tcBorders>
          </w:tcPr>
          <w:p>
            <w:pPr>
              <w:spacing w:after="0"/>
              <w:rPr>
                <w:sz w:val="14"/>
                <w:szCs w:val="14"/>
                <w:color w:val="auto"/>
              </w:rPr>
            </w:pPr>
          </w:p>
        </w:tc>
        <w:tc>
          <w:tcPr>
            <w:tcW w:w="1940" w:type="dxa"/>
            <w:vAlign w:val="bottom"/>
            <w:tcBorders>
              <w:bottom w:val="single" w:sz="8" w:color="8590A9"/>
            </w:tcBorders>
          </w:tcPr>
          <w:p>
            <w:pPr>
              <w:spacing w:after="0"/>
              <w:rPr>
                <w:sz w:val="14"/>
                <w:szCs w:val="14"/>
                <w:color w:val="auto"/>
              </w:rPr>
            </w:pPr>
          </w:p>
        </w:tc>
        <w:tc>
          <w:tcPr>
            <w:tcW w:w="100" w:type="dxa"/>
            <w:vAlign w:val="bottom"/>
            <w:tcBorders>
              <w:bottom w:val="single" w:sz="8" w:color="8590A9"/>
            </w:tcBorders>
          </w:tcPr>
          <w:p>
            <w:pPr>
              <w:spacing w:after="0"/>
              <w:rPr>
                <w:sz w:val="14"/>
                <w:szCs w:val="14"/>
                <w:color w:val="auto"/>
              </w:rPr>
            </w:pPr>
          </w:p>
        </w:tc>
        <w:tc>
          <w:tcPr>
            <w:tcW w:w="140" w:type="dxa"/>
            <w:vAlign w:val="bottom"/>
            <w:tcBorders>
              <w:bottom w:val="single" w:sz="8" w:color="8590A9"/>
            </w:tcBorders>
          </w:tcPr>
          <w:p>
            <w:pPr>
              <w:spacing w:after="0"/>
              <w:rPr>
                <w:sz w:val="14"/>
                <w:szCs w:val="14"/>
                <w:color w:val="auto"/>
              </w:rPr>
            </w:pPr>
          </w:p>
        </w:tc>
        <w:tc>
          <w:tcPr>
            <w:tcW w:w="1820" w:type="dxa"/>
            <w:vAlign w:val="bottom"/>
            <w:tcBorders>
              <w:bottom w:val="single" w:sz="8" w:color="8590A9"/>
            </w:tcBorders>
          </w:tcPr>
          <w:p>
            <w:pPr>
              <w:ind w:left="80"/>
              <w:spacing w:after="0"/>
              <w:rPr>
                <w:sz w:val="20"/>
                <w:szCs w:val="20"/>
                <w:color w:val="auto"/>
              </w:rPr>
            </w:pPr>
            <w:r>
              <w:rPr>
                <w:rFonts w:ascii="Arial" w:cs="Arial" w:eastAsia="Arial" w:hAnsi="Arial"/>
                <w:sz w:val="14"/>
                <w:szCs w:val="14"/>
                <w:color w:val="auto"/>
              </w:rPr>
              <w:t>compensation</w:t>
            </w:r>
          </w:p>
        </w:tc>
        <w:tc>
          <w:tcPr>
            <w:tcW w:w="2020" w:type="dxa"/>
            <w:vAlign w:val="bottom"/>
            <w:tcBorders>
              <w:bottom w:val="single" w:sz="8" w:color="8590A9"/>
            </w:tcBorders>
          </w:tcPr>
          <w:p>
            <w:pPr>
              <w:ind w:left="100"/>
              <w:spacing w:after="0"/>
              <w:rPr>
                <w:sz w:val="20"/>
                <w:szCs w:val="20"/>
                <w:color w:val="auto"/>
              </w:rPr>
            </w:pPr>
            <w:r>
              <w:rPr>
                <w:rFonts w:ascii="Arial" w:cs="Arial" w:eastAsia="Arial" w:hAnsi="Arial"/>
                <w:sz w:val="14"/>
                <w:szCs w:val="14"/>
                <w:color w:val="auto"/>
              </w:rPr>
              <w:t>Mathias</w:t>
            </w:r>
          </w:p>
        </w:tc>
        <w:tc>
          <w:tcPr>
            <w:tcW w:w="1520" w:type="dxa"/>
            <w:vAlign w:val="bottom"/>
            <w:tcBorders>
              <w:bottom w:val="single" w:sz="8" w:color="8590A9"/>
            </w:tcBorders>
          </w:tcPr>
          <w:p>
            <w:pPr>
              <w:spacing w:after="0"/>
              <w:rPr>
                <w:sz w:val="14"/>
                <w:szCs w:val="14"/>
                <w:color w:val="auto"/>
              </w:rPr>
            </w:pPr>
          </w:p>
        </w:tc>
        <w:tc>
          <w:tcPr>
            <w:tcW w:w="260" w:type="dxa"/>
            <w:vAlign w:val="bottom"/>
            <w:tcBorders>
              <w:bottom w:val="single" w:sz="8" w:color="8590A9"/>
            </w:tcBorders>
            <w:shd w:val="clear" w:color="auto" w:fill="F5F5F5"/>
          </w:tcPr>
          <w:p>
            <w:pPr>
              <w:spacing w:after="0"/>
              <w:rPr>
                <w:sz w:val="14"/>
                <w:szCs w:val="14"/>
                <w:color w:val="auto"/>
              </w:rPr>
            </w:pPr>
          </w:p>
        </w:tc>
        <w:tc>
          <w:tcPr>
            <w:tcW w:w="1660" w:type="dxa"/>
            <w:vAlign w:val="bottom"/>
            <w:tcBorders>
              <w:bottom w:val="single" w:sz="8" w:color="8590A9"/>
            </w:tcBorders>
            <w:shd w:val="clear" w:color="auto" w:fill="F5F5F5"/>
          </w:tcPr>
          <w:p>
            <w:pPr>
              <w:ind w:left="80"/>
              <w:spacing w:after="0"/>
              <w:rPr>
                <w:sz w:val="20"/>
                <w:szCs w:val="20"/>
                <w:color w:val="auto"/>
              </w:rPr>
            </w:pPr>
            <w:r>
              <w:rPr>
                <w:rFonts w:ascii="Arial" w:cs="Arial" w:eastAsia="Arial" w:hAnsi="Arial"/>
                <w:sz w:val="14"/>
                <w:szCs w:val="14"/>
                <w:color w:val="auto"/>
              </w:rPr>
              <w:t>pay elements</w:t>
            </w:r>
          </w:p>
        </w:tc>
        <w:tc>
          <w:tcPr>
            <w:tcW w:w="0" w:type="dxa"/>
            <w:vAlign w:val="bottom"/>
          </w:tcPr>
          <w:p>
            <w:pPr>
              <w:spacing w:after="0"/>
              <w:rPr>
                <w:sz w:val="1"/>
                <w:szCs w:val="1"/>
                <w:color w:val="auto"/>
              </w:rPr>
            </w:pPr>
          </w:p>
        </w:tc>
      </w:tr>
      <w:tr>
        <w:trPr>
          <w:trHeight w:val="168"/>
        </w:trPr>
        <w:tc>
          <w:tcPr>
            <w:tcW w:w="1660" w:type="dxa"/>
            <w:vAlign w:val="bottom"/>
            <w:shd w:val="clear" w:color="auto" w:fill="ECEFF2"/>
          </w:tcPr>
          <w:p>
            <w:pPr>
              <w:spacing w:after="0"/>
              <w:rPr>
                <w:sz w:val="14"/>
                <w:szCs w:val="14"/>
                <w:color w:val="auto"/>
              </w:rPr>
            </w:pPr>
          </w:p>
        </w:tc>
        <w:tc>
          <w:tcPr>
            <w:tcW w:w="2240" w:type="dxa"/>
            <w:vAlign w:val="bottom"/>
            <w:gridSpan w:val="2"/>
            <w:vMerge w:val="restart"/>
          </w:tcPr>
          <w:p>
            <w:pPr>
              <w:ind w:left="1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Annual incentive should focus</w:t>
            </w:r>
          </w:p>
        </w:tc>
        <w:tc>
          <w:tcPr>
            <w:tcW w:w="240" w:type="dxa"/>
            <w:vAlign w:val="bottom"/>
            <w:gridSpan w:val="2"/>
          </w:tcPr>
          <w:p>
            <w:pPr>
              <w:ind w:left="100"/>
              <w:spacing w:after="0"/>
              <w:rPr>
                <w:sz w:val="20"/>
                <w:szCs w:val="20"/>
                <w:color w:val="auto"/>
              </w:rPr>
            </w:pPr>
            <w:r>
              <w:rPr>
                <w:rFonts w:ascii="Arial" w:cs="Arial" w:eastAsia="Arial" w:hAnsi="Arial"/>
                <w:sz w:val="13"/>
                <w:szCs w:val="13"/>
                <w:color w:val="345988"/>
              </w:rPr>
              <w:t>●</w:t>
            </w:r>
          </w:p>
        </w:tc>
        <w:tc>
          <w:tcPr>
            <w:tcW w:w="1820" w:type="dxa"/>
            <w:vAlign w:val="bottom"/>
          </w:tcPr>
          <w:p>
            <w:pPr>
              <w:ind w:left="60"/>
              <w:spacing w:after="0"/>
              <w:rPr>
                <w:sz w:val="20"/>
                <w:szCs w:val="20"/>
                <w:color w:val="auto"/>
              </w:rPr>
            </w:pPr>
            <w:r>
              <w:rPr>
                <w:rFonts w:ascii="Arial" w:cs="Arial" w:eastAsia="Arial" w:hAnsi="Arial"/>
                <w:sz w:val="14"/>
                <w:szCs w:val="14"/>
                <w:color w:val="auto"/>
              </w:rPr>
              <w:t>Eliminated TSR, added</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G&amp;A expense, increased</w:t>
            </w:r>
          </w:p>
        </w:tc>
        <w:tc>
          <w:tcPr>
            <w:tcW w:w="202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5"/>
                <w:szCs w:val="5"/>
                <w:color w:val="auto"/>
              </w:rPr>
            </w:pPr>
          </w:p>
        </w:tc>
        <w:tc>
          <w:tcPr>
            <w:tcW w:w="260" w:type="dxa"/>
            <w:vAlign w:val="bottom"/>
            <w:vMerge w:val="continue"/>
            <w:shd w:val="clear" w:color="auto" w:fill="F5F5F5"/>
          </w:tcPr>
          <w:p>
            <w:pPr>
              <w:spacing w:after="0"/>
              <w:rPr>
                <w:sz w:val="5"/>
                <w:szCs w:val="5"/>
                <w:color w:val="auto"/>
              </w:rPr>
            </w:pPr>
          </w:p>
        </w:tc>
        <w:tc>
          <w:tcPr>
            <w:tcW w:w="1660" w:type="dxa"/>
            <w:vAlign w:val="bottom"/>
            <w:vMerge w:val="restart"/>
            <w:shd w:val="clear" w:color="auto" w:fill="F5F5F5"/>
          </w:tcPr>
          <w:p>
            <w:pPr>
              <w:ind w:left="60"/>
              <w:spacing w:after="0" w:line="149" w:lineRule="exact"/>
              <w:rPr>
                <w:sz w:val="20"/>
                <w:szCs w:val="20"/>
                <w:color w:val="auto"/>
              </w:rPr>
            </w:pPr>
            <w:r>
              <w:rPr>
                <w:rFonts w:ascii="Arial" w:cs="Arial" w:eastAsia="Arial" w:hAnsi="Arial"/>
                <w:sz w:val="14"/>
                <w:szCs w:val="14"/>
                <w:color w:val="auto"/>
              </w:rPr>
              <w:t>Strengthens link to</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on metrics within executives’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2018 onward</w:t>
            </w:r>
          </w:p>
        </w:tc>
        <w:tc>
          <w:tcPr>
            <w:tcW w:w="260" w:type="dxa"/>
            <w:vAlign w:val="bottom"/>
            <w:vMerge w:val="continue"/>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weighting of dividend</w:t>
            </w:r>
          </w:p>
        </w:tc>
        <w:tc>
          <w:tcPr>
            <w:tcW w:w="202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Mathias</w:t>
            </w:r>
          </w:p>
        </w:tc>
        <w:tc>
          <w:tcPr>
            <w:tcW w:w="1520" w:type="dxa"/>
            <w:vAlign w:val="bottom"/>
            <w:vMerge w:val="continue"/>
          </w:tcPr>
          <w:p>
            <w:pPr>
              <w:spacing w:after="0"/>
              <w:rPr>
                <w:sz w:val="5"/>
                <w:szCs w:val="5"/>
                <w:color w:val="auto"/>
              </w:rPr>
            </w:pPr>
          </w:p>
        </w:tc>
        <w:tc>
          <w:tcPr>
            <w:tcW w:w="260" w:type="dxa"/>
            <w:vAlign w:val="bottom"/>
            <w:shd w:val="clear" w:color="auto" w:fill="F5F5F5"/>
          </w:tcPr>
          <w:p>
            <w:pPr>
              <w:spacing w:after="0"/>
              <w:rPr>
                <w:sz w:val="5"/>
                <w:szCs w:val="5"/>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operational metrics</w:t>
            </w:r>
          </w:p>
        </w:tc>
        <w:tc>
          <w:tcPr>
            <w:tcW w:w="0" w:type="dxa"/>
            <w:vAlign w:val="bottom"/>
          </w:tcPr>
          <w:p>
            <w:pPr>
              <w:spacing w:after="0"/>
              <w:rPr>
                <w:sz w:val="1"/>
                <w:szCs w:val="1"/>
                <w:color w:val="auto"/>
              </w:rPr>
            </w:pPr>
          </w:p>
        </w:tc>
      </w:tr>
      <w:tr>
        <w:trPr>
          <w:trHeight w:val="81"/>
        </w:trPr>
        <w:tc>
          <w:tcPr>
            <w:tcW w:w="1660" w:type="dxa"/>
            <w:vAlign w:val="bottom"/>
            <w:vMerge w:val="restart"/>
            <w:shd w:val="clear" w:color="auto" w:fill="ECEFF2"/>
          </w:tcPr>
          <w:p>
            <w:pPr>
              <w:ind w:left="120"/>
              <w:spacing w:after="0"/>
              <w:rPr>
                <w:sz w:val="20"/>
                <w:szCs w:val="20"/>
                <w:color w:val="auto"/>
              </w:rPr>
            </w:pPr>
            <w:r>
              <w:rPr>
                <w:rFonts w:ascii="Arial" w:cs="Arial" w:eastAsia="Arial" w:hAnsi="Arial"/>
                <w:sz w:val="18"/>
                <w:szCs w:val="18"/>
                <w:b w:val="1"/>
                <w:bCs w:val="1"/>
                <w:color w:val="345988"/>
              </w:rPr>
              <w:t>Annual Incentive</w:t>
            </w:r>
          </w:p>
        </w:tc>
        <w:tc>
          <w:tcPr>
            <w:tcW w:w="30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control</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growth metric</w:t>
            </w:r>
          </w:p>
        </w:tc>
        <w:tc>
          <w:tcPr>
            <w:tcW w:w="2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60" w:type="dxa"/>
            <w:vAlign w:val="bottom"/>
            <w:tcBorders>
              <w:bottom w:val="single" w:sz="8" w:color="ECEFF2"/>
            </w:tcBorders>
            <w:vMerge w:val="continue"/>
            <w:shd w:val="clear" w:color="auto" w:fill="ECEFF2"/>
          </w:tcPr>
          <w:p>
            <w:pPr>
              <w:spacing w:after="0"/>
              <w:rPr>
                <w:sz w:val="8"/>
                <w:szCs w:val="8"/>
                <w:color w:val="auto"/>
              </w:rPr>
            </w:pPr>
          </w:p>
        </w:tc>
        <w:tc>
          <w:tcPr>
            <w:tcW w:w="300" w:type="dxa"/>
            <w:vAlign w:val="bottom"/>
            <w:tcBorders>
              <w:bottom w:val="single" w:sz="8" w:color="8590A9"/>
            </w:tcBorders>
          </w:tcPr>
          <w:p>
            <w:pPr>
              <w:spacing w:after="0"/>
              <w:rPr>
                <w:sz w:val="8"/>
                <w:szCs w:val="8"/>
                <w:color w:val="auto"/>
              </w:rPr>
            </w:pPr>
          </w:p>
        </w:tc>
        <w:tc>
          <w:tcPr>
            <w:tcW w:w="1940" w:type="dxa"/>
            <w:vAlign w:val="bottom"/>
            <w:tcBorders>
              <w:bottom w:val="single" w:sz="8" w:color="8590A9"/>
            </w:tcBorders>
          </w:tcPr>
          <w:p>
            <w:pPr>
              <w:spacing w:after="0"/>
              <w:rPr>
                <w:sz w:val="8"/>
                <w:szCs w:val="8"/>
                <w:color w:val="auto"/>
              </w:rPr>
            </w:pPr>
          </w:p>
        </w:tc>
        <w:tc>
          <w:tcPr>
            <w:tcW w:w="100" w:type="dxa"/>
            <w:vAlign w:val="bottom"/>
            <w:tcBorders>
              <w:bottom w:val="single" w:sz="8" w:color="8590A9"/>
            </w:tcBorders>
          </w:tcPr>
          <w:p>
            <w:pPr>
              <w:spacing w:after="0"/>
              <w:rPr>
                <w:sz w:val="8"/>
                <w:szCs w:val="8"/>
                <w:color w:val="auto"/>
              </w:rPr>
            </w:pPr>
          </w:p>
        </w:tc>
        <w:tc>
          <w:tcPr>
            <w:tcW w:w="140" w:type="dxa"/>
            <w:vAlign w:val="bottom"/>
            <w:tcBorders>
              <w:bottom w:val="single" w:sz="8" w:color="8590A9"/>
            </w:tcBorders>
          </w:tcPr>
          <w:p>
            <w:pPr>
              <w:spacing w:after="0"/>
              <w:rPr>
                <w:sz w:val="8"/>
                <w:szCs w:val="8"/>
                <w:color w:val="auto"/>
              </w:rPr>
            </w:pPr>
          </w:p>
        </w:tc>
        <w:tc>
          <w:tcPr>
            <w:tcW w:w="1820" w:type="dxa"/>
            <w:vAlign w:val="bottom"/>
            <w:tcBorders>
              <w:bottom w:val="single" w:sz="8" w:color="8590A9"/>
            </w:tcBorders>
            <w:vMerge w:val="continue"/>
          </w:tcPr>
          <w:p>
            <w:pPr>
              <w:spacing w:after="0"/>
              <w:rPr>
                <w:sz w:val="8"/>
                <w:szCs w:val="8"/>
                <w:color w:val="auto"/>
              </w:rPr>
            </w:pPr>
          </w:p>
        </w:tc>
        <w:tc>
          <w:tcPr>
            <w:tcW w:w="2020" w:type="dxa"/>
            <w:vAlign w:val="bottom"/>
            <w:tcBorders>
              <w:bottom w:val="single" w:sz="8" w:color="8590A9"/>
            </w:tcBorders>
          </w:tcPr>
          <w:p>
            <w:pPr>
              <w:spacing w:after="0"/>
              <w:rPr>
                <w:sz w:val="8"/>
                <w:szCs w:val="8"/>
                <w:color w:val="auto"/>
              </w:rPr>
            </w:pPr>
          </w:p>
        </w:tc>
        <w:tc>
          <w:tcPr>
            <w:tcW w:w="1520" w:type="dxa"/>
            <w:vAlign w:val="bottom"/>
            <w:tcBorders>
              <w:bottom w:val="single" w:sz="8" w:color="8590A9"/>
            </w:tcBorders>
          </w:tcPr>
          <w:p>
            <w:pPr>
              <w:spacing w:after="0"/>
              <w:rPr>
                <w:sz w:val="8"/>
                <w:szCs w:val="8"/>
                <w:color w:val="auto"/>
              </w:rPr>
            </w:pPr>
          </w:p>
        </w:tc>
        <w:tc>
          <w:tcPr>
            <w:tcW w:w="260" w:type="dxa"/>
            <w:vAlign w:val="bottom"/>
            <w:tcBorders>
              <w:bottom w:val="single" w:sz="8" w:color="8590A9"/>
            </w:tcBorders>
            <w:shd w:val="clear" w:color="auto" w:fill="F5F5F5"/>
          </w:tcPr>
          <w:p>
            <w:pPr>
              <w:spacing w:after="0"/>
              <w:rPr>
                <w:sz w:val="8"/>
                <w:szCs w:val="8"/>
                <w:color w:val="auto"/>
              </w:rPr>
            </w:pPr>
          </w:p>
        </w:tc>
        <w:tc>
          <w:tcPr>
            <w:tcW w:w="1660" w:type="dxa"/>
            <w:vAlign w:val="bottom"/>
            <w:tcBorders>
              <w:bottom w:val="single" w:sz="8" w:color="8590A9"/>
            </w:tcBorders>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660" w:type="dxa"/>
            <w:vAlign w:val="bottom"/>
            <w:shd w:val="clear" w:color="auto" w:fill="ECEFF2"/>
          </w:tcPr>
          <w:p>
            <w:pPr>
              <w:spacing w:after="0"/>
              <w:rPr>
                <w:sz w:val="14"/>
                <w:szCs w:val="14"/>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345988"/>
              </w:rPr>
              <w:t>●</w:t>
            </w:r>
          </w:p>
        </w:tc>
        <w:tc>
          <w:tcPr>
            <w:tcW w:w="1940" w:type="dxa"/>
            <w:vAlign w:val="bottom"/>
            <w:vMerge w:val="restart"/>
          </w:tcPr>
          <w:p>
            <w:pPr>
              <w:ind w:left="60"/>
              <w:spacing w:after="0"/>
              <w:rPr>
                <w:sz w:val="20"/>
                <w:szCs w:val="20"/>
                <w:color w:val="auto"/>
              </w:rPr>
            </w:pPr>
            <w:r>
              <w:rPr>
                <w:rFonts w:ascii="Arial" w:cs="Arial" w:eastAsia="Arial" w:hAnsi="Arial"/>
                <w:sz w:val="14"/>
                <w:szCs w:val="14"/>
                <w:color w:val="auto"/>
              </w:rPr>
              <w:t>Discretionary annual equity</w:t>
            </w: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345988"/>
              </w:rPr>
              <w:t>●</w:t>
            </w:r>
          </w:p>
        </w:tc>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Eliminated discretionary</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14"/>
                <w:szCs w:val="14"/>
                <w:color w:val="auto"/>
              </w:rPr>
            </w:pPr>
          </w:p>
        </w:tc>
        <w:tc>
          <w:tcPr>
            <w:tcW w:w="260" w:type="dxa"/>
            <w:vAlign w:val="bottom"/>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rPr>
                <w:sz w:val="20"/>
                <w:szCs w:val="20"/>
                <w:color w:val="auto"/>
              </w:rPr>
            </w:pPr>
            <w:r>
              <w:rPr>
                <w:rFonts w:ascii="Arial" w:cs="Arial" w:eastAsia="Arial" w:hAnsi="Arial"/>
                <w:sz w:val="14"/>
                <w:szCs w:val="14"/>
                <w:color w:val="auto"/>
              </w:rPr>
              <w:t>Eliminates discretion,</w:t>
            </w: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3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2019 onward</w:t>
            </w:r>
          </w:p>
        </w:tc>
        <w:tc>
          <w:tcPr>
            <w:tcW w:w="260" w:type="dxa"/>
            <w:vAlign w:val="bottom"/>
            <w:shd w:val="clear" w:color="auto" w:fill="F5F5F5"/>
          </w:tcPr>
          <w:p>
            <w:pPr>
              <w:spacing w:after="0"/>
              <w:rPr>
                <w:sz w:val="5"/>
                <w:szCs w:val="5"/>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improves transparency</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bonus process not clear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equity bonus</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Mathias</w:t>
            </w:r>
          </w:p>
        </w:tc>
        <w:tc>
          <w:tcPr>
            <w:tcW w:w="1520" w:type="dxa"/>
            <w:vAlign w:val="bottom"/>
            <w:vMerge w:val="continue"/>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into total compensation</w:t>
            </w:r>
          </w:p>
        </w:tc>
        <w:tc>
          <w:tcPr>
            <w:tcW w:w="0" w:type="dxa"/>
            <w:vAlign w:val="bottom"/>
          </w:tcPr>
          <w:p>
            <w:pPr>
              <w:spacing w:after="0"/>
              <w:rPr>
                <w:sz w:val="1"/>
                <w:szCs w:val="1"/>
                <w:color w:val="auto"/>
              </w:rPr>
            </w:pPr>
          </w:p>
        </w:tc>
      </w:tr>
      <w:tr>
        <w:trPr>
          <w:trHeight w:val="89"/>
        </w:trPr>
        <w:tc>
          <w:tcPr>
            <w:tcW w:w="1660" w:type="dxa"/>
            <w:vAlign w:val="bottom"/>
            <w:tcBorders>
              <w:bottom w:val="single" w:sz="8" w:color="8590A9"/>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2240" w:type="dxa"/>
            <w:vAlign w:val="bottom"/>
            <w:gridSpan w:val="2"/>
          </w:tcPr>
          <w:p>
            <w:pPr>
              <w:ind w:left="1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Retesting feature allows for</w:t>
            </w: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345988"/>
              </w:rPr>
              <w:t>●</w:t>
            </w:r>
          </w:p>
        </w:tc>
        <w:tc>
          <w:tcPr>
            <w:tcW w:w="1820" w:type="dxa"/>
            <w:vAlign w:val="bottom"/>
          </w:tcPr>
          <w:p>
            <w:pPr>
              <w:spacing w:after="0"/>
              <w:rPr>
                <w:sz w:val="15"/>
                <w:szCs w:val="15"/>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15"/>
                <w:szCs w:val="15"/>
                <w:color w:val="auto"/>
              </w:rPr>
            </w:pPr>
          </w:p>
        </w:tc>
        <w:tc>
          <w:tcPr>
            <w:tcW w:w="260" w:type="dxa"/>
            <w:vAlign w:val="bottom"/>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rPr>
                <w:sz w:val="20"/>
                <w:szCs w:val="20"/>
                <w:color w:val="auto"/>
              </w:rPr>
            </w:pPr>
            <w:r>
              <w:rPr>
                <w:rFonts w:ascii="Arial" w:cs="Arial" w:eastAsia="Arial" w:hAnsi="Arial"/>
                <w:sz w:val="14"/>
                <w:szCs w:val="14"/>
                <w:color w:val="auto"/>
              </w:rPr>
              <w:t>Strengthens rigor of</w:t>
            </w: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multiple vesting opportunities</w:t>
            </w:r>
          </w:p>
        </w:tc>
        <w:tc>
          <w:tcPr>
            <w:tcW w:w="240" w:type="dxa"/>
            <w:vAlign w:val="bottom"/>
            <w:gridSpan w:val="2"/>
            <w:vMerge w:val="continue"/>
          </w:tcPr>
          <w:p>
            <w:pPr>
              <w:spacing w:after="0"/>
              <w:rPr>
                <w:sz w:val="5"/>
                <w:szCs w:val="5"/>
                <w:color w:val="auto"/>
              </w:rPr>
            </w:pPr>
          </w:p>
        </w:tc>
        <w:tc>
          <w:tcPr>
            <w:tcW w:w="182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Eliminated retesting</w:t>
            </w:r>
          </w:p>
        </w:tc>
        <w:tc>
          <w:tcPr>
            <w:tcW w:w="2020" w:type="dxa"/>
            <w:vAlign w:val="bottom"/>
            <w:vMerge w:val="continue"/>
          </w:tcPr>
          <w:p>
            <w:pPr>
              <w:spacing w:after="0"/>
              <w:rPr>
                <w:sz w:val="5"/>
                <w:szCs w:val="5"/>
                <w:color w:val="auto"/>
              </w:rPr>
            </w:pP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2019 onward</w:t>
            </w:r>
          </w:p>
        </w:tc>
        <w:tc>
          <w:tcPr>
            <w:tcW w:w="260" w:type="dxa"/>
            <w:vAlign w:val="bottom"/>
            <w:shd w:val="clear" w:color="auto" w:fill="F5F5F5"/>
          </w:tcPr>
          <w:p>
            <w:pPr>
              <w:spacing w:after="0"/>
              <w:rPr>
                <w:sz w:val="5"/>
                <w:szCs w:val="5"/>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performance-based</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Mathias CLO &amp; GC - Levine</w:t>
            </w:r>
          </w:p>
        </w:tc>
        <w:tc>
          <w:tcPr>
            <w:tcW w:w="1520" w:type="dxa"/>
            <w:vAlign w:val="bottom"/>
            <w:vMerge w:val="continue"/>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9"/>
        </w:trPr>
        <w:tc>
          <w:tcPr>
            <w:tcW w:w="1660" w:type="dxa"/>
            <w:vAlign w:val="bottom"/>
            <w:tcBorders>
              <w:bottom w:val="single" w:sz="8" w:color="ECEFF2"/>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60" w:type="dxa"/>
            <w:vAlign w:val="bottom"/>
            <w:gridSpan w:val="3"/>
          </w:tcPr>
          <w:p>
            <w:pPr>
              <w:ind w:left="10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50% LTIP units earned</w:t>
            </w:r>
          </w:p>
        </w:tc>
        <w:tc>
          <w:tcPr>
            <w:tcW w:w="2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60" w:type="dxa"/>
            <w:vAlign w:val="bottom"/>
            <w:vMerge w:val="restart"/>
            <w:shd w:val="clear" w:color="auto" w:fill="ECEFF2"/>
          </w:tcPr>
          <w:p>
            <w:pPr>
              <w:ind w:left="120"/>
              <w:spacing w:after="0"/>
              <w:rPr>
                <w:sz w:val="20"/>
                <w:szCs w:val="20"/>
                <w:color w:val="auto"/>
              </w:rPr>
            </w:pPr>
            <w:r>
              <w:rPr>
                <w:rFonts w:ascii="Arial" w:cs="Arial" w:eastAsia="Arial" w:hAnsi="Arial"/>
                <w:sz w:val="18"/>
                <w:szCs w:val="18"/>
                <w:b w:val="1"/>
                <w:bCs w:val="1"/>
                <w:color w:val="345988"/>
              </w:rPr>
              <w:t>Long-Term</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345988"/>
              </w:rPr>
              <w:t>●</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ind w:left="80"/>
              <w:spacing w:after="0" w:line="149" w:lineRule="exact"/>
              <w:rPr>
                <w:sz w:val="20"/>
                <w:szCs w:val="20"/>
                <w:color w:val="auto"/>
              </w:rPr>
            </w:pPr>
            <w:r>
              <w:rPr>
                <w:rFonts w:ascii="Arial" w:cs="Arial" w:eastAsia="Arial" w:hAnsi="Arial"/>
                <w:sz w:val="14"/>
                <w:szCs w:val="14"/>
                <w:color w:val="auto"/>
              </w:rPr>
              <w:t>based on annual operating</w:t>
            </w:r>
          </w:p>
        </w:tc>
        <w:tc>
          <w:tcPr>
            <w:tcW w:w="2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vMerge w:val="continue"/>
            <w:shd w:val="clear" w:color="auto" w:fill="F5F5F5"/>
          </w:tcPr>
          <w:p>
            <w:pPr>
              <w:spacing w:after="0"/>
              <w:rPr>
                <w:sz w:val="12"/>
                <w:szCs w:val="12"/>
                <w:color w:val="auto"/>
              </w:rPr>
            </w:pPr>
          </w:p>
        </w:tc>
        <w:tc>
          <w:tcPr>
            <w:tcW w:w="1660" w:type="dxa"/>
            <w:vAlign w:val="bottom"/>
            <w:shd w:val="clear" w:color="auto" w:fill="F5F5F5"/>
          </w:tcPr>
          <w:p>
            <w:pPr>
              <w:ind w:left="60"/>
              <w:spacing w:after="0" w:line="149" w:lineRule="exact"/>
              <w:rPr>
                <w:sz w:val="20"/>
                <w:szCs w:val="20"/>
                <w:color w:val="auto"/>
              </w:rPr>
            </w:pPr>
            <w:r>
              <w:rPr>
                <w:rFonts w:ascii="Arial" w:cs="Arial" w:eastAsia="Arial" w:hAnsi="Arial"/>
                <w:sz w:val="14"/>
                <w:szCs w:val="14"/>
                <w:color w:val="auto"/>
              </w:rPr>
              <w:t>Strengthens pay-for-</w:t>
            </w:r>
          </w:p>
        </w:tc>
        <w:tc>
          <w:tcPr>
            <w:tcW w:w="0" w:type="dxa"/>
            <w:vAlign w:val="bottom"/>
          </w:tcPr>
          <w:p>
            <w:pPr>
              <w:spacing w:after="0"/>
              <w:rPr>
                <w:sz w:val="1"/>
                <w:szCs w:val="1"/>
                <w:color w:val="auto"/>
              </w:rPr>
            </w:pPr>
          </w:p>
        </w:tc>
      </w:tr>
      <w:tr>
        <w:trPr>
          <w:trHeight w:val="190"/>
        </w:trPr>
        <w:tc>
          <w:tcPr>
            <w:tcW w:w="1660" w:type="dxa"/>
            <w:vAlign w:val="bottom"/>
            <w:vMerge w:val="continue"/>
            <w:shd w:val="clear" w:color="auto" w:fill="ECEFF2"/>
          </w:tcPr>
          <w:p>
            <w:pPr>
              <w:spacing w:after="0"/>
              <w:rPr>
                <w:sz w:val="16"/>
                <w:szCs w:val="16"/>
                <w:color w:val="auto"/>
              </w:rPr>
            </w:pPr>
          </w:p>
        </w:tc>
        <w:tc>
          <w:tcPr>
            <w:tcW w:w="300" w:type="dxa"/>
            <w:vAlign w:val="bottom"/>
            <w:vMerge w:val="continue"/>
          </w:tcPr>
          <w:p>
            <w:pPr>
              <w:spacing w:after="0"/>
              <w:rPr>
                <w:sz w:val="16"/>
                <w:szCs w:val="16"/>
                <w:color w:val="auto"/>
              </w:rPr>
            </w:pPr>
          </w:p>
        </w:tc>
        <w:tc>
          <w:tcPr>
            <w:tcW w:w="1940" w:type="dxa"/>
            <w:vAlign w:val="bottom"/>
          </w:tcPr>
          <w:p>
            <w:pPr>
              <w:ind w:left="60"/>
              <w:spacing w:after="0"/>
              <w:rPr>
                <w:sz w:val="20"/>
                <w:szCs w:val="20"/>
                <w:color w:val="auto"/>
              </w:rPr>
            </w:pPr>
            <w:r>
              <w:rPr>
                <w:rFonts w:ascii="Arial" w:cs="Arial" w:eastAsia="Arial" w:hAnsi="Arial"/>
                <w:sz w:val="14"/>
                <w:szCs w:val="14"/>
                <w:color w:val="auto"/>
              </w:rPr>
              <w:t>Performance period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ind w:left="80"/>
              <w:spacing w:after="0"/>
              <w:rPr>
                <w:sz w:val="20"/>
                <w:szCs w:val="20"/>
                <w:color w:val="auto"/>
              </w:rPr>
            </w:pPr>
            <w:r>
              <w:rPr>
                <w:rFonts w:ascii="Arial" w:cs="Arial" w:eastAsia="Arial" w:hAnsi="Arial"/>
                <w:sz w:val="14"/>
                <w:szCs w:val="14"/>
                <w:color w:val="auto"/>
              </w:rPr>
              <w:t>goals, subject to 3 year</w:t>
            </w:r>
          </w:p>
        </w:tc>
        <w:tc>
          <w:tcPr>
            <w:tcW w:w="2020" w:type="dxa"/>
            <w:vAlign w:val="bottom"/>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vMerge w:val="restart"/>
          </w:tcPr>
          <w:p>
            <w:pPr>
              <w:ind w:left="240"/>
              <w:spacing w:after="0"/>
              <w:rPr>
                <w:sz w:val="20"/>
                <w:szCs w:val="20"/>
                <w:color w:val="auto"/>
              </w:rPr>
            </w:pPr>
            <w:r>
              <w:rPr>
                <w:rFonts w:ascii="Arial" w:cs="Arial" w:eastAsia="Arial" w:hAnsi="Arial"/>
                <w:sz w:val="14"/>
                <w:szCs w:val="14"/>
                <w:color w:val="auto"/>
              </w:rPr>
              <w:t>2019 onward</w:t>
            </w: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80"/>
              <w:spacing w:after="0"/>
              <w:rPr>
                <w:sz w:val="20"/>
                <w:szCs w:val="20"/>
                <w:color w:val="auto"/>
              </w:rPr>
            </w:pPr>
            <w:r>
              <w:rPr>
                <w:rFonts w:ascii="Arial" w:cs="Arial" w:eastAsia="Arial" w:hAnsi="Arial"/>
                <w:sz w:val="14"/>
                <w:szCs w:val="14"/>
                <w:color w:val="auto"/>
              </w:rPr>
              <w:t>performance link</w:t>
            </w:r>
          </w:p>
        </w:tc>
        <w:tc>
          <w:tcPr>
            <w:tcW w:w="0" w:type="dxa"/>
            <w:vAlign w:val="bottom"/>
          </w:tcPr>
          <w:p>
            <w:pPr>
              <w:spacing w:after="0"/>
              <w:rPr>
                <w:sz w:val="1"/>
                <w:szCs w:val="1"/>
                <w:color w:val="auto"/>
              </w:rPr>
            </w:pPr>
          </w:p>
        </w:tc>
      </w:tr>
      <w:tr>
        <w:trPr>
          <w:trHeight w:val="107"/>
        </w:trPr>
        <w:tc>
          <w:tcPr>
            <w:tcW w:w="1660" w:type="dxa"/>
            <w:vAlign w:val="bottom"/>
            <w:vMerge w:val="restart"/>
            <w:shd w:val="clear" w:color="auto" w:fill="ECEFF2"/>
          </w:tcPr>
          <w:p>
            <w:pPr>
              <w:ind w:left="120"/>
              <w:spacing w:after="0"/>
              <w:rPr>
                <w:sz w:val="20"/>
                <w:szCs w:val="20"/>
                <w:color w:val="auto"/>
              </w:rPr>
            </w:pPr>
            <w:r>
              <w:rPr>
                <w:rFonts w:ascii="Arial" w:cs="Arial" w:eastAsia="Arial" w:hAnsi="Arial"/>
                <w:sz w:val="18"/>
                <w:szCs w:val="18"/>
                <w:b w:val="1"/>
                <w:bCs w:val="1"/>
                <w:color w:val="345988"/>
              </w:rPr>
              <w:t>Incentive</w:t>
            </w:r>
          </w:p>
        </w:tc>
        <w:tc>
          <w:tcPr>
            <w:tcW w:w="300" w:type="dxa"/>
            <w:vAlign w:val="bottom"/>
          </w:tcPr>
          <w:p>
            <w:pPr>
              <w:spacing w:after="0"/>
              <w:rPr>
                <w:sz w:val="9"/>
                <w:szCs w:val="9"/>
                <w:color w:val="auto"/>
              </w:rPr>
            </w:pPr>
          </w:p>
        </w:tc>
        <w:tc>
          <w:tcPr>
            <w:tcW w:w="1940" w:type="dxa"/>
            <w:vAlign w:val="bottom"/>
          </w:tcPr>
          <w:p>
            <w:pPr>
              <w:ind w:left="100"/>
              <w:spacing w:after="0" w:line="107" w:lineRule="exact"/>
              <w:rPr>
                <w:sz w:val="20"/>
                <w:szCs w:val="20"/>
                <w:color w:val="auto"/>
              </w:rPr>
            </w:pPr>
            <w:r>
              <w:rPr>
                <w:rFonts w:ascii="Arial" w:cs="Arial" w:eastAsia="Arial" w:hAnsi="Arial"/>
                <w:sz w:val="12"/>
                <w:szCs w:val="12"/>
                <w:color w:val="auto"/>
              </w:rPr>
              <w:t>performance units should be</w:t>
            </w: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345988"/>
              </w:rPr>
              <w:t>●</w:t>
            </w:r>
          </w:p>
        </w:tc>
        <w:tc>
          <w:tcPr>
            <w:tcW w:w="1820" w:type="dxa"/>
            <w:vAlign w:val="bottom"/>
          </w:tcPr>
          <w:p>
            <w:pPr>
              <w:ind w:left="80"/>
              <w:spacing w:after="0" w:line="107" w:lineRule="exact"/>
              <w:rPr>
                <w:sz w:val="20"/>
                <w:szCs w:val="20"/>
                <w:color w:val="auto"/>
              </w:rPr>
            </w:pPr>
            <w:r>
              <w:rPr>
                <w:rFonts w:ascii="Arial" w:cs="Arial" w:eastAsia="Arial" w:hAnsi="Arial"/>
                <w:sz w:val="12"/>
                <w:szCs w:val="12"/>
                <w:color w:val="auto"/>
              </w:rPr>
              <w:t>absolute TSR</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Mathias CLO &amp; GC - Levine</w:t>
            </w:r>
          </w:p>
        </w:tc>
        <w:tc>
          <w:tcPr>
            <w:tcW w:w="1520" w:type="dxa"/>
            <w:vAlign w:val="bottom"/>
            <w:vMerge w:val="continue"/>
          </w:tcPr>
          <w:p>
            <w:pPr>
              <w:spacing w:after="0"/>
              <w:rPr>
                <w:sz w:val="9"/>
                <w:szCs w:val="9"/>
                <w:color w:val="auto"/>
              </w:rPr>
            </w:pPr>
          </w:p>
        </w:tc>
        <w:tc>
          <w:tcPr>
            <w:tcW w:w="260" w:type="dxa"/>
            <w:vAlign w:val="bottom"/>
            <w:vMerge w:val="continue"/>
            <w:shd w:val="clear" w:color="auto" w:fill="F5F5F5"/>
          </w:tcPr>
          <w:p>
            <w:pPr>
              <w:spacing w:after="0"/>
              <w:rPr>
                <w:sz w:val="9"/>
                <w:szCs w:val="9"/>
                <w:color w:val="auto"/>
              </w:rPr>
            </w:pPr>
          </w:p>
        </w:tc>
        <w:tc>
          <w:tcPr>
            <w:tcW w:w="1660" w:type="dxa"/>
            <w:vAlign w:val="bottom"/>
            <w:shd w:val="clear" w:color="auto" w:fill="F5F5F5"/>
          </w:tcPr>
          <w:p>
            <w:pPr>
              <w:ind w:left="60"/>
              <w:spacing w:after="0" w:line="107" w:lineRule="exact"/>
              <w:rPr>
                <w:sz w:val="20"/>
                <w:szCs w:val="20"/>
                <w:color w:val="auto"/>
              </w:rPr>
            </w:pPr>
            <w:r>
              <w:rPr>
                <w:rFonts w:ascii="Arial" w:cs="Arial" w:eastAsia="Arial" w:hAnsi="Arial"/>
                <w:sz w:val="12"/>
                <w:szCs w:val="12"/>
                <w:color w:val="auto"/>
              </w:rPr>
              <w:t>Improves long-term</w:t>
            </w:r>
          </w:p>
        </w:tc>
        <w:tc>
          <w:tcPr>
            <w:tcW w:w="0" w:type="dxa"/>
            <w:vAlign w:val="bottom"/>
          </w:tcPr>
          <w:p>
            <w:pPr>
              <w:spacing w:after="0"/>
              <w:rPr>
                <w:sz w:val="1"/>
                <w:szCs w:val="1"/>
                <w:color w:val="auto"/>
              </w:rPr>
            </w:pPr>
          </w:p>
        </w:tc>
      </w:tr>
      <w:tr>
        <w:trPr>
          <w:trHeight w:val="149"/>
        </w:trPr>
        <w:tc>
          <w:tcPr>
            <w:tcW w:w="1660" w:type="dxa"/>
            <w:vAlign w:val="bottom"/>
            <w:vMerge w:val="continue"/>
            <w:shd w:val="clear" w:color="auto" w:fill="ECEFF2"/>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ind w:left="100"/>
              <w:spacing w:after="0" w:line="149" w:lineRule="exact"/>
              <w:rPr>
                <w:sz w:val="20"/>
                <w:szCs w:val="20"/>
                <w:color w:val="auto"/>
              </w:rPr>
            </w:pPr>
            <w:r>
              <w:rPr>
                <w:rFonts w:ascii="Arial" w:cs="Arial" w:eastAsia="Arial" w:hAnsi="Arial"/>
                <w:sz w:val="14"/>
                <w:szCs w:val="14"/>
                <w:color w:val="auto"/>
              </w:rPr>
              <w:t>longer than one year</w:t>
            </w:r>
          </w:p>
        </w:tc>
        <w:tc>
          <w:tcPr>
            <w:tcW w:w="240" w:type="dxa"/>
            <w:vAlign w:val="bottom"/>
            <w:gridSpan w:val="2"/>
            <w:vMerge w:val="continue"/>
          </w:tcPr>
          <w:p>
            <w:pPr>
              <w:spacing w:after="0"/>
              <w:rPr>
                <w:sz w:val="12"/>
                <w:szCs w:val="12"/>
                <w:color w:val="auto"/>
              </w:rPr>
            </w:pPr>
          </w:p>
        </w:tc>
        <w:tc>
          <w:tcPr>
            <w:tcW w:w="1820" w:type="dxa"/>
            <w:vAlign w:val="bottom"/>
          </w:tcPr>
          <w:p>
            <w:pPr>
              <w:ind w:left="60"/>
              <w:spacing w:after="0" w:line="149" w:lineRule="exact"/>
              <w:rPr>
                <w:sz w:val="20"/>
                <w:szCs w:val="20"/>
                <w:color w:val="auto"/>
              </w:rPr>
            </w:pPr>
            <w:r>
              <w:rPr>
                <w:rFonts w:ascii="Arial" w:cs="Arial" w:eastAsia="Arial" w:hAnsi="Arial"/>
                <w:sz w:val="14"/>
                <w:szCs w:val="14"/>
                <w:color w:val="auto"/>
              </w:rPr>
              <w:t>50% LTIP units earned</w:t>
            </w:r>
          </w:p>
        </w:tc>
        <w:tc>
          <w:tcPr>
            <w:tcW w:w="202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1660" w:type="dxa"/>
            <w:vAlign w:val="bottom"/>
            <w:shd w:val="clear" w:color="auto" w:fill="F5F5F5"/>
          </w:tcPr>
          <w:p>
            <w:pPr>
              <w:ind w:left="80"/>
              <w:spacing w:after="0" w:line="149" w:lineRule="exact"/>
              <w:rPr>
                <w:sz w:val="20"/>
                <w:szCs w:val="20"/>
                <w:color w:val="auto"/>
              </w:rPr>
            </w:pPr>
            <w:r>
              <w:rPr>
                <w:rFonts w:ascii="Arial" w:cs="Arial" w:eastAsia="Arial" w:hAnsi="Arial"/>
                <w:sz w:val="14"/>
                <w:szCs w:val="14"/>
                <w:color w:val="auto"/>
              </w:rPr>
              <w:t>alignment of executives’</w:t>
            </w:r>
          </w:p>
        </w:tc>
        <w:tc>
          <w:tcPr>
            <w:tcW w:w="0" w:type="dxa"/>
            <w:vAlign w:val="bottom"/>
          </w:tcPr>
          <w:p>
            <w:pPr>
              <w:spacing w:after="0"/>
              <w:rPr>
                <w:sz w:val="1"/>
                <w:szCs w:val="1"/>
                <w:color w:val="auto"/>
              </w:rPr>
            </w:pPr>
          </w:p>
        </w:tc>
      </w:tr>
      <w:tr>
        <w:trPr>
          <w:trHeight w:val="149"/>
        </w:trPr>
        <w:tc>
          <w:tcPr>
            <w:tcW w:w="1660" w:type="dxa"/>
            <w:vAlign w:val="bottom"/>
            <w:shd w:val="clear" w:color="auto" w:fill="ECEFF2"/>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ind w:left="80"/>
              <w:spacing w:after="0" w:line="149" w:lineRule="exact"/>
              <w:rPr>
                <w:sz w:val="20"/>
                <w:szCs w:val="20"/>
                <w:color w:val="auto"/>
              </w:rPr>
            </w:pPr>
            <w:r>
              <w:rPr>
                <w:rFonts w:ascii="Arial" w:cs="Arial" w:eastAsia="Arial" w:hAnsi="Arial"/>
                <w:sz w:val="14"/>
                <w:szCs w:val="14"/>
                <w:color w:val="auto"/>
              </w:rPr>
              <w:t>based on 3-year relative</w:t>
            </w:r>
          </w:p>
        </w:tc>
        <w:tc>
          <w:tcPr>
            <w:tcW w:w="2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1660" w:type="dxa"/>
            <w:vAlign w:val="bottom"/>
            <w:shd w:val="clear" w:color="auto" w:fill="F5F5F5"/>
          </w:tcPr>
          <w:p>
            <w:pPr>
              <w:ind w:left="80"/>
              <w:spacing w:after="0" w:line="149" w:lineRule="exact"/>
              <w:rPr>
                <w:sz w:val="20"/>
                <w:szCs w:val="20"/>
                <w:color w:val="auto"/>
              </w:rPr>
            </w:pPr>
            <w:r>
              <w:rPr>
                <w:rFonts w:ascii="Arial" w:cs="Arial" w:eastAsia="Arial" w:hAnsi="Arial"/>
                <w:sz w:val="14"/>
                <w:szCs w:val="14"/>
                <w:color w:val="auto"/>
              </w:rPr>
              <w:t>interests</w:t>
            </w:r>
          </w:p>
        </w:tc>
        <w:tc>
          <w:tcPr>
            <w:tcW w:w="0" w:type="dxa"/>
            <w:vAlign w:val="bottom"/>
          </w:tcPr>
          <w:p>
            <w:pPr>
              <w:spacing w:after="0"/>
              <w:rPr>
                <w:sz w:val="1"/>
                <w:szCs w:val="1"/>
                <w:color w:val="auto"/>
              </w:rPr>
            </w:pPr>
          </w:p>
        </w:tc>
      </w:tr>
      <w:tr>
        <w:trPr>
          <w:trHeight w:val="170"/>
        </w:trPr>
        <w:tc>
          <w:tcPr>
            <w:tcW w:w="1660" w:type="dxa"/>
            <w:vAlign w:val="bottom"/>
            <w:tcBorders>
              <w:bottom w:val="single" w:sz="8" w:color="ECEFF2"/>
            </w:tcBorders>
            <w:shd w:val="clear" w:color="auto" w:fill="ECEFF2"/>
          </w:tcPr>
          <w:p>
            <w:pPr>
              <w:spacing w:after="0"/>
              <w:rPr>
                <w:sz w:val="14"/>
                <w:szCs w:val="14"/>
                <w:color w:val="auto"/>
              </w:rPr>
            </w:pPr>
          </w:p>
        </w:tc>
        <w:tc>
          <w:tcPr>
            <w:tcW w:w="300" w:type="dxa"/>
            <w:vAlign w:val="bottom"/>
            <w:tcBorders>
              <w:bottom w:val="single" w:sz="8" w:color="8590A9"/>
            </w:tcBorders>
          </w:tcPr>
          <w:p>
            <w:pPr>
              <w:spacing w:after="0"/>
              <w:rPr>
                <w:sz w:val="14"/>
                <w:szCs w:val="14"/>
                <w:color w:val="auto"/>
              </w:rPr>
            </w:pPr>
          </w:p>
        </w:tc>
        <w:tc>
          <w:tcPr>
            <w:tcW w:w="1940" w:type="dxa"/>
            <w:vAlign w:val="bottom"/>
            <w:tcBorders>
              <w:bottom w:val="single" w:sz="8" w:color="8590A9"/>
            </w:tcBorders>
          </w:tcPr>
          <w:p>
            <w:pPr>
              <w:spacing w:after="0"/>
              <w:rPr>
                <w:sz w:val="14"/>
                <w:szCs w:val="14"/>
                <w:color w:val="auto"/>
              </w:rPr>
            </w:pPr>
          </w:p>
        </w:tc>
        <w:tc>
          <w:tcPr>
            <w:tcW w:w="100" w:type="dxa"/>
            <w:vAlign w:val="bottom"/>
            <w:tcBorders>
              <w:bottom w:val="single" w:sz="8" w:color="8590A9"/>
            </w:tcBorders>
          </w:tcPr>
          <w:p>
            <w:pPr>
              <w:spacing w:after="0"/>
              <w:rPr>
                <w:sz w:val="14"/>
                <w:szCs w:val="14"/>
                <w:color w:val="auto"/>
              </w:rPr>
            </w:pPr>
          </w:p>
        </w:tc>
        <w:tc>
          <w:tcPr>
            <w:tcW w:w="140" w:type="dxa"/>
            <w:vAlign w:val="bottom"/>
            <w:tcBorders>
              <w:bottom w:val="single" w:sz="8" w:color="8590A9"/>
            </w:tcBorders>
          </w:tcPr>
          <w:p>
            <w:pPr>
              <w:spacing w:after="0"/>
              <w:rPr>
                <w:sz w:val="14"/>
                <w:szCs w:val="14"/>
                <w:color w:val="auto"/>
              </w:rPr>
            </w:pPr>
          </w:p>
        </w:tc>
        <w:tc>
          <w:tcPr>
            <w:tcW w:w="1820" w:type="dxa"/>
            <w:vAlign w:val="bottom"/>
            <w:tcBorders>
              <w:bottom w:val="single" w:sz="8" w:color="8590A9"/>
            </w:tcBorders>
          </w:tcPr>
          <w:p>
            <w:pPr>
              <w:ind w:left="80"/>
              <w:spacing w:after="0"/>
              <w:rPr>
                <w:sz w:val="20"/>
                <w:szCs w:val="20"/>
                <w:color w:val="auto"/>
              </w:rPr>
            </w:pPr>
            <w:r>
              <w:rPr>
                <w:rFonts w:ascii="Arial" w:cs="Arial" w:eastAsia="Arial" w:hAnsi="Arial"/>
                <w:sz w:val="14"/>
                <w:szCs w:val="14"/>
                <w:color w:val="auto"/>
              </w:rPr>
              <w:t>TSR</w:t>
            </w:r>
          </w:p>
        </w:tc>
        <w:tc>
          <w:tcPr>
            <w:tcW w:w="2020" w:type="dxa"/>
            <w:vAlign w:val="bottom"/>
            <w:tcBorders>
              <w:bottom w:val="single" w:sz="8" w:color="8590A9"/>
            </w:tcBorders>
          </w:tcPr>
          <w:p>
            <w:pPr>
              <w:spacing w:after="0"/>
              <w:rPr>
                <w:sz w:val="14"/>
                <w:szCs w:val="14"/>
                <w:color w:val="auto"/>
              </w:rPr>
            </w:pPr>
          </w:p>
        </w:tc>
        <w:tc>
          <w:tcPr>
            <w:tcW w:w="1520" w:type="dxa"/>
            <w:vAlign w:val="bottom"/>
            <w:tcBorders>
              <w:bottom w:val="single" w:sz="8" w:color="8590A9"/>
            </w:tcBorders>
          </w:tcPr>
          <w:p>
            <w:pPr>
              <w:spacing w:after="0"/>
              <w:rPr>
                <w:sz w:val="14"/>
                <w:szCs w:val="14"/>
                <w:color w:val="auto"/>
              </w:rPr>
            </w:pPr>
          </w:p>
        </w:tc>
        <w:tc>
          <w:tcPr>
            <w:tcW w:w="260" w:type="dxa"/>
            <w:vAlign w:val="bottom"/>
            <w:tcBorders>
              <w:bottom w:val="single" w:sz="8" w:color="8590A9"/>
            </w:tcBorders>
            <w:shd w:val="clear" w:color="auto" w:fill="F5F5F5"/>
          </w:tcPr>
          <w:p>
            <w:pPr>
              <w:spacing w:after="0"/>
              <w:rPr>
                <w:sz w:val="14"/>
                <w:szCs w:val="14"/>
                <w:color w:val="auto"/>
              </w:rPr>
            </w:pPr>
          </w:p>
        </w:tc>
        <w:tc>
          <w:tcPr>
            <w:tcW w:w="1660" w:type="dxa"/>
            <w:vAlign w:val="bottom"/>
            <w:tcBorders>
              <w:bottom w:val="single" w:sz="8" w:color="8590A9"/>
            </w:tcBorders>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345988"/>
              </w:rPr>
              <w:t>●</w:t>
            </w:r>
          </w:p>
        </w:tc>
        <w:tc>
          <w:tcPr>
            <w:tcW w:w="1940" w:type="dxa"/>
            <w:vAlign w:val="bottom"/>
            <w:vMerge w:val="restart"/>
          </w:tcPr>
          <w:p>
            <w:pPr>
              <w:ind w:left="60"/>
              <w:spacing w:after="0"/>
              <w:rPr>
                <w:sz w:val="20"/>
                <w:szCs w:val="20"/>
                <w:color w:val="auto"/>
              </w:rPr>
            </w:pPr>
            <w:r>
              <w:rPr>
                <w:rFonts w:ascii="Arial" w:cs="Arial" w:eastAsia="Arial" w:hAnsi="Arial"/>
                <w:sz w:val="14"/>
                <w:szCs w:val="14"/>
                <w:color w:val="auto"/>
              </w:rPr>
              <w:t>Contracts guarantee equity</w:t>
            </w:r>
          </w:p>
        </w:tc>
        <w:tc>
          <w:tcPr>
            <w:tcW w:w="240" w:type="dxa"/>
            <w:vAlign w:val="bottom"/>
            <w:gridSpan w:val="2"/>
          </w:tcPr>
          <w:p>
            <w:pPr>
              <w:ind w:left="100"/>
              <w:spacing w:after="0"/>
              <w:rPr>
                <w:sz w:val="20"/>
                <w:szCs w:val="20"/>
                <w:color w:val="auto"/>
              </w:rPr>
            </w:pPr>
            <w:r>
              <w:rPr>
                <w:rFonts w:ascii="Arial" w:cs="Arial" w:eastAsia="Arial" w:hAnsi="Arial"/>
                <w:sz w:val="13"/>
                <w:szCs w:val="13"/>
                <w:color w:val="345988"/>
              </w:rPr>
              <w:t>●</w:t>
            </w:r>
          </w:p>
        </w:tc>
        <w:tc>
          <w:tcPr>
            <w:tcW w:w="1820" w:type="dxa"/>
            <w:vAlign w:val="bottom"/>
          </w:tcPr>
          <w:p>
            <w:pPr>
              <w:ind w:left="60"/>
              <w:spacing w:after="0"/>
              <w:rPr>
                <w:sz w:val="20"/>
                <w:szCs w:val="20"/>
                <w:color w:val="auto"/>
              </w:rPr>
            </w:pPr>
            <w:r>
              <w:rPr>
                <w:rFonts w:ascii="Arial" w:cs="Arial" w:eastAsia="Arial" w:hAnsi="Arial"/>
                <w:sz w:val="14"/>
                <w:szCs w:val="14"/>
                <w:color w:val="auto"/>
              </w:rPr>
              <w:t>New contracts replace</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15"/>
                <w:szCs w:val="15"/>
                <w:color w:val="auto"/>
              </w:rPr>
            </w:pP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vMerge w:val="restart"/>
            <w:shd w:val="clear" w:color="auto" w:fill="F5F5F5"/>
          </w:tcPr>
          <w:p>
            <w:pPr>
              <w:ind w:left="60"/>
              <w:spacing w:after="0"/>
              <w:rPr>
                <w:sz w:val="20"/>
                <w:szCs w:val="20"/>
                <w:color w:val="auto"/>
              </w:rPr>
            </w:pPr>
            <w:r>
              <w:rPr>
                <w:rFonts w:ascii="Arial" w:cs="Arial" w:eastAsia="Arial" w:hAnsi="Arial"/>
                <w:sz w:val="14"/>
                <w:szCs w:val="14"/>
                <w:color w:val="auto"/>
              </w:rPr>
              <w:t>Eliminates contractual</w:t>
            </w: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3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contractual guarantees with</w:t>
            </w:r>
          </w:p>
        </w:tc>
        <w:tc>
          <w:tcPr>
            <w:tcW w:w="2020" w:type="dxa"/>
            <w:vAlign w:val="bottom"/>
            <w:vMerge w:val="continue"/>
          </w:tcPr>
          <w:p>
            <w:pPr>
              <w:spacing w:after="0"/>
              <w:rPr>
                <w:sz w:val="5"/>
                <w:szCs w:val="5"/>
                <w:color w:val="auto"/>
              </w:rPr>
            </w:pP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2019 onward</w:t>
            </w:r>
          </w:p>
        </w:tc>
        <w:tc>
          <w:tcPr>
            <w:tcW w:w="260" w:type="dxa"/>
            <w:vAlign w:val="bottom"/>
            <w:vMerge w:val="continue"/>
            <w:shd w:val="clear" w:color="auto" w:fill="F5F5F5"/>
          </w:tcPr>
          <w:p>
            <w:pPr>
              <w:spacing w:after="0"/>
              <w:rPr>
                <w:sz w:val="5"/>
                <w:szCs w:val="5"/>
                <w:color w:val="auto"/>
              </w:rPr>
            </w:pPr>
          </w:p>
        </w:tc>
        <w:tc>
          <w:tcPr>
            <w:tcW w:w="1660" w:type="dxa"/>
            <w:vAlign w:val="bottom"/>
            <w:vMerge w:val="continue"/>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grants on multi-year basis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Mathias CLO &amp; GC - Levine</w:t>
            </w:r>
          </w:p>
        </w:tc>
        <w:tc>
          <w:tcPr>
            <w:tcW w:w="1520" w:type="dxa"/>
            <w:vAlign w:val="bottom"/>
            <w:vMerge w:val="continue"/>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guarantees</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target equity grants</w:t>
            </w:r>
          </w:p>
        </w:tc>
        <w:tc>
          <w:tcPr>
            <w:tcW w:w="20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60" w:type="dxa"/>
            <w:vAlign w:val="bottom"/>
            <w:tcBorders>
              <w:bottom w:val="single" w:sz="8" w:color="8590A9"/>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vMerge w:val="continue"/>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345988"/>
              </w:rPr>
              <w:t>●</w:t>
            </w:r>
          </w:p>
        </w:tc>
        <w:tc>
          <w:tcPr>
            <w:tcW w:w="1940" w:type="dxa"/>
            <w:vAlign w:val="bottom"/>
            <w:vMerge w:val="restart"/>
          </w:tcPr>
          <w:p>
            <w:pPr>
              <w:ind w:left="60"/>
              <w:spacing w:after="0"/>
              <w:rPr>
                <w:sz w:val="20"/>
                <w:szCs w:val="20"/>
                <w:color w:val="auto"/>
              </w:rPr>
            </w:pPr>
            <w:r>
              <w:rPr>
                <w:rFonts w:ascii="Arial" w:cs="Arial" w:eastAsia="Arial" w:hAnsi="Arial"/>
                <w:sz w:val="14"/>
                <w:szCs w:val="14"/>
                <w:color w:val="auto"/>
              </w:rPr>
              <w:t>Compensation program is</w:t>
            </w: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345988"/>
              </w:rPr>
              <w:t>●</w:t>
            </w:r>
          </w:p>
        </w:tc>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Reduced elements of</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CEO - Holliday President -</w:t>
            </w:r>
          </w:p>
        </w:tc>
        <w:tc>
          <w:tcPr>
            <w:tcW w:w="1520" w:type="dxa"/>
            <w:vAlign w:val="bottom"/>
          </w:tcPr>
          <w:p>
            <w:pPr>
              <w:spacing w:after="0"/>
              <w:rPr>
                <w:sz w:val="15"/>
                <w:szCs w:val="15"/>
                <w:color w:val="auto"/>
              </w:rPr>
            </w:pPr>
          </w:p>
        </w:tc>
        <w:tc>
          <w:tcPr>
            <w:tcW w:w="260" w:type="dxa"/>
            <w:vAlign w:val="bottom"/>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rPr>
                <w:sz w:val="20"/>
                <w:szCs w:val="20"/>
                <w:color w:val="auto"/>
              </w:rPr>
            </w:pPr>
            <w:r>
              <w:rPr>
                <w:rFonts w:ascii="Arial" w:cs="Arial" w:eastAsia="Arial" w:hAnsi="Arial"/>
                <w:sz w:val="14"/>
                <w:szCs w:val="14"/>
                <w:color w:val="auto"/>
              </w:rPr>
              <w:t>Improves transparency</w:t>
            </w: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3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2019 onward</w:t>
            </w:r>
          </w:p>
        </w:tc>
        <w:tc>
          <w:tcPr>
            <w:tcW w:w="260" w:type="dxa"/>
            <w:vAlign w:val="bottom"/>
            <w:shd w:val="clear" w:color="auto" w:fill="F5F5F5"/>
          </w:tcPr>
          <w:p>
            <w:pPr>
              <w:spacing w:after="0"/>
              <w:rPr>
                <w:sz w:val="5"/>
                <w:szCs w:val="5"/>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to assess pay-for-</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complicated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compensation from 7 to 4</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Mathias</w:t>
            </w:r>
          </w:p>
        </w:tc>
        <w:tc>
          <w:tcPr>
            <w:tcW w:w="1520" w:type="dxa"/>
            <w:vAlign w:val="bottom"/>
            <w:vMerge w:val="continue"/>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performance linkage</w:t>
            </w:r>
          </w:p>
        </w:tc>
        <w:tc>
          <w:tcPr>
            <w:tcW w:w="0" w:type="dxa"/>
            <w:vAlign w:val="bottom"/>
          </w:tcPr>
          <w:p>
            <w:pPr>
              <w:spacing w:after="0"/>
              <w:rPr>
                <w:sz w:val="1"/>
                <w:szCs w:val="1"/>
                <w:color w:val="auto"/>
              </w:rPr>
            </w:pPr>
          </w:p>
        </w:tc>
      </w:tr>
      <w:tr>
        <w:trPr>
          <w:trHeight w:val="89"/>
        </w:trPr>
        <w:tc>
          <w:tcPr>
            <w:tcW w:w="1660" w:type="dxa"/>
            <w:vAlign w:val="bottom"/>
            <w:tcBorders>
              <w:bottom w:val="single" w:sz="8" w:color="ECEFF2"/>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300" w:type="dxa"/>
            <w:vAlign w:val="bottom"/>
            <w:vMerge w:val="restart"/>
          </w:tcPr>
          <w:p>
            <w:pPr>
              <w:ind w:left="160"/>
              <w:spacing w:after="0"/>
              <w:rPr>
                <w:sz w:val="20"/>
                <w:szCs w:val="20"/>
                <w:color w:val="auto"/>
              </w:rPr>
            </w:pPr>
            <w:r>
              <w:rPr>
                <w:rFonts w:ascii="Arial" w:cs="Arial" w:eastAsia="Arial" w:hAnsi="Arial"/>
                <w:sz w:val="13"/>
                <w:szCs w:val="13"/>
                <w:color w:val="345988"/>
              </w:rPr>
              <w:t>●</w:t>
            </w:r>
          </w:p>
        </w:tc>
        <w:tc>
          <w:tcPr>
            <w:tcW w:w="1940" w:type="dxa"/>
            <w:vAlign w:val="bottom"/>
          </w:tcPr>
          <w:p>
            <w:pPr>
              <w:spacing w:after="0"/>
              <w:rPr>
                <w:sz w:val="15"/>
                <w:szCs w:val="15"/>
                <w:color w:val="auto"/>
              </w:rPr>
            </w:pPr>
          </w:p>
        </w:tc>
        <w:tc>
          <w:tcPr>
            <w:tcW w:w="2060" w:type="dxa"/>
            <w:vAlign w:val="bottom"/>
            <w:gridSpan w:val="3"/>
          </w:tcPr>
          <w:p>
            <w:pPr>
              <w:ind w:left="10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Stephen L. Green transition</w:t>
            </w:r>
          </w:p>
        </w:tc>
        <w:tc>
          <w:tcPr>
            <w:tcW w:w="2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vMerge w:val="restart"/>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vMerge w:val="restart"/>
            <w:shd w:val="clear" w:color="auto" w:fill="F5F5F5"/>
          </w:tcPr>
          <w:p>
            <w:pPr>
              <w:ind w:left="60"/>
              <w:spacing w:after="0"/>
              <w:rPr>
                <w:sz w:val="20"/>
                <w:szCs w:val="20"/>
                <w:color w:val="auto"/>
              </w:rPr>
            </w:pPr>
            <w:r>
              <w:rPr>
                <w:rFonts w:ascii="Arial" w:cs="Arial" w:eastAsia="Arial" w:hAnsi="Arial"/>
                <w:sz w:val="14"/>
                <w:szCs w:val="14"/>
                <w:color w:val="auto"/>
              </w:rPr>
              <w:t>No longer compensated</w:t>
            </w:r>
          </w:p>
        </w:tc>
        <w:tc>
          <w:tcPr>
            <w:tcW w:w="0" w:type="dxa"/>
            <w:vAlign w:val="bottom"/>
          </w:tcPr>
          <w:p>
            <w:pPr>
              <w:spacing w:after="0"/>
              <w:rPr>
                <w:sz w:val="1"/>
                <w:szCs w:val="1"/>
                <w:color w:val="auto"/>
              </w:rPr>
            </w:pPr>
          </w:p>
        </w:tc>
      </w:tr>
      <w:tr>
        <w:trPr>
          <w:trHeight w:val="68"/>
        </w:trPr>
        <w:tc>
          <w:tcPr>
            <w:tcW w:w="1660" w:type="dxa"/>
            <w:vAlign w:val="bottom"/>
            <w:vMerge w:val="restart"/>
            <w:shd w:val="clear" w:color="auto" w:fill="ECEFF2"/>
          </w:tcPr>
          <w:p>
            <w:pPr>
              <w:ind w:left="120"/>
              <w:spacing w:after="0"/>
              <w:rPr>
                <w:sz w:val="20"/>
                <w:szCs w:val="20"/>
                <w:color w:val="auto"/>
              </w:rPr>
            </w:pPr>
            <w:r>
              <w:rPr>
                <w:rFonts w:ascii="Arial" w:cs="Arial" w:eastAsia="Arial" w:hAnsi="Arial"/>
                <w:sz w:val="18"/>
                <w:szCs w:val="18"/>
                <w:b w:val="1"/>
                <w:bCs w:val="1"/>
                <w:color w:val="345988"/>
              </w:rPr>
              <w:t>Overall</w:t>
            </w:r>
          </w:p>
        </w:tc>
        <w:tc>
          <w:tcPr>
            <w:tcW w:w="300" w:type="dxa"/>
            <w:vAlign w:val="bottom"/>
            <w:vMerge w:val="continue"/>
          </w:tcPr>
          <w:p>
            <w:pPr>
              <w:spacing w:after="0"/>
              <w:rPr>
                <w:sz w:val="5"/>
                <w:szCs w:val="5"/>
                <w:color w:val="auto"/>
              </w:rPr>
            </w:pPr>
          </w:p>
        </w:tc>
        <w:tc>
          <w:tcPr>
            <w:tcW w:w="194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Reduce Executive Chairman</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to Chairman Emeritus; no</w:t>
            </w:r>
          </w:p>
        </w:tc>
        <w:tc>
          <w:tcPr>
            <w:tcW w:w="2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vMerge w:val="continue"/>
            <w:shd w:val="clear" w:color="auto" w:fill="F5F5F5"/>
          </w:tcPr>
          <w:p>
            <w:pPr>
              <w:spacing w:after="0"/>
              <w:rPr>
                <w:sz w:val="5"/>
                <w:szCs w:val="5"/>
                <w:color w:val="auto"/>
              </w:rPr>
            </w:pPr>
          </w:p>
        </w:tc>
        <w:tc>
          <w:tcPr>
            <w:tcW w:w="1660" w:type="dxa"/>
            <w:vAlign w:val="bottom"/>
            <w:vMerge w:val="continue"/>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ECEFF2"/>
          </w:tcPr>
          <w:p>
            <w:pPr>
              <w:spacing w:after="0"/>
              <w:rPr>
                <w:sz w:val="7"/>
                <w:szCs w:val="7"/>
                <w:color w:val="auto"/>
              </w:rPr>
            </w:pPr>
          </w:p>
        </w:tc>
        <w:tc>
          <w:tcPr>
            <w:tcW w:w="3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Stephen L. Green</w:t>
            </w: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Jan 17, 2019</w:t>
            </w: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as executive of</w:t>
            </w:r>
          </w:p>
        </w:tc>
        <w:tc>
          <w:tcPr>
            <w:tcW w:w="0" w:type="dxa"/>
            <w:vAlign w:val="bottom"/>
          </w:tcPr>
          <w:p>
            <w:pPr>
              <w:spacing w:after="0"/>
              <w:rPr>
                <w:sz w:val="1"/>
                <w:szCs w:val="1"/>
                <w:color w:val="auto"/>
              </w:rPr>
            </w:pPr>
          </w:p>
        </w:tc>
      </w:tr>
      <w:tr>
        <w:trPr>
          <w:trHeight w:val="68"/>
        </w:trPr>
        <w:tc>
          <w:tcPr>
            <w:tcW w:w="1660" w:type="dxa"/>
            <w:vAlign w:val="bottom"/>
            <w:vMerge w:val="continue"/>
            <w:shd w:val="clear" w:color="auto" w:fill="ECEFF2"/>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longer employee of the</w:t>
            </w:r>
          </w:p>
        </w:tc>
        <w:tc>
          <w:tcPr>
            <w:tcW w:w="20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60" w:type="dxa"/>
            <w:vAlign w:val="bottom"/>
            <w:shd w:val="clear" w:color="auto" w:fill="F5F5F5"/>
          </w:tcPr>
          <w:p>
            <w:pPr>
              <w:spacing w:after="0"/>
              <w:rPr>
                <w:sz w:val="5"/>
                <w:szCs w:val="5"/>
                <w:color w:val="auto"/>
              </w:rPr>
            </w:pPr>
          </w:p>
        </w:tc>
        <w:tc>
          <w:tcPr>
            <w:tcW w:w="1660" w:type="dxa"/>
            <w:vAlign w:val="bottom"/>
            <w:vMerge w:val="continue"/>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Company</w:t>
            </w:r>
          </w:p>
        </w:tc>
        <w:tc>
          <w:tcPr>
            <w:tcW w:w="2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60" w:type="dxa"/>
            <w:vAlign w:val="bottom"/>
            <w:tcBorders>
              <w:bottom w:val="single" w:sz="8" w:color="ECEFF2"/>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vMerge w:val="continue"/>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ECEFF2"/>
          </w:tcPr>
          <w:p>
            <w:pPr>
              <w:spacing w:after="0"/>
              <w:rPr>
                <w:sz w:val="15"/>
                <w:szCs w:val="15"/>
                <w:color w:val="auto"/>
              </w:rPr>
            </w:pPr>
          </w:p>
        </w:tc>
        <w:tc>
          <w:tcPr>
            <w:tcW w:w="2240" w:type="dxa"/>
            <w:vAlign w:val="bottom"/>
            <w:gridSpan w:val="2"/>
            <w:vMerge w:val="restart"/>
          </w:tcPr>
          <w:p>
            <w:pPr>
              <w:ind w:left="1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Director compensation is high</w:t>
            </w:r>
          </w:p>
        </w:tc>
        <w:tc>
          <w:tcPr>
            <w:tcW w:w="240" w:type="dxa"/>
            <w:vAlign w:val="bottom"/>
            <w:gridSpan w:val="2"/>
          </w:tcPr>
          <w:p>
            <w:pPr>
              <w:ind w:left="100"/>
              <w:spacing w:after="0"/>
              <w:rPr>
                <w:sz w:val="20"/>
                <w:szCs w:val="20"/>
                <w:color w:val="auto"/>
              </w:rPr>
            </w:pPr>
            <w:r>
              <w:rPr>
                <w:rFonts w:ascii="Arial" w:cs="Arial" w:eastAsia="Arial" w:hAnsi="Arial"/>
                <w:sz w:val="13"/>
                <w:szCs w:val="13"/>
                <w:color w:val="345988"/>
              </w:rPr>
              <w:t>●</w:t>
            </w:r>
          </w:p>
        </w:tc>
        <w:tc>
          <w:tcPr>
            <w:tcW w:w="1820" w:type="dxa"/>
            <w:vAlign w:val="bottom"/>
          </w:tcPr>
          <w:p>
            <w:pPr>
              <w:ind w:left="60"/>
              <w:spacing w:after="0"/>
              <w:rPr>
                <w:sz w:val="20"/>
                <w:szCs w:val="20"/>
                <w:color w:val="auto"/>
              </w:rPr>
            </w:pPr>
            <w:r>
              <w:rPr>
                <w:rFonts w:ascii="Arial" w:cs="Arial" w:eastAsia="Arial" w:hAnsi="Arial"/>
                <w:sz w:val="14"/>
                <w:szCs w:val="14"/>
                <w:color w:val="auto"/>
              </w:rPr>
              <w:t>Reduced Director</w:t>
            </w:r>
          </w:p>
        </w:tc>
        <w:tc>
          <w:tcPr>
            <w:tcW w:w="2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shd w:val="clear" w:color="auto" w:fill="F5F5F5"/>
          </w:tcPr>
          <w:p>
            <w:pPr>
              <w:ind w:left="120"/>
              <w:spacing w:after="0"/>
              <w:rPr>
                <w:sz w:val="20"/>
                <w:szCs w:val="20"/>
                <w:color w:val="auto"/>
              </w:rPr>
            </w:pPr>
            <w:r>
              <w:rPr>
                <w:rFonts w:ascii="Arial" w:cs="Arial" w:eastAsia="Arial" w:hAnsi="Arial"/>
                <w:sz w:val="13"/>
                <w:szCs w:val="13"/>
                <w:color w:val="345988"/>
              </w:rPr>
              <w:t>●</w:t>
            </w:r>
          </w:p>
        </w:tc>
        <w:tc>
          <w:tcPr>
            <w:tcW w:w="1660" w:type="dxa"/>
            <w:vAlign w:val="bottom"/>
            <w:shd w:val="clear" w:color="auto" w:fill="F5F5F5"/>
          </w:tcPr>
          <w:p>
            <w:pPr>
              <w:ind w:left="60"/>
              <w:spacing w:after="0"/>
              <w:rPr>
                <w:sz w:val="20"/>
                <w:szCs w:val="20"/>
                <w:color w:val="auto"/>
              </w:rPr>
            </w:pPr>
            <w:r>
              <w:rPr>
                <w:rFonts w:ascii="Arial" w:cs="Arial" w:eastAsia="Arial" w:hAnsi="Arial"/>
                <w:sz w:val="14"/>
                <w:szCs w:val="14"/>
                <w:color w:val="auto"/>
              </w:rPr>
              <w:t>Strengthens alignment</w:t>
            </w:r>
          </w:p>
        </w:tc>
        <w:tc>
          <w:tcPr>
            <w:tcW w:w="0" w:type="dxa"/>
            <w:vAlign w:val="bottom"/>
          </w:tcPr>
          <w:p>
            <w:pPr>
              <w:spacing w:after="0"/>
              <w:rPr>
                <w:sz w:val="1"/>
                <w:szCs w:val="1"/>
                <w:color w:val="auto"/>
              </w:rPr>
            </w:pPr>
          </w:p>
        </w:tc>
      </w:tr>
      <w:tr>
        <w:trPr>
          <w:trHeight w:val="68"/>
        </w:trPr>
        <w:tc>
          <w:tcPr>
            <w:tcW w:w="1660" w:type="dxa"/>
            <w:vAlign w:val="bottom"/>
            <w:shd w:val="clear" w:color="auto" w:fill="ECEFF2"/>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Compensation by approx.</w:t>
            </w:r>
          </w:p>
        </w:tc>
        <w:tc>
          <w:tcPr>
            <w:tcW w:w="202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All Non-Executive Directors</w:t>
            </w:r>
          </w:p>
        </w:tc>
        <w:tc>
          <w:tcPr>
            <w:tcW w:w="15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2019 onwards</w:t>
            </w:r>
          </w:p>
        </w:tc>
        <w:tc>
          <w:tcPr>
            <w:tcW w:w="260" w:type="dxa"/>
            <w:vAlign w:val="bottom"/>
            <w:shd w:val="clear" w:color="auto" w:fill="F5F5F5"/>
          </w:tcPr>
          <w:p>
            <w:pPr>
              <w:spacing w:after="0"/>
              <w:rPr>
                <w:sz w:val="5"/>
                <w:szCs w:val="5"/>
                <w:color w:val="auto"/>
              </w:rPr>
            </w:pPr>
          </w:p>
        </w:tc>
        <w:tc>
          <w:tcPr>
            <w:tcW w:w="1660" w:type="dxa"/>
            <w:vAlign w:val="bottom"/>
            <w:vMerge w:val="restart"/>
            <w:shd w:val="clear" w:color="auto" w:fill="F5F5F5"/>
          </w:tcPr>
          <w:p>
            <w:pPr>
              <w:ind w:left="80"/>
              <w:spacing w:after="0" w:line="149" w:lineRule="exact"/>
              <w:rPr>
                <w:sz w:val="20"/>
                <w:szCs w:val="20"/>
                <w:color w:val="auto"/>
              </w:rPr>
            </w:pPr>
            <w:r>
              <w:rPr>
                <w:rFonts w:ascii="Arial" w:cs="Arial" w:eastAsia="Arial" w:hAnsi="Arial"/>
                <w:sz w:val="14"/>
                <w:szCs w:val="14"/>
                <w:color w:val="auto"/>
              </w:rPr>
              <w:t>of director pay relative</w:t>
            </w: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relative to peers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ECEFF2"/>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$50,000</w:t>
            </w:r>
          </w:p>
        </w:tc>
        <w:tc>
          <w:tcPr>
            <w:tcW w:w="2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60" w:type="dxa"/>
            <w:vAlign w:val="bottom"/>
            <w:shd w:val="clear" w:color="auto" w:fill="F5F5F5"/>
          </w:tcPr>
          <w:p>
            <w:pPr>
              <w:spacing w:after="0"/>
              <w:rPr>
                <w:sz w:val="7"/>
                <w:szCs w:val="7"/>
                <w:color w:val="auto"/>
              </w:rPr>
            </w:pPr>
          </w:p>
        </w:tc>
        <w:tc>
          <w:tcPr>
            <w:tcW w:w="166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to peers</w:t>
            </w:r>
          </w:p>
        </w:tc>
        <w:tc>
          <w:tcPr>
            <w:tcW w:w="0" w:type="dxa"/>
            <w:vAlign w:val="bottom"/>
          </w:tcPr>
          <w:p>
            <w:pPr>
              <w:spacing w:after="0"/>
              <w:rPr>
                <w:sz w:val="1"/>
                <w:szCs w:val="1"/>
                <w:color w:val="auto"/>
              </w:rPr>
            </w:pPr>
          </w:p>
        </w:tc>
      </w:tr>
      <w:tr>
        <w:trPr>
          <w:trHeight w:val="89"/>
        </w:trPr>
        <w:tc>
          <w:tcPr>
            <w:tcW w:w="1660" w:type="dxa"/>
            <w:vAlign w:val="bottom"/>
            <w:tcBorders>
              <w:bottom w:val="single" w:sz="8" w:color="8590A9"/>
            </w:tcBorders>
            <w:shd w:val="clear" w:color="auto" w:fill="ECEFF2"/>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1940" w:type="dxa"/>
            <w:vAlign w:val="bottom"/>
            <w:tcBorders>
              <w:bottom w:val="single" w:sz="8" w:color="8590A9"/>
            </w:tcBorders>
          </w:tcPr>
          <w:p>
            <w:pPr>
              <w:spacing w:after="0"/>
              <w:rPr>
                <w:sz w:val="7"/>
                <w:szCs w:val="7"/>
                <w:color w:val="auto"/>
              </w:rPr>
            </w:pPr>
          </w:p>
        </w:tc>
        <w:tc>
          <w:tcPr>
            <w:tcW w:w="100" w:type="dxa"/>
            <w:vAlign w:val="bottom"/>
            <w:tcBorders>
              <w:bottom w:val="single" w:sz="8" w:color="8590A9"/>
            </w:tcBorders>
          </w:tcPr>
          <w:p>
            <w:pPr>
              <w:spacing w:after="0"/>
              <w:rPr>
                <w:sz w:val="7"/>
                <w:szCs w:val="7"/>
                <w:color w:val="auto"/>
              </w:rPr>
            </w:pPr>
          </w:p>
        </w:tc>
        <w:tc>
          <w:tcPr>
            <w:tcW w:w="140" w:type="dxa"/>
            <w:vAlign w:val="bottom"/>
            <w:tcBorders>
              <w:bottom w:val="single" w:sz="8" w:color="8590A9"/>
            </w:tcBorders>
          </w:tcPr>
          <w:p>
            <w:pPr>
              <w:spacing w:after="0"/>
              <w:rPr>
                <w:sz w:val="7"/>
                <w:szCs w:val="7"/>
                <w:color w:val="auto"/>
              </w:rPr>
            </w:pPr>
          </w:p>
        </w:tc>
        <w:tc>
          <w:tcPr>
            <w:tcW w:w="1820" w:type="dxa"/>
            <w:vAlign w:val="bottom"/>
            <w:tcBorders>
              <w:bottom w:val="single" w:sz="8" w:color="8590A9"/>
            </w:tcBorders>
            <w:vMerge w:val="continue"/>
          </w:tcPr>
          <w:p>
            <w:pPr>
              <w:spacing w:after="0"/>
              <w:rPr>
                <w:sz w:val="7"/>
                <w:szCs w:val="7"/>
                <w:color w:val="auto"/>
              </w:rPr>
            </w:pPr>
          </w:p>
        </w:tc>
        <w:tc>
          <w:tcPr>
            <w:tcW w:w="2020" w:type="dxa"/>
            <w:vAlign w:val="bottom"/>
            <w:tcBorders>
              <w:bottom w:val="single" w:sz="8" w:color="8590A9"/>
            </w:tcBorders>
          </w:tcPr>
          <w:p>
            <w:pPr>
              <w:spacing w:after="0"/>
              <w:rPr>
                <w:sz w:val="7"/>
                <w:szCs w:val="7"/>
                <w:color w:val="auto"/>
              </w:rPr>
            </w:pPr>
          </w:p>
        </w:tc>
        <w:tc>
          <w:tcPr>
            <w:tcW w:w="1520" w:type="dxa"/>
            <w:vAlign w:val="bottom"/>
            <w:tcBorders>
              <w:bottom w:val="single" w:sz="8" w:color="8590A9"/>
            </w:tcBorders>
          </w:tcPr>
          <w:p>
            <w:pPr>
              <w:spacing w:after="0"/>
              <w:rPr>
                <w:sz w:val="7"/>
                <w:szCs w:val="7"/>
                <w:color w:val="auto"/>
              </w:rPr>
            </w:pPr>
          </w:p>
        </w:tc>
        <w:tc>
          <w:tcPr>
            <w:tcW w:w="260" w:type="dxa"/>
            <w:vAlign w:val="bottom"/>
            <w:tcBorders>
              <w:bottom w:val="single" w:sz="8" w:color="8590A9"/>
            </w:tcBorders>
            <w:shd w:val="clear" w:color="auto" w:fill="F5F5F5"/>
          </w:tcPr>
          <w:p>
            <w:pPr>
              <w:spacing w:after="0"/>
              <w:rPr>
                <w:sz w:val="7"/>
                <w:szCs w:val="7"/>
                <w:color w:val="auto"/>
              </w:rPr>
            </w:pPr>
          </w:p>
        </w:tc>
        <w:tc>
          <w:tcPr>
            <w:tcW w:w="1660" w:type="dxa"/>
            <w:vAlign w:val="bottom"/>
            <w:tcBorders>
              <w:bottom w:val="single" w:sz="8" w:color="8590A9"/>
            </w:tcBorders>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2019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2135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13550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Diversity</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345988"/>
        </w:rPr>
        <w:t>Our Board has a diversity of knowledge, skills and education, as well as diversity of age, gender and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80"/>
        <w:spacing w:after="0" w:line="264" w:lineRule="auto"/>
        <w:rPr>
          <w:sz w:val="20"/>
          <w:szCs w:val="20"/>
          <w:color w:val="auto"/>
        </w:rPr>
      </w:pPr>
      <w:r>
        <w:rPr>
          <w:rFonts w:ascii="Arial" w:cs="Arial" w:eastAsia="Arial" w:hAnsi="Arial"/>
          <w:sz w:val="18"/>
          <w:szCs w:val="18"/>
          <w:b w:val="1"/>
          <w:bCs w:val="1"/>
          <w:color w:val="345988"/>
        </w:rPr>
        <w:t xml:space="preserve">33% </w:t>
      </w:r>
      <w:r>
        <w:rPr>
          <w:rFonts w:ascii="Arial" w:cs="Arial" w:eastAsia="Arial" w:hAnsi="Arial"/>
          <w:sz w:val="18"/>
          <w:szCs w:val="18"/>
          <w:color w:val="345988"/>
        </w:rPr>
        <w:t>of our independent Board members are</w:t>
      </w:r>
      <w:r>
        <w:rPr>
          <w:rFonts w:ascii="Arial" w:cs="Arial" w:eastAsia="Arial" w:hAnsi="Arial"/>
          <w:sz w:val="18"/>
          <w:szCs w:val="18"/>
          <w:b w:val="1"/>
          <w:bCs w:val="1"/>
          <w:color w:val="345988"/>
        </w:rPr>
        <w:t xml:space="preserve"> </w:t>
      </w:r>
      <w:r>
        <w:rPr>
          <w:rFonts w:ascii="Arial" w:cs="Arial" w:eastAsia="Arial" w:hAnsi="Arial"/>
          <w:sz w:val="18"/>
          <w:szCs w:val="18"/>
          <w:color w:val="345988"/>
        </w:rPr>
        <w:t>women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Experience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345988"/>
        </w:rPr>
        <w:t>Our Board members have broad experience serving on public boards in industries relevant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345988"/>
        </w:rPr>
        <w:t xml:space="preserve">78% </w:t>
      </w:r>
      <w:r>
        <w:rPr>
          <w:rFonts w:ascii="Arial" w:cs="Arial" w:eastAsia="Arial" w:hAnsi="Arial"/>
          <w:sz w:val="18"/>
          <w:szCs w:val="18"/>
          <w:color w:val="345988"/>
        </w:rPr>
        <w:t>of our Board currently serve or have</w:t>
      </w:r>
      <w:r>
        <w:rPr>
          <w:rFonts w:ascii="Arial" w:cs="Arial" w:eastAsia="Arial" w:hAnsi="Arial"/>
          <w:sz w:val="18"/>
          <w:szCs w:val="18"/>
          <w:b w:val="1"/>
          <w:bCs w:val="1"/>
          <w:color w:val="345988"/>
        </w:rPr>
        <w:t xml:space="preserve"> </w:t>
      </w:r>
      <w:r>
        <w:rPr>
          <w:rFonts w:ascii="Arial" w:cs="Arial" w:eastAsia="Arial" w:hAnsi="Arial"/>
          <w:sz w:val="18"/>
          <w:szCs w:val="18"/>
          <w:color w:val="345988"/>
        </w:rPr>
        <w:t>served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100330</wp:posOffset>
            </wp:positionV>
            <wp:extent cx="7246620" cy="1663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6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Leadership</w:t>
      </w:r>
    </w:p>
    <w:p>
      <w:pPr>
        <w:spacing w:after="0" w:line="12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345988"/>
        </w:rPr>
        <w:t>Our Board members have strong corporate leadership backgrounds such as being a CEO, CFO or holding other Executive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color w:val="345988"/>
        </w:rPr>
        <w:t xml:space="preserve">89% </w:t>
      </w:r>
      <w:r>
        <w:rPr>
          <w:rFonts w:ascii="Arial" w:cs="Arial" w:eastAsia="Arial" w:hAnsi="Arial"/>
          <w:sz w:val="18"/>
          <w:szCs w:val="18"/>
          <w:color w:val="345988"/>
        </w:rPr>
        <w:t>of our Board currently serve or have</w:t>
      </w:r>
      <w:r>
        <w:rPr>
          <w:rFonts w:ascii="Arial" w:cs="Arial" w:eastAsia="Arial" w:hAnsi="Arial"/>
          <w:sz w:val="18"/>
          <w:szCs w:val="18"/>
          <w:b w:val="1"/>
          <w:bCs w:val="1"/>
          <w:color w:val="345988"/>
        </w:rPr>
        <w:t xml:space="preserve"> </w:t>
      </w:r>
      <w:r>
        <w:rPr>
          <w:rFonts w:ascii="Arial" w:cs="Arial" w:eastAsia="Arial" w:hAnsi="Arial"/>
          <w:sz w:val="18"/>
          <w:szCs w:val="18"/>
          <w:color w:val="345988"/>
        </w:rPr>
        <w:t>served as CEO or in senior leadership positions</w:t>
      </w:r>
    </w:p>
    <w:p>
      <w:pPr>
        <w:spacing w:after="0" w:line="193" w:lineRule="exact"/>
        <w:rPr>
          <w:sz w:val="20"/>
          <w:szCs w:val="20"/>
          <w:color w:val="auto"/>
        </w:rPr>
      </w:pPr>
    </w:p>
    <w:p>
      <w:pPr>
        <w:sectPr>
          <w:pgSz w:w="11900" w:h="16838" w:orient="portrait"/>
          <w:cols w:equalWidth="0" w:num="3">
            <w:col w:w="3660" w:space="220"/>
            <w:col w:w="3560" w:space="240"/>
            <w:col w:w="3640"/>
          </w:cols>
          <w:pgMar w:left="240" w:top="121" w:right="3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345988"/>
        </w:rPr>
        <w:t>Board Refreshment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345988"/>
        </w:rPr>
        <w:t>We remain focused on refreshing the membership and leadership of the Board and its Committees.</w:t>
      </w:r>
    </w:p>
    <w:p>
      <w:pPr>
        <w:sectPr>
          <w:pgSz w:w="11900" w:h="16838" w:orient="portrait"/>
          <w:cols w:equalWidth="0" w:num="1">
            <w:col w:w="11320"/>
          </w:cols>
          <w:pgMar w:left="240" w:top="121" w:right="339" w:bottom="1440" w:gutter="0" w:footer="0" w:header="0"/>
          <w:type w:val="continuous"/>
        </w:sectPr>
      </w:pP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345988"/>
        </w:rPr>
        <w:t>Chairman transition:</w:t>
      </w:r>
    </w:p>
    <w:p>
      <w:pPr>
        <w:spacing w:after="0" w:line="212" w:lineRule="exact"/>
        <w:rPr>
          <w:sz w:val="20"/>
          <w:szCs w:val="20"/>
          <w:color w:val="auto"/>
        </w:rPr>
      </w:pPr>
    </w:p>
    <w:p>
      <w:pPr>
        <w:ind w:left="3900"/>
        <w:spacing w:after="0" w:line="239" w:lineRule="auto"/>
        <w:rPr>
          <w:sz w:val="20"/>
          <w:szCs w:val="20"/>
          <w:color w:val="auto"/>
        </w:rPr>
      </w:pPr>
      <w:r>
        <w:rPr>
          <w:rFonts w:ascii="Arial" w:cs="Arial" w:eastAsia="Arial" w:hAnsi="Arial"/>
          <w:sz w:val="18"/>
          <w:szCs w:val="18"/>
          <w:b w:val="1"/>
          <w:bCs w:val="1"/>
          <w:color w:val="FFFFFF"/>
        </w:rPr>
        <w:t xml:space="preserve">In January 2019, </w:t>
      </w:r>
      <w:r>
        <w:rPr>
          <w:rFonts w:ascii="Arial" w:cs="Arial" w:eastAsia="Arial" w:hAnsi="Arial"/>
          <w:sz w:val="18"/>
          <w:szCs w:val="18"/>
          <w:b w:val="1"/>
          <w:bCs w:val="1"/>
          <w:color w:val="345988"/>
        </w:rPr>
        <w:t>Stephen L. Green</w:t>
      </w:r>
      <w:r>
        <w:rPr>
          <w:rFonts w:ascii="Arial" w:cs="Arial" w:eastAsia="Arial" w:hAnsi="Arial"/>
          <w:sz w:val="18"/>
          <w:szCs w:val="18"/>
          <w:b w:val="1"/>
          <w:bCs w:val="1"/>
          <w:color w:val="FFFFFF"/>
        </w:rPr>
        <w:t xml:space="preserve"> stepped down as Chairman of the Board and transitioned into the role of Chairman Emeritus, and </w:t>
      </w:r>
      <w:r>
        <w:rPr>
          <w:rFonts w:ascii="Arial" w:cs="Arial" w:eastAsia="Arial" w:hAnsi="Arial"/>
          <w:sz w:val="18"/>
          <w:szCs w:val="18"/>
          <w:b w:val="1"/>
          <w:bCs w:val="1"/>
          <w:color w:val="345988"/>
        </w:rPr>
        <w:t>Marc Holliday</w:t>
      </w:r>
      <w:r>
        <w:rPr>
          <w:rFonts w:ascii="Arial" w:cs="Arial" w:eastAsia="Arial" w:hAnsi="Arial"/>
          <w:sz w:val="18"/>
          <w:szCs w:val="18"/>
          <w:b w:val="1"/>
          <w:bCs w:val="1"/>
          <w:color w:val="FFFFFF"/>
        </w:rPr>
        <w:t xml:space="preserve"> was appointed to succeed </w:t>
      </w:r>
      <w:r>
        <w:rPr>
          <w:rFonts w:ascii="Arial" w:cs="Arial" w:eastAsia="Arial" w:hAnsi="Arial"/>
          <w:sz w:val="18"/>
          <w:szCs w:val="18"/>
          <w:b w:val="1"/>
          <w:bCs w:val="1"/>
          <w:color w:val="345988"/>
        </w:rPr>
        <w:t>Mr. Green</w:t>
      </w:r>
      <w:r>
        <w:rPr>
          <w:rFonts w:ascii="Arial" w:cs="Arial" w:eastAsia="Arial" w:hAnsi="Arial"/>
          <w:sz w:val="18"/>
          <w:szCs w:val="18"/>
          <w:b w:val="1"/>
          <w:bCs w:val="1"/>
          <w:color w:val="FFFFFF"/>
        </w:rPr>
        <w:t xml:space="preserve"> as our Chairman in addition to serving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900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45988"/>
        </w:rPr>
        <w:t>Committee chair rotations:</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FFFFFF"/>
        </w:rPr>
        <w:t xml:space="preserve">In February 2018, </w:t>
      </w:r>
      <w:r>
        <w:rPr>
          <w:rFonts w:ascii="Arial" w:cs="Arial" w:eastAsia="Arial" w:hAnsi="Arial"/>
          <w:sz w:val="18"/>
          <w:szCs w:val="18"/>
          <w:b w:val="1"/>
          <w:bCs w:val="1"/>
          <w:color w:val="345988"/>
        </w:rPr>
        <w:t>Lauren Dillard</w:t>
      </w:r>
      <w:r>
        <w:rPr>
          <w:rFonts w:ascii="Arial" w:cs="Arial" w:eastAsia="Arial" w:hAnsi="Arial"/>
          <w:sz w:val="18"/>
          <w:szCs w:val="18"/>
          <w:b w:val="1"/>
          <w:bCs w:val="1"/>
          <w:color w:val="FFFFFF"/>
        </w:rPr>
        <w:t xml:space="preserve"> replaced </w:t>
      </w:r>
      <w:r>
        <w:rPr>
          <w:rFonts w:ascii="Arial" w:cs="Arial" w:eastAsia="Arial" w:hAnsi="Arial"/>
          <w:sz w:val="18"/>
          <w:szCs w:val="18"/>
          <w:b w:val="1"/>
          <w:bCs w:val="1"/>
          <w:color w:val="345988"/>
        </w:rPr>
        <w:t xml:space="preserve">John Alschuler </w:t>
      </w:r>
      <w:r>
        <w:rPr>
          <w:rFonts w:ascii="Arial" w:cs="Arial" w:eastAsia="Arial" w:hAnsi="Arial"/>
          <w:sz w:val="18"/>
          <w:szCs w:val="18"/>
          <w:b w:val="1"/>
          <w:bCs w:val="1"/>
          <w:color w:val="FFFFFF"/>
        </w:rPr>
        <w:t>as chair of our</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Compensation Committee</w:t>
      </w:r>
    </w:p>
    <w:p>
      <w:pPr>
        <w:spacing w:after="0" w:line="18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FFFFFF"/>
        </w:rPr>
        <w:t xml:space="preserve">In March 2018, </w:t>
      </w:r>
      <w:r>
        <w:rPr>
          <w:rFonts w:ascii="Arial" w:cs="Arial" w:eastAsia="Arial" w:hAnsi="Arial"/>
          <w:sz w:val="18"/>
          <w:szCs w:val="18"/>
          <w:b w:val="1"/>
          <w:bCs w:val="1"/>
          <w:color w:val="345988"/>
        </w:rPr>
        <w:t>Craig Hatkoff</w:t>
      </w:r>
      <w:r>
        <w:rPr>
          <w:rFonts w:ascii="Arial" w:cs="Arial" w:eastAsia="Arial" w:hAnsi="Arial"/>
          <w:sz w:val="18"/>
          <w:szCs w:val="18"/>
          <w:b w:val="1"/>
          <w:bCs w:val="1"/>
          <w:color w:val="FFFFFF"/>
        </w:rPr>
        <w:t xml:space="preserve"> replaced </w:t>
      </w:r>
      <w:r>
        <w:rPr>
          <w:rFonts w:ascii="Arial" w:cs="Arial" w:eastAsia="Arial" w:hAnsi="Arial"/>
          <w:sz w:val="18"/>
          <w:szCs w:val="18"/>
          <w:b w:val="1"/>
          <w:bCs w:val="1"/>
          <w:color w:val="345988"/>
        </w:rPr>
        <w:t>John</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345988"/>
        </w:rPr>
        <w:t xml:space="preserve">Levy </w:t>
      </w:r>
      <w:r>
        <w:rPr>
          <w:rFonts w:ascii="Arial" w:cs="Arial" w:eastAsia="Arial" w:hAnsi="Arial"/>
          <w:sz w:val="18"/>
          <w:szCs w:val="18"/>
          <w:b w:val="1"/>
          <w:bCs w:val="1"/>
          <w:color w:val="FFFFFF"/>
        </w:rPr>
        <w:t>as chair of our Nominating and</w:t>
      </w:r>
      <w:r>
        <w:rPr>
          <w:rFonts w:ascii="Arial" w:cs="Arial" w:eastAsia="Arial" w:hAnsi="Arial"/>
          <w:sz w:val="18"/>
          <w:szCs w:val="18"/>
          <w:b w:val="1"/>
          <w:bCs w:val="1"/>
          <w:color w:val="345988"/>
        </w:rPr>
        <w:t xml:space="preserve"> </w:t>
      </w:r>
      <w:r>
        <w:rPr>
          <w:rFonts w:ascii="Arial" w:cs="Arial" w:eastAsia="Arial" w:hAnsi="Arial"/>
          <w:sz w:val="18"/>
          <w:szCs w:val="18"/>
          <w:b w:val="1"/>
          <w:bCs w:val="1"/>
          <w:color w:val="FFFFFF"/>
        </w:rPr>
        <w:t>Corporate Governance Committee</w:t>
      </w:r>
    </w:p>
    <w:p>
      <w:pPr>
        <w:spacing w:after="0" w:line="193" w:lineRule="exact"/>
        <w:rPr>
          <w:sz w:val="20"/>
          <w:szCs w:val="20"/>
          <w:color w:val="auto"/>
        </w:rPr>
      </w:pPr>
    </w:p>
    <w:p>
      <w:pPr>
        <w:sectPr>
          <w:pgSz w:w="11900" w:h="16838" w:orient="portrait"/>
          <w:cols w:equalWidth="0" w:num="2">
            <w:col w:w="7520" w:space="160"/>
            <w:col w:w="3640"/>
          </w:cols>
          <w:pgMar w:left="240" w:top="121" w:right="3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345988"/>
        </w:rPr>
        <w:t>Stockholder Amendments to Bylaws</w:t>
      </w:r>
    </w:p>
    <w:p>
      <w:pPr>
        <w:spacing w:after="0" w:line="387" w:lineRule="exact"/>
        <w:rPr>
          <w:sz w:val="20"/>
          <w:szCs w:val="20"/>
          <w:color w:val="auto"/>
        </w:rPr>
      </w:pPr>
    </w:p>
    <w:p>
      <w:pPr>
        <w:ind w:left="1280" w:right="140"/>
        <w:spacing w:after="0" w:line="264" w:lineRule="auto"/>
        <w:rPr>
          <w:sz w:val="20"/>
          <w:szCs w:val="20"/>
          <w:color w:val="auto"/>
        </w:rPr>
      </w:pPr>
      <w:r>
        <w:rPr>
          <w:rFonts w:ascii="Arial" w:cs="Arial" w:eastAsia="Arial" w:hAnsi="Arial"/>
          <w:sz w:val="18"/>
          <w:szCs w:val="18"/>
          <w:b w:val="1"/>
          <w:bCs w:val="1"/>
          <w:color w:val="345988"/>
        </w:rPr>
        <w:t xml:space="preserve">In December 2018, we amended our bylaws to </w:t>
      </w:r>
      <w:r>
        <w:rPr>
          <w:rFonts w:ascii="Arial" w:cs="Arial" w:eastAsia="Arial" w:hAnsi="Arial"/>
          <w:sz w:val="18"/>
          <w:szCs w:val="18"/>
          <w:b w:val="1"/>
          <w:bCs w:val="1"/>
          <w:color w:val="FFFFFF"/>
        </w:rPr>
        <w:t>permit our stockholders to amend our bylaws</w:t>
      </w:r>
      <w:r>
        <w:rPr>
          <w:rFonts w:ascii="Arial" w:cs="Arial" w:eastAsia="Arial" w:hAnsi="Arial"/>
          <w:sz w:val="18"/>
          <w:szCs w:val="18"/>
          <w:b w:val="1"/>
          <w:bCs w:val="1"/>
          <w:color w:val="345988"/>
        </w:rPr>
        <w:t xml:space="preserve"> by a majority vote without any ownership or holding period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3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Declassified Board</w:t>
      </w:r>
    </w:p>
    <w:p>
      <w:pPr>
        <w:spacing w:after="0" w:line="374" w:lineRule="exact"/>
        <w:rPr>
          <w:sz w:val="20"/>
          <w:szCs w:val="20"/>
          <w:color w:val="auto"/>
        </w:rPr>
      </w:pPr>
    </w:p>
    <w:p>
      <w:pPr>
        <w:ind w:left="1600" w:right="220"/>
        <w:spacing w:after="0" w:line="264" w:lineRule="auto"/>
        <w:rPr>
          <w:sz w:val="20"/>
          <w:szCs w:val="20"/>
          <w:color w:val="auto"/>
        </w:rPr>
      </w:pPr>
      <w:r>
        <w:rPr>
          <w:rFonts w:ascii="Arial" w:cs="Arial" w:eastAsia="Arial" w:hAnsi="Arial"/>
          <w:sz w:val="18"/>
          <w:szCs w:val="18"/>
          <w:b w:val="1"/>
          <w:bCs w:val="1"/>
          <w:color w:val="FFFFFF"/>
        </w:rPr>
        <w:t>Our directors are now elected for one-year terms following stockholder approval of our proposal to declassify our Board. By our 2020 annual meeting, our Board of Directors will be fully declassified.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58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583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Proxy Access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45988"/>
        </w:rPr>
        <w:t>Our bylaws permit:</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500"/>
        </w:trPr>
        <w:tc>
          <w:tcPr>
            <w:tcW w:w="3580" w:type="dxa"/>
            <w:vAlign w:val="bottom"/>
          </w:tcPr>
          <w:p>
            <w:pPr>
              <w:spacing w:after="0"/>
              <w:rPr>
                <w:sz w:val="24"/>
                <w:szCs w:val="24"/>
                <w:color w:val="auto"/>
              </w:rPr>
            </w:pPr>
          </w:p>
        </w:tc>
        <w:tc>
          <w:tcPr>
            <w:tcW w:w="3680" w:type="dxa"/>
            <w:vAlign w:val="bottom"/>
            <w:shd w:val="clear" w:color="auto" w:fill="97A4B7"/>
          </w:tcPr>
          <w:p>
            <w:pPr>
              <w:ind w:left="160"/>
              <w:spacing w:after="0"/>
              <w:rPr>
                <w:sz w:val="20"/>
                <w:szCs w:val="20"/>
                <w:color w:val="auto"/>
              </w:rPr>
            </w:pPr>
            <w:r>
              <w:rPr>
                <w:rFonts w:ascii="Arial" w:cs="Arial" w:eastAsia="Arial" w:hAnsi="Arial"/>
                <w:sz w:val="36"/>
                <w:szCs w:val="36"/>
                <w:b w:val="1"/>
                <w:bCs w:val="1"/>
                <w:color w:val="FFFFFF"/>
              </w:rPr>
              <w:t>3% / 3-years</w:t>
            </w:r>
          </w:p>
        </w:tc>
        <w:tc>
          <w:tcPr>
            <w:tcW w:w="3940" w:type="dxa"/>
            <w:vAlign w:val="bottom"/>
            <w:shd w:val="clear" w:color="auto" w:fill="97A4B7"/>
          </w:tcPr>
          <w:p>
            <w:pPr>
              <w:ind w:left="220"/>
              <w:spacing w:after="0"/>
              <w:rPr>
                <w:sz w:val="20"/>
                <w:szCs w:val="20"/>
                <w:color w:val="auto"/>
              </w:rPr>
            </w:pPr>
            <w:r>
              <w:rPr>
                <w:rFonts w:ascii="Arial" w:cs="Arial" w:eastAsia="Arial" w:hAnsi="Arial"/>
                <w:sz w:val="36"/>
                <w:szCs w:val="36"/>
                <w:b w:val="1"/>
                <w:bCs w:val="1"/>
                <w:color w:val="FFFFFF"/>
              </w:rPr>
              <w:t>2 candidates / 20%</w:t>
            </w:r>
          </w:p>
        </w:tc>
      </w:tr>
      <w:tr>
        <w:trPr>
          <w:trHeight w:val="202"/>
        </w:trPr>
        <w:tc>
          <w:tcPr>
            <w:tcW w:w="3580" w:type="dxa"/>
            <w:vAlign w:val="bottom"/>
          </w:tcPr>
          <w:p>
            <w:pPr>
              <w:spacing w:after="0"/>
              <w:rPr>
                <w:sz w:val="17"/>
                <w:szCs w:val="17"/>
                <w:color w:val="auto"/>
              </w:rPr>
            </w:pPr>
          </w:p>
        </w:tc>
        <w:tc>
          <w:tcPr>
            <w:tcW w:w="3680" w:type="dxa"/>
            <w:vAlign w:val="bottom"/>
            <w:shd w:val="clear" w:color="auto" w:fill="97A4B7"/>
          </w:tcPr>
          <w:p>
            <w:pPr>
              <w:spacing w:after="0"/>
              <w:rPr>
                <w:sz w:val="17"/>
                <w:szCs w:val="17"/>
                <w:color w:val="auto"/>
              </w:rPr>
            </w:pPr>
          </w:p>
        </w:tc>
        <w:tc>
          <w:tcPr>
            <w:tcW w:w="3940" w:type="dxa"/>
            <w:vAlign w:val="bottom"/>
            <w:shd w:val="clear" w:color="auto" w:fill="97A4B7"/>
          </w:tcPr>
          <w:p>
            <w:pPr>
              <w:spacing w:after="0"/>
              <w:rPr>
                <w:sz w:val="17"/>
                <w:szCs w:val="17"/>
                <w:color w:val="auto"/>
              </w:rPr>
            </w:pPr>
          </w:p>
        </w:tc>
      </w:tr>
      <w:tr>
        <w:trPr>
          <w:trHeight w:val="184"/>
        </w:trPr>
        <w:tc>
          <w:tcPr>
            <w:tcW w:w="3580" w:type="dxa"/>
            <w:vAlign w:val="bottom"/>
          </w:tcPr>
          <w:p>
            <w:pPr>
              <w:spacing w:after="0"/>
              <w:rPr>
                <w:sz w:val="15"/>
                <w:szCs w:val="15"/>
                <w:color w:val="auto"/>
              </w:rPr>
            </w:pPr>
          </w:p>
        </w:tc>
        <w:tc>
          <w:tcPr>
            <w:tcW w:w="3680" w:type="dxa"/>
            <w:vAlign w:val="bottom"/>
          </w:tcPr>
          <w:p>
            <w:pPr>
              <w:ind w:left="160"/>
              <w:spacing w:after="0" w:line="184" w:lineRule="exact"/>
              <w:rPr>
                <w:sz w:val="20"/>
                <w:szCs w:val="20"/>
                <w:color w:val="auto"/>
              </w:rPr>
            </w:pPr>
            <w:r>
              <w:rPr>
                <w:rFonts w:ascii="Arial" w:cs="Arial" w:eastAsia="Arial" w:hAnsi="Arial"/>
                <w:sz w:val="18"/>
                <w:szCs w:val="18"/>
                <w:b w:val="1"/>
                <w:bCs w:val="1"/>
                <w:color w:val="345988"/>
              </w:rPr>
              <w:t>Owning 3% or more of our outstanding</w:t>
            </w:r>
          </w:p>
        </w:tc>
        <w:tc>
          <w:tcPr>
            <w:tcW w:w="3940" w:type="dxa"/>
            <w:vAlign w:val="bottom"/>
          </w:tcPr>
          <w:p>
            <w:pPr>
              <w:ind w:left="220"/>
              <w:spacing w:after="0" w:line="184" w:lineRule="exact"/>
              <w:rPr>
                <w:sz w:val="20"/>
                <w:szCs w:val="20"/>
                <w:color w:val="auto"/>
              </w:rPr>
            </w:pPr>
            <w:r>
              <w:rPr>
                <w:rFonts w:ascii="Arial" w:cs="Arial" w:eastAsia="Arial" w:hAnsi="Arial"/>
                <w:sz w:val="18"/>
                <w:szCs w:val="18"/>
                <w:b w:val="1"/>
                <w:bCs w:val="1"/>
                <w:color w:val="345988"/>
              </w:rPr>
              <w:t>To nominate and include in our proxy</w:t>
            </w:r>
          </w:p>
        </w:tc>
      </w:tr>
      <w:tr>
        <w:trPr>
          <w:trHeight w:val="203"/>
        </w:trPr>
        <w:tc>
          <w:tcPr>
            <w:tcW w:w="3580" w:type="dxa"/>
            <w:vAlign w:val="bottom"/>
          </w:tcPr>
          <w:p>
            <w:pPr>
              <w:spacing w:after="0"/>
              <w:rPr>
                <w:sz w:val="17"/>
                <w:szCs w:val="17"/>
                <w:color w:val="auto"/>
              </w:rPr>
            </w:pPr>
          </w:p>
        </w:tc>
        <w:tc>
          <w:tcPr>
            <w:tcW w:w="3680" w:type="dxa"/>
            <w:vAlign w:val="bottom"/>
          </w:tcPr>
          <w:p>
            <w:pPr>
              <w:ind w:left="160"/>
              <w:spacing w:after="0" w:line="202" w:lineRule="exact"/>
              <w:rPr>
                <w:sz w:val="20"/>
                <w:szCs w:val="20"/>
                <w:color w:val="auto"/>
              </w:rPr>
            </w:pPr>
            <w:r>
              <w:rPr>
                <w:rFonts w:ascii="Arial" w:cs="Arial" w:eastAsia="Arial" w:hAnsi="Arial"/>
                <w:sz w:val="18"/>
                <w:szCs w:val="18"/>
                <w:b w:val="1"/>
                <w:bCs w:val="1"/>
                <w:color w:val="345988"/>
              </w:rPr>
              <w:t>common stock continuously for at least</w:t>
            </w:r>
          </w:p>
        </w:tc>
        <w:tc>
          <w:tcPr>
            <w:tcW w:w="3940" w:type="dxa"/>
            <w:vAlign w:val="bottom"/>
          </w:tcPr>
          <w:p>
            <w:pPr>
              <w:ind w:left="220"/>
              <w:spacing w:after="0" w:line="202" w:lineRule="exact"/>
              <w:rPr>
                <w:sz w:val="20"/>
                <w:szCs w:val="20"/>
                <w:color w:val="auto"/>
              </w:rPr>
            </w:pPr>
            <w:r>
              <w:rPr>
                <w:rFonts w:ascii="Arial" w:cs="Arial" w:eastAsia="Arial" w:hAnsi="Arial"/>
                <w:sz w:val="18"/>
                <w:szCs w:val="18"/>
                <w:b w:val="1"/>
                <w:bCs w:val="1"/>
                <w:color w:val="345988"/>
              </w:rPr>
              <w:t>materials director candidates constituting</w:t>
            </w:r>
          </w:p>
        </w:tc>
      </w:tr>
      <w:tr>
        <w:trPr>
          <w:trHeight w:val="233"/>
        </w:trPr>
        <w:tc>
          <w:tcPr>
            <w:tcW w:w="3580" w:type="dxa"/>
            <w:vAlign w:val="bottom"/>
          </w:tcPr>
          <w:p>
            <w:pPr>
              <w:spacing w:after="0"/>
              <w:rPr>
                <w:sz w:val="20"/>
                <w:szCs w:val="20"/>
                <w:color w:val="auto"/>
              </w:rPr>
            </w:pPr>
            <w:r>
              <w:rPr>
                <w:rFonts w:ascii="Arial" w:cs="Arial" w:eastAsia="Arial" w:hAnsi="Arial"/>
                <w:sz w:val="18"/>
                <w:szCs w:val="18"/>
                <w:b w:val="1"/>
                <w:bCs w:val="1"/>
                <w:color w:val="345988"/>
              </w:rPr>
              <w:t>A stockholder</w:t>
            </w:r>
          </w:p>
        </w:tc>
        <w:tc>
          <w:tcPr>
            <w:tcW w:w="3680" w:type="dxa"/>
            <w:vAlign w:val="bottom"/>
          </w:tcPr>
          <w:p>
            <w:pPr>
              <w:ind w:left="160"/>
              <w:spacing w:after="0"/>
              <w:rPr>
                <w:sz w:val="20"/>
                <w:szCs w:val="20"/>
                <w:color w:val="auto"/>
              </w:rPr>
            </w:pPr>
            <w:r>
              <w:rPr>
                <w:rFonts w:ascii="Arial" w:cs="Arial" w:eastAsia="Arial" w:hAnsi="Arial"/>
                <w:sz w:val="18"/>
                <w:szCs w:val="18"/>
                <w:b w:val="1"/>
                <w:bCs w:val="1"/>
                <w:color w:val="345988"/>
              </w:rPr>
              <w:t>three years</w:t>
            </w:r>
          </w:p>
        </w:tc>
        <w:tc>
          <w:tcPr>
            <w:tcW w:w="3940" w:type="dxa"/>
            <w:vAlign w:val="bottom"/>
          </w:tcPr>
          <w:p>
            <w:pPr>
              <w:ind w:left="220"/>
              <w:spacing w:after="0"/>
              <w:rPr>
                <w:sz w:val="20"/>
                <w:szCs w:val="20"/>
                <w:color w:val="auto"/>
              </w:rPr>
            </w:pPr>
            <w:r>
              <w:rPr>
                <w:rFonts w:ascii="Arial" w:cs="Arial" w:eastAsia="Arial" w:hAnsi="Arial"/>
                <w:sz w:val="18"/>
                <w:szCs w:val="18"/>
                <w:b w:val="1"/>
                <w:bCs w:val="1"/>
                <w:color w:val="345988"/>
              </w:rPr>
              <w:t>up to the greater of two individuals or 20%</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345988"/>
              </w:rPr>
              <w:t xml:space="preserve">(or a group of up to </w:t>
            </w:r>
            <w:r>
              <w:rPr>
                <w:rFonts w:ascii="Arial" w:cs="Arial" w:eastAsia="Arial" w:hAnsi="Arial"/>
                <w:sz w:val="18"/>
                <w:szCs w:val="18"/>
                <w:b w:val="1"/>
                <w:bCs w:val="1"/>
                <w:color w:val="FFFFFF"/>
              </w:rPr>
              <w:t>20 stockholders</w:t>
            </w:r>
            <w:r>
              <w:rPr>
                <w:rFonts w:ascii="Arial" w:cs="Arial" w:eastAsia="Arial" w:hAnsi="Arial"/>
                <w:sz w:val="18"/>
                <w:szCs w:val="18"/>
                <w:b w:val="1"/>
                <w:bCs w:val="1"/>
                <w:color w:val="345988"/>
              </w:rPr>
              <w:t>)</w:t>
            </w:r>
          </w:p>
        </w:tc>
        <w:tc>
          <w:tcPr>
            <w:tcW w:w="5680" w:type="dxa"/>
            <w:vAlign w:val="bottom"/>
          </w:tcPr>
          <w:p>
            <w:pPr>
              <w:ind w:left="2220"/>
              <w:spacing w:after="0" w:line="181" w:lineRule="exact"/>
              <w:rPr>
                <w:sz w:val="20"/>
                <w:szCs w:val="20"/>
                <w:color w:val="auto"/>
              </w:rPr>
            </w:pPr>
            <w:r>
              <w:rPr>
                <w:rFonts w:ascii="Arial" w:cs="Arial" w:eastAsia="Arial" w:hAnsi="Arial"/>
                <w:sz w:val="18"/>
                <w:szCs w:val="18"/>
                <w:b w:val="1"/>
                <w:bCs w:val="1"/>
                <w:color w:val="345988"/>
                <w:w w:val="97"/>
              </w:rPr>
              <w:t>of the Board, if the nominee(s) satisfy the</w:t>
            </w: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5680" w:type="dxa"/>
            <w:vAlign w:val="bottom"/>
            <w:vMerge w:val="restart"/>
          </w:tcPr>
          <w:p>
            <w:pPr>
              <w:ind w:left="2220"/>
              <w:spacing w:after="0"/>
              <w:rPr>
                <w:sz w:val="20"/>
                <w:szCs w:val="20"/>
                <w:color w:val="auto"/>
              </w:rPr>
            </w:pPr>
            <w:r>
              <w:rPr>
                <w:rFonts w:ascii="Arial" w:cs="Arial" w:eastAsia="Arial" w:hAnsi="Arial"/>
                <w:sz w:val="18"/>
                <w:szCs w:val="18"/>
                <w:b w:val="1"/>
                <w:bCs w:val="1"/>
                <w:color w:val="345988"/>
              </w:rPr>
              <w:t>requirements specified in our bylaws</w:t>
            </w:r>
          </w:p>
        </w:tc>
        <w:tc>
          <w:tcPr>
            <w:tcW w:w="0" w:type="dxa"/>
            <w:vAlign w:val="bottom"/>
          </w:tcPr>
          <w:p>
            <w:pPr>
              <w:spacing w:after="0"/>
              <w:rPr>
                <w:sz w:val="1"/>
                <w:szCs w:val="1"/>
                <w:color w:val="auto"/>
              </w:rPr>
            </w:pPr>
          </w:p>
        </w:tc>
      </w:tr>
      <w:tr>
        <w:trPr>
          <w:trHeight w:val="122"/>
        </w:trPr>
        <w:tc>
          <w:tcPr>
            <w:tcW w:w="5260" w:type="dxa"/>
            <w:vAlign w:val="bottom"/>
          </w:tcPr>
          <w:p>
            <w:pPr>
              <w:spacing w:after="0"/>
              <w:rPr>
                <w:sz w:val="10"/>
                <w:szCs w:val="10"/>
                <w:color w:val="auto"/>
              </w:rPr>
            </w:pPr>
          </w:p>
        </w:tc>
        <w:tc>
          <w:tcPr>
            <w:tcW w:w="5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1"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345988"/>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2019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committed to corporate social responsibility initiatives that deliver efficiency, value and health for our business, tenants and community. Highlights of these initiatives are set forth below. Our Global Reporting Initiative (GRI) compliant sustainability reports and other information relating to these initiatives are available on our website at http://www.slgreen.com/sustainability.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77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77975"/>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ESG Awards</w:t>
      </w:r>
    </w:p>
    <w:p>
      <w:pPr>
        <w:spacing w:after="0" w:line="158" w:lineRule="exact"/>
        <w:rPr>
          <w:sz w:val="20"/>
          <w:szCs w:val="20"/>
          <w:color w:val="auto"/>
        </w:rPr>
      </w:pPr>
    </w:p>
    <w:p>
      <w:pPr>
        <w:ind w:left="1960" w:hanging="250"/>
        <w:spacing w:after="0"/>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Bloomberg ESG Disclosure score is the highest score for all companies in the REITs-Office Property sector</w:t>
      </w:r>
    </w:p>
    <w:p>
      <w:pPr>
        <w:spacing w:after="0" w:line="103" w:lineRule="exact"/>
        <w:rPr>
          <w:rFonts w:ascii="Arial" w:cs="Arial" w:eastAsia="Arial" w:hAnsi="Arial"/>
          <w:sz w:val="17"/>
          <w:szCs w:val="17"/>
          <w:color w:val="FFFFFF"/>
        </w:rPr>
      </w:pPr>
    </w:p>
    <w:p>
      <w:pPr>
        <w:ind w:left="1960" w:hanging="250"/>
        <w:spacing w:after="0"/>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Thomson Reuters ESG score of “A-”</w:t>
      </w:r>
    </w:p>
    <w:p>
      <w:pPr>
        <w:spacing w:after="0" w:line="103" w:lineRule="exact"/>
        <w:rPr>
          <w:rFonts w:ascii="Arial" w:cs="Arial" w:eastAsia="Arial" w:hAnsi="Arial"/>
          <w:sz w:val="17"/>
          <w:szCs w:val="17"/>
          <w:color w:val="FFFFFF"/>
        </w:rPr>
      </w:pPr>
    </w:p>
    <w:p>
      <w:pPr>
        <w:ind w:left="1960" w:hanging="250"/>
        <w:spacing w:after="0"/>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ENERGY STAR Partner of the Year – Sustained Excellence (2018, 2019)</w:t>
      </w:r>
    </w:p>
    <w:p>
      <w:pPr>
        <w:spacing w:after="0" w:line="103" w:lineRule="exact"/>
        <w:rPr>
          <w:rFonts w:ascii="Arial" w:cs="Arial" w:eastAsia="Arial" w:hAnsi="Arial"/>
          <w:sz w:val="17"/>
          <w:szCs w:val="17"/>
          <w:color w:val="FFFFFF"/>
        </w:rPr>
      </w:pPr>
    </w:p>
    <w:p>
      <w:pPr>
        <w:ind w:left="1960" w:hanging="250"/>
        <w:spacing w:after="0"/>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Achieved a “B” Carbon Disclosure Project score as a first-time reporter (2018)</w:t>
      </w:r>
    </w:p>
    <w:p>
      <w:pPr>
        <w:spacing w:after="0" w:line="103" w:lineRule="exact"/>
        <w:rPr>
          <w:rFonts w:ascii="Arial" w:cs="Arial" w:eastAsia="Arial" w:hAnsi="Arial"/>
          <w:sz w:val="17"/>
          <w:szCs w:val="17"/>
          <w:color w:val="FFFFFF"/>
        </w:rPr>
      </w:pPr>
    </w:p>
    <w:p>
      <w:pPr>
        <w:ind w:left="1960" w:right="920" w:hanging="250"/>
        <w:spacing w:after="0" w:line="264" w:lineRule="auto"/>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Awarded the “Changemaker Award” by the NYC Mayor’s Office of Service in recognition of SL Green’s volunteerism and philanthropic efforts (2018)</w:t>
      </w:r>
    </w:p>
    <w:p>
      <w:pPr>
        <w:spacing w:after="0" w:line="57" w:lineRule="exact"/>
        <w:rPr>
          <w:rFonts w:ascii="Arial" w:cs="Arial" w:eastAsia="Arial" w:hAnsi="Arial"/>
          <w:sz w:val="17"/>
          <w:szCs w:val="17"/>
          <w:color w:val="FFFFFF"/>
        </w:rPr>
      </w:pPr>
    </w:p>
    <w:p>
      <w:pPr>
        <w:ind w:left="1960" w:hanging="250"/>
        <w:spacing w:after="0"/>
        <w:tabs>
          <w:tab w:leader="none" w:pos="1960" w:val="left"/>
        </w:tabs>
        <w:numPr>
          <w:ilvl w:val="0"/>
          <w:numId w:val="12"/>
        </w:numPr>
        <w:rPr>
          <w:rFonts w:ascii="Arial" w:cs="Arial" w:eastAsia="Arial" w:hAnsi="Arial"/>
          <w:sz w:val="17"/>
          <w:szCs w:val="17"/>
          <w:color w:val="FFFFFF"/>
        </w:rPr>
      </w:pPr>
      <w:r>
        <w:rPr>
          <w:rFonts w:ascii="Arial" w:cs="Arial" w:eastAsia="Arial" w:hAnsi="Arial"/>
          <w:sz w:val="18"/>
          <w:szCs w:val="18"/>
          <w:b w:val="1"/>
          <w:bCs w:val="1"/>
          <w:color w:val="FFFFFF"/>
        </w:rPr>
        <w:t>Real Estate Finance &amp; Investment’s “Most Sustainable REIT” (2017,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380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80490"/>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Environmental Initiatives</w:t>
      </w:r>
    </w:p>
    <w:p>
      <w:pPr>
        <w:spacing w:after="0" w:line="158" w:lineRule="exact"/>
        <w:rPr>
          <w:sz w:val="20"/>
          <w:szCs w:val="20"/>
          <w:color w:val="auto"/>
        </w:rPr>
      </w:pPr>
    </w:p>
    <w:p>
      <w:pPr>
        <w:ind w:left="1960" w:hanging="250"/>
        <w:spacing w:after="0"/>
        <w:tabs>
          <w:tab w:leader="none" w:pos="196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Goal to reduce greenhouse gas emissions intensity 30% by 2025 portfolio-wide</w:t>
      </w:r>
    </w:p>
    <w:p>
      <w:pPr>
        <w:spacing w:after="0" w:line="103" w:lineRule="exact"/>
        <w:rPr>
          <w:rFonts w:ascii="Arial" w:cs="Arial" w:eastAsia="Arial" w:hAnsi="Arial"/>
          <w:sz w:val="17"/>
          <w:szCs w:val="17"/>
          <w:color w:val="FFFFFF"/>
        </w:rPr>
      </w:pPr>
    </w:p>
    <w:p>
      <w:pPr>
        <w:ind w:left="1960" w:hanging="250"/>
        <w:spacing w:after="0"/>
        <w:tabs>
          <w:tab w:leader="none" w:pos="196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LEED certified 63% of fully owned and operated properties</w:t>
      </w:r>
    </w:p>
    <w:p>
      <w:pPr>
        <w:spacing w:after="0" w:line="103" w:lineRule="exact"/>
        <w:rPr>
          <w:rFonts w:ascii="Arial" w:cs="Arial" w:eastAsia="Arial" w:hAnsi="Arial"/>
          <w:sz w:val="17"/>
          <w:szCs w:val="17"/>
          <w:color w:val="FFFFFF"/>
        </w:rPr>
      </w:pPr>
    </w:p>
    <w:p>
      <w:pPr>
        <w:ind w:left="1960" w:right="880" w:hanging="250"/>
        <w:spacing w:after="0" w:line="264" w:lineRule="auto"/>
        <w:tabs>
          <w:tab w:leader="none" w:pos="196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Achieved 20 ENERGY STAR labels in 2018 within the Manhattan portfolio across 14 million square feet, representing 9% of all ENERGY STAR labels achieved in Manhattan</w:t>
      </w:r>
    </w:p>
    <w:p>
      <w:pPr>
        <w:spacing w:after="0" w:line="57" w:lineRule="exact"/>
        <w:rPr>
          <w:rFonts w:ascii="Arial" w:cs="Arial" w:eastAsia="Arial" w:hAnsi="Arial"/>
          <w:sz w:val="17"/>
          <w:szCs w:val="17"/>
          <w:color w:val="FFFFFF"/>
        </w:rPr>
      </w:pPr>
    </w:p>
    <w:p>
      <w:pPr>
        <w:ind w:left="1960" w:hanging="250"/>
        <w:spacing w:after="0"/>
        <w:tabs>
          <w:tab w:leader="none" w:pos="196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18 million square feet of Manhattan portfolio participating in the WELL Portfolio program</w:t>
      </w:r>
    </w:p>
    <w:p>
      <w:pPr>
        <w:spacing w:after="0" w:line="103" w:lineRule="exact"/>
        <w:rPr>
          <w:rFonts w:ascii="Arial" w:cs="Arial" w:eastAsia="Arial" w:hAnsi="Arial"/>
          <w:sz w:val="17"/>
          <w:szCs w:val="17"/>
          <w:color w:val="FFFFFF"/>
        </w:rPr>
      </w:pPr>
    </w:p>
    <w:p>
      <w:pPr>
        <w:ind w:left="1960" w:hanging="250"/>
        <w:spacing w:after="0"/>
        <w:tabs>
          <w:tab w:leader="none" w:pos="196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3 million square feet in active sustainable development projects, including 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44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4081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Social Initiatives</w:t>
      </w:r>
    </w:p>
    <w:p>
      <w:pPr>
        <w:spacing w:after="0" w:line="158" w:lineRule="exact"/>
        <w:rPr>
          <w:sz w:val="20"/>
          <w:szCs w:val="20"/>
          <w:color w:val="auto"/>
        </w:rPr>
      </w:pPr>
    </w:p>
    <w:p>
      <w:pPr>
        <w:ind w:left="1960" w:right="120" w:hanging="250"/>
        <w:spacing w:after="0" w:line="264" w:lineRule="auto"/>
        <w:tabs>
          <w:tab w:leader="none" w:pos="196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Investment in employees through funding of training programs, tuition reimbursement and continued education courses</w:t>
      </w:r>
    </w:p>
    <w:p>
      <w:pPr>
        <w:spacing w:after="0" w:line="57" w:lineRule="exact"/>
        <w:rPr>
          <w:rFonts w:ascii="Arial" w:cs="Arial" w:eastAsia="Arial" w:hAnsi="Arial"/>
          <w:sz w:val="17"/>
          <w:szCs w:val="17"/>
          <w:color w:val="FFFFFF"/>
        </w:rPr>
      </w:pPr>
    </w:p>
    <w:p>
      <w:pPr>
        <w:ind w:left="1960" w:right="400" w:hanging="250"/>
        <w:spacing w:after="0" w:line="264" w:lineRule="auto"/>
        <w:tabs>
          <w:tab w:leader="none" w:pos="196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Market-leading benefits program spanning healthcare, 401k match, employee stock purchase plan, disability coverage, wellness and life insurance</w:t>
      </w:r>
    </w:p>
    <w:p>
      <w:pPr>
        <w:spacing w:after="0" w:line="57" w:lineRule="exact"/>
        <w:rPr>
          <w:rFonts w:ascii="Arial" w:cs="Arial" w:eastAsia="Arial" w:hAnsi="Arial"/>
          <w:sz w:val="17"/>
          <w:szCs w:val="17"/>
          <w:color w:val="FFFFFF"/>
        </w:rPr>
      </w:pPr>
    </w:p>
    <w:p>
      <w:pPr>
        <w:ind w:left="1960" w:hanging="250"/>
        <w:spacing w:after="0"/>
        <w:tabs>
          <w:tab w:leader="none" w:pos="196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Coordinate over 130 volunteering events annually, including employer-sponsored volunteer days</w:t>
      </w:r>
    </w:p>
    <w:p>
      <w:pPr>
        <w:spacing w:after="0" w:line="103" w:lineRule="exact"/>
        <w:rPr>
          <w:rFonts w:ascii="Arial" w:cs="Arial" w:eastAsia="Arial" w:hAnsi="Arial"/>
          <w:sz w:val="17"/>
          <w:szCs w:val="17"/>
          <w:color w:val="FFFFFF"/>
        </w:rPr>
      </w:pPr>
    </w:p>
    <w:p>
      <w:pPr>
        <w:ind w:left="1960" w:right="180" w:hanging="250"/>
        <w:spacing w:after="0" w:line="264" w:lineRule="auto"/>
        <w:tabs>
          <w:tab w:leader="none" w:pos="196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Contribute $1M across over 100 partner organizations corporately and sponsor a charitable contribution match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115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5988"/>
        </w:rPr>
        <w:t>Governance Initiatives - Sustainability</w:t>
      </w:r>
    </w:p>
    <w:p>
      <w:pPr>
        <w:spacing w:after="0" w:line="158" w:lineRule="exact"/>
        <w:rPr>
          <w:sz w:val="20"/>
          <w:szCs w:val="20"/>
          <w:color w:val="auto"/>
        </w:rPr>
      </w:pPr>
    </w:p>
    <w:p>
      <w:pPr>
        <w:ind w:left="1960" w:hanging="250"/>
        <w:spacing w:after="0"/>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Executive and Board oversight of sustainability mission statement and goal setting</w:t>
      </w:r>
    </w:p>
    <w:p>
      <w:pPr>
        <w:spacing w:after="0" w:line="103" w:lineRule="exact"/>
        <w:rPr>
          <w:rFonts w:ascii="Arial" w:cs="Arial" w:eastAsia="Arial" w:hAnsi="Arial"/>
          <w:sz w:val="17"/>
          <w:szCs w:val="17"/>
          <w:color w:val="FFFFFF"/>
        </w:rPr>
      </w:pPr>
    </w:p>
    <w:p>
      <w:pPr>
        <w:ind w:left="1960" w:right="180" w:hanging="250"/>
        <w:spacing w:after="0" w:line="264" w:lineRule="auto"/>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Annual GRI sustainability reports distributed to the Board, investors, tenants, vendor partners and government stakeholders</w:t>
      </w:r>
    </w:p>
    <w:p>
      <w:pPr>
        <w:spacing w:after="0" w:line="57" w:lineRule="exact"/>
        <w:rPr>
          <w:rFonts w:ascii="Arial" w:cs="Arial" w:eastAsia="Arial" w:hAnsi="Arial"/>
          <w:sz w:val="17"/>
          <w:szCs w:val="17"/>
          <w:color w:val="FFFFFF"/>
        </w:rPr>
      </w:pPr>
    </w:p>
    <w:p>
      <w:pPr>
        <w:ind w:left="1960" w:right="180" w:hanging="250"/>
        <w:spacing w:after="0" w:line="264" w:lineRule="auto"/>
        <w:tabs>
          <w:tab w:leader="none" w:pos="196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Stakeholder engagement and materiality assessment processes initiated across tenants, community members, industry peers and employees to identify material ESG topics</w:t>
      </w:r>
    </w:p>
    <w:p>
      <w:pPr>
        <w:spacing w:after="0" w:line="29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w:t>
      </w:r>
    </w:p>
    <w:p>
      <w:pPr>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66495" cy="351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64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NOTICE OF ANNUAL MEETING OF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You are invited to attend the 2019 annual meeting of stockholders of SL Green Realty Corp., a Maryland corporation, which will be held on Thursday, May 30, 2019 at 10:00 a.m., local time, at Convene (The Club Room), 237 Park Avenue, New York, New York, 10017. The annual meeting will be held for the following purposes:</w:t>
      </w:r>
    </w:p>
    <w:p>
      <w:pPr>
        <w:spacing w:after="0" w:line="208" w:lineRule="exact"/>
        <w:rPr>
          <w:sz w:val="20"/>
          <w:szCs w:val="20"/>
          <w:color w:val="auto"/>
        </w:rPr>
      </w:pPr>
    </w:p>
    <w:p>
      <w:pPr>
        <w:ind w:left="300" w:right="700" w:hanging="292"/>
        <w:spacing w:after="0" w:line="239" w:lineRule="auto"/>
        <w:tabs>
          <w:tab w:leader="none" w:pos="300" w:val="left"/>
        </w:tabs>
        <w:numPr>
          <w:ilvl w:val="0"/>
          <w:numId w:val="16"/>
        </w:numPr>
        <w:rPr>
          <w:rFonts w:ascii="Arial" w:cs="Arial" w:eastAsia="Arial" w:hAnsi="Arial"/>
          <w:sz w:val="18"/>
          <w:szCs w:val="18"/>
          <w:color w:val="345988"/>
        </w:rPr>
      </w:pPr>
      <w:r>
        <w:rPr>
          <w:rFonts w:ascii="Arial" w:cs="Arial" w:eastAsia="Arial" w:hAnsi="Arial"/>
          <w:sz w:val="18"/>
          <w:szCs w:val="18"/>
          <w:color w:val="auto"/>
        </w:rPr>
        <w:t>To elect the six director nominees named in the proxy statement to serve on the Board of Directors for a one-year term and until their successors are duly elected and qualify;</w:t>
      </w:r>
    </w:p>
    <w:p>
      <w:pPr>
        <w:spacing w:after="0" w:line="100" w:lineRule="exact"/>
        <w:rPr>
          <w:rFonts w:ascii="Arial" w:cs="Arial" w:eastAsia="Arial" w:hAnsi="Arial"/>
          <w:sz w:val="18"/>
          <w:szCs w:val="18"/>
          <w:color w:val="345988"/>
        </w:rPr>
      </w:pPr>
    </w:p>
    <w:p>
      <w:pPr>
        <w:ind w:left="300" w:hanging="292"/>
        <w:spacing w:after="0"/>
        <w:tabs>
          <w:tab w:leader="none" w:pos="300" w:val="left"/>
        </w:tabs>
        <w:numPr>
          <w:ilvl w:val="0"/>
          <w:numId w:val="16"/>
        </w:numPr>
        <w:rPr>
          <w:rFonts w:ascii="Arial" w:cs="Arial" w:eastAsia="Arial" w:hAnsi="Arial"/>
          <w:sz w:val="18"/>
          <w:szCs w:val="18"/>
          <w:color w:val="345988"/>
        </w:rPr>
      </w:pPr>
      <w:r>
        <w:rPr>
          <w:rFonts w:ascii="Arial" w:cs="Arial" w:eastAsia="Arial" w:hAnsi="Arial"/>
          <w:sz w:val="18"/>
          <w:szCs w:val="18"/>
          <w:color w:val="auto"/>
        </w:rPr>
        <w:t>To hold an advisory vote on executive compensation; and</w:t>
      </w:r>
    </w:p>
    <w:p>
      <w:pPr>
        <w:spacing w:after="0" w:line="103" w:lineRule="exact"/>
        <w:rPr>
          <w:rFonts w:ascii="Arial" w:cs="Arial" w:eastAsia="Arial" w:hAnsi="Arial"/>
          <w:sz w:val="18"/>
          <w:szCs w:val="18"/>
          <w:color w:val="345988"/>
        </w:rPr>
      </w:pPr>
    </w:p>
    <w:p>
      <w:pPr>
        <w:ind w:left="300" w:right="120" w:hanging="292"/>
        <w:spacing w:after="0" w:line="239" w:lineRule="auto"/>
        <w:tabs>
          <w:tab w:leader="none" w:pos="300" w:val="left"/>
        </w:tabs>
        <w:numPr>
          <w:ilvl w:val="0"/>
          <w:numId w:val="16"/>
        </w:numPr>
        <w:rPr>
          <w:rFonts w:ascii="Arial" w:cs="Arial" w:eastAsia="Arial" w:hAnsi="Arial"/>
          <w:sz w:val="18"/>
          <w:szCs w:val="18"/>
          <w:color w:val="345988"/>
        </w:rPr>
      </w:pPr>
      <w:r>
        <w:rPr>
          <w:rFonts w:ascii="Arial" w:cs="Arial" w:eastAsia="Arial" w:hAnsi="Arial"/>
          <w:sz w:val="18"/>
          <w:szCs w:val="18"/>
          <w:color w:val="auto"/>
        </w:rPr>
        <w:t>To ratify the appointment of Ernst &amp; Young LLP as our independent registered public accounting firm for the fiscal year ending December 31, 2019.</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has fixed the close of business on March 29, 2019 as the record date for determining the stockholders entitled to notice of, and to vote at, the annual meeting and at any adjournments or postponements thereof.</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3185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31850" cy="2571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Levine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3207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20738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Voting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Call 1-800-454-8683</w:t>
      </w:r>
    </w:p>
    <w:p>
      <w:pPr>
        <w:ind w:left="120"/>
        <w:spacing w:after="0"/>
        <w:rPr>
          <w:sz w:val="20"/>
          <w:szCs w:val="20"/>
          <w:color w:val="auto"/>
        </w:rPr>
      </w:pPr>
      <w:r>
        <w:rPr>
          <w:rFonts w:ascii="Arial" w:cs="Arial" w:eastAsia="Arial" w:hAnsi="Arial"/>
          <w:sz w:val="18"/>
          <w:szCs w:val="18"/>
          <w:color w:val="auto"/>
        </w:rPr>
        <w:t>24h/7</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345988"/>
        </w:rPr>
        <w:t>Important Notice Regarding the Availability of Proxy Materials for the Stockholder Meeting to be Held on May 30, 2019.</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345988"/>
        </w:rPr>
        <w:t>This proxy statement and our 2018 Annual Report to Stockholders are available at http://www.proxyvote.com</w:t>
      </w:r>
    </w:p>
    <w:p>
      <w:pPr>
        <w:spacing w:after="0" w:line="200" w:lineRule="exact"/>
        <w:rPr>
          <w:sz w:val="20"/>
          <w:szCs w:val="20"/>
          <w:color w:val="auto"/>
        </w:rPr>
      </w:pPr>
    </w:p>
    <w:p>
      <w:pPr>
        <w:spacing w:after="0" w:line="25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Whether or not you plan to attend the annual meeting, please complete, sign, date and promptly return the enclosed proxy card in the post-prepaid envelope provided or authorize your proxy by telephone or the Internet by following the instructions on your proxy card. For specific instructions on voting, please see the instructions on the proxy card or the information forwarded by your broker, bank or other holder of record. If you attend the annual meeting, you may vote in person if you wish, even if you previously have signed and returned your proxy card. Please note that if your shares are held of record by a bank, broker or other nominee and you wish to vote in person at the annual meeting, you must obtain a proxy issued in your name from such bank, broker or other nominee.</w:t>
      </w:r>
    </w:p>
    <w:p>
      <w:pPr>
        <w:spacing w:after="0" w:line="18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21" w:right="359" w:bottom="325"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gridSpan w:val="29"/>
          </w:tcPr>
          <w:p>
            <w:pPr>
              <w:spacing w:after="0"/>
              <w:rPr>
                <w:rFonts w:ascii="Arial" w:cs="Arial" w:eastAsia="Arial" w:hAnsi="Arial"/>
                <w:sz w:val="18"/>
                <w:szCs w:val="18"/>
                <w:b w:val="1"/>
                <w:bCs w:val="1"/>
                <w:color w:val="345988"/>
              </w:rPr>
            </w:pPr>
            <w:hyperlink w:anchor="page3">
              <w:r>
                <w:rPr>
                  <w:rFonts w:ascii="Arial" w:cs="Arial" w:eastAsia="Arial" w:hAnsi="Arial"/>
                  <w:sz w:val="18"/>
                  <w:szCs w:val="18"/>
                  <w:b w:val="1"/>
                  <w:bCs w:val="1"/>
                  <w:color w:val="345988"/>
                </w:rPr>
                <w:t>2019 PROXY STATEMENT HIGHLIGHTS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60" w:type="dxa"/>
            <w:vAlign w:val="bottom"/>
            <w:tcBorders>
              <w:top w:val="single" w:sz="8" w:color="345988"/>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90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11140" w:type="dxa"/>
            <w:vAlign w:val="bottom"/>
            <w:gridSpan w:val="2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 Overview and Highlights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2</w:t>
              </w:r>
            </w:hyperlink>
          </w:p>
        </w:tc>
      </w:tr>
      <w:tr>
        <w:trPr>
          <w:trHeight w:val="291"/>
        </w:trPr>
        <w:tc>
          <w:tcPr>
            <w:tcW w:w="214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Compensation Highlights</w:t>
              </w:r>
            </w:hyperlink>
          </w:p>
        </w:tc>
        <w:tc>
          <w:tcPr>
            <w:tcW w:w="740" w:type="dxa"/>
            <w:vAlign w:val="bottom"/>
            <w:tcBorders>
              <w:top w:val="single" w:sz="8" w:color="0000EE"/>
            </w:tcBorders>
            <w:gridSpan w:val="6"/>
          </w:tcPr>
          <w:p>
            <w:pPr>
              <w:spacing w:after="0"/>
              <w:rPr>
                <w:sz w:val="24"/>
                <w:szCs w:val="24"/>
                <w:color w:val="auto"/>
              </w:rPr>
            </w:pPr>
          </w:p>
        </w:tc>
        <w:tc>
          <w:tcPr>
            <w:tcW w:w="8260" w:type="dxa"/>
            <w:vAlign w:val="bottom"/>
            <w:gridSpan w:val="15"/>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3</w:t>
              </w:r>
            </w:hyperlink>
          </w:p>
        </w:tc>
      </w:tr>
      <w:tr>
        <w:trPr>
          <w:trHeight w:val="291"/>
        </w:trPr>
        <w:tc>
          <w:tcPr>
            <w:tcW w:w="2820" w:type="dxa"/>
            <w:vAlign w:val="bottom"/>
            <w:tcBorders>
              <w:bottom w:val="single" w:sz="8" w:color="0000EE"/>
            </w:tcBorders>
            <w:gridSpan w:val="13"/>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Corporate Governance Highlights</w:t>
              </w:r>
            </w:hyperlink>
          </w:p>
        </w:tc>
        <w:tc>
          <w:tcPr>
            <w:tcW w:w="8320" w:type="dxa"/>
            <w:vAlign w:val="bottom"/>
            <w:gridSpan w:val="16"/>
          </w:tcPr>
          <w:p>
            <w:pPr>
              <w:spacing w:after="0"/>
              <w:rPr>
                <w:sz w:val="24"/>
                <w:szCs w:val="24"/>
                <w:color w:val="auto"/>
              </w:rPr>
            </w:pPr>
          </w:p>
        </w:tc>
        <w:tc>
          <w:tcPr>
            <w:tcW w:w="1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4</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ESG Highlights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11140" w:type="dxa"/>
            <w:vAlign w:val="bottom"/>
            <w:gridSpan w:val="29"/>
          </w:tcPr>
          <w:p>
            <w:pPr>
              <w:spacing w:after="0"/>
              <w:rPr>
                <w:rFonts w:ascii="Arial" w:cs="Arial" w:eastAsia="Arial" w:hAnsi="Arial"/>
                <w:sz w:val="18"/>
                <w:szCs w:val="18"/>
                <w:b w:val="1"/>
                <w:bCs w:val="1"/>
                <w:color w:val="345988"/>
              </w:rPr>
            </w:pPr>
            <w:hyperlink w:anchor="page8">
              <w:r>
                <w:rPr>
                  <w:rFonts w:ascii="Arial" w:cs="Arial" w:eastAsia="Arial" w:hAnsi="Arial"/>
                  <w:sz w:val="18"/>
                  <w:szCs w:val="18"/>
                  <w:b w:val="1"/>
                  <w:bCs w:val="1"/>
                  <w:color w:val="345988"/>
                </w:rPr>
                <w:t>NOTICE OF ANNUAL MEETING OF STOCKHOLDERS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6</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90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11140" w:type="dxa"/>
            <w:vAlign w:val="bottom"/>
            <w:gridSpan w:val="29"/>
          </w:tcPr>
          <w:p>
            <w:pPr>
              <w:spacing w:after="0"/>
              <w:rPr>
                <w:rFonts w:ascii="Arial" w:cs="Arial" w:eastAsia="Arial" w:hAnsi="Arial"/>
                <w:sz w:val="18"/>
                <w:szCs w:val="18"/>
                <w:b w:val="1"/>
                <w:bCs w:val="1"/>
                <w:color w:val="345988"/>
              </w:rPr>
            </w:pPr>
            <w:hyperlink w:anchor="page10">
              <w:r>
                <w:rPr>
                  <w:rFonts w:ascii="Arial" w:cs="Arial" w:eastAsia="Arial" w:hAnsi="Arial"/>
                  <w:sz w:val="18"/>
                  <w:szCs w:val="18"/>
                  <w:b w:val="1"/>
                  <w:bCs w:val="1"/>
                  <w:color w:val="345988"/>
                </w:rPr>
                <w:t>OUR BOARD OF DIRECTORS AND CORPORATE GOVERNANCE</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8</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90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44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10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11140" w:type="dxa"/>
            <w:vAlign w:val="bottom"/>
            <w:gridSpan w:val="29"/>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1: Election of Directors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8</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2940" w:type="dxa"/>
            <w:vAlign w:val="bottom"/>
            <w:tcBorders>
              <w:bottom w:val="single" w:sz="8" w:color="0000EE"/>
            </w:tcBorders>
            <w:gridSpan w:val="15"/>
          </w:tcPr>
          <w:p>
            <w:pPr>
              <w:spacing w:after="0"/>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Board Structure and Independence</w:t>
              </w:r>
            </w:hyperlink>
          </w:p>
        </w:tc>
        <w:tc>
          <w:tcPr>
            <w:tcW w:w="820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19">
              <w:r>
                <w:rPr>
                  <w:rFonts w:ascii="Arial" w:cs="Arial" w:eastAsia="Arial" w:hAnsi="Arial"/>
                  <w:sz w:val="18"/>
                  <w:szCs w:val="18"/>
                  <w:b w:val="1"/>
                  <w:bCs w:val="1"/>
                  <w:color w:val="0000EE"/>
                  <w:w w:val="89"/>
                </w:rPr>
                <w:t>17</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Board Committees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19</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1"/>
        </w:trPr>
        <w:tc>
          <w:tcPr>
            <w:tcW w:w="192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23">
              <w:r>
                <w:rPr>
                  <w:rFonts w:ascii="Arial" w:cs="Arial" w:eastAsia="Arial" w:hAnsi="Arial"/>
                  <w:sz w:val="18"/>
                  <w:szCs w:val="18"/>
                  <w:b w:val="1"/>
                  <w:bCs w:val="1"/>
                  <w:color w:val="0000EE"/>
                  <w:w w:val="97"/>
                </w:rPr>
                <w:t>Corporate Governance</w:t>
              </w:r>
            </w:hyperlink>
          </w:p>
        </w:tc>
        <w:tc>
          <w:tcPr>
            <w:tcW w:w="9220" w:type="dxa"/>
            <w:vAlign w:val="bottom"/>
            <w:gridSpan w:val="24"/>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21</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Director Compensation</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25</w:t>
              </w:r>
            </w:hyperlink>
          </w:p>
        </w:tc>
      </w:tr>
      <w:tr>
        <w:trPr>
          <w:trHeight w:val="291"/>
        </w:trPr>
        <w:tc>
          <w:tcPr>
            <w:tcW w:w="15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Executive Officers</w:t>
              </w:r>
            </w:hyperlink>
          </w:p>
        </w:tc>
        <w:tc>
          <w:tcPr>
            <w:tcW w:w="380" w:type="dxa"/>
            <w:vAlign w:val="bottom"/>
            <w:tcBorders>
              <w:top w:val="single" w:sz="8" w:color="0000EE"/>
            </w:tcBorders>
            <w:gridSpan w:val="3"/>
          </w:tcPr>
          <w:p>
            <w:pPr>
              <w:spacing w:after="0"/>
              <w:rPr>
                <w:sz w:val="24"/>
                <w:szCs w:val="24"/>
                <w:color w:val="auto"/>
              </w:rPr>
            </w:pPr>
          </w:p>
        </w:tc>
        <w:tc>
          <w:tcPr>
            <w:tcW w:w="9200" w:type="dxa"/>
            <w:vAlign w:val="bottom"/>
            <w:gridSpan w:val="23"/>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26</w:t>
              </w:r>
            </w:hyperlink>
          </w:p>
        </w:tc>
      </w:tr>
      <w:tr>
        <w:trPr>
          <w:trHeight w:val="291"/>
        </w:trPr>
        <w:tc>
          <w:tcPr>
            <w:tcW w:w="11140" w:type="dxa"/>
            <w:vAlign w:val="bottom"/>
            <w:gridSpan w:val="29"/>
          </w:tcPr>
          <w:p>
            <w:pPr>
              <w:spacing w:after="0"/>
              <w:rPr>
                <w:rFonts w:ascii="Arial" w:cs="Arial" w:eastAsia="Arial" w:hAnsi="Arial"/>
                <w:sz w:val="18"/>
                <w:szCs w:val="18"/>
                <w:b w:val="1"/>
                <w:bCs w:val="1"/>
                <w:color w:val="345988"/>
              </w:rPr>
            </w:pPr>
            <w:hyperlink w:anchor="page29">
              <w:r>
                <w:rPr>
                  <w:rFonts w:ascii="Arial" w:cs="Arial" w:eastAsia="Arial" w:hAnsi="Arial"/>
                  <w:sz w:val="18"/>
                  <w:szCs w:val="18"/>
                  <w:b w:val="1"/>
                  <w:bCs w:val="1"/>
                  <w:color w:val="345988"/>
                </w:rPr>
                <w:t>EXECUTIVE COMPENSATION</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27</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90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11140" w:type="dxa"/>
            <w:vAlign w:val="bottom"/>
            <w:gridSpan w:val="2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Proposal 2: Advisory Vote on the Compensation of our Named Executive Officers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27</w:t>
              </w:r>
            </w:hyperlink>
          </w:p>
        </w:tc>
      </w:tr>
      <w:tr>
        <w:trPr>
          <w:trHeight w:val="291"/>
        </w:trPr>
        <w:tc>
          <w:tcPr>
            <w:tcW w:w="28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Compensation Committee Report</w:t>
              </w:r>
            </w:hyperlink>
          </w:p>
        </w:tc>
        <w:tc>
          <w:tcPr>
            <w:tcW w:w="3980" w:type="dxa"/>
            <w:vAlign w:val="bottom"/>
            <w:tcBorders>
              <w:top w:val="single" w:sz="8" w:color="0000EE"/>
            </w:tcBorders>
            <w:gridSpan w:val="15"/>
          </w:tcPr>
          <w:p>
            <w:pPr>
              <w:spacing w:after="0"/>
              <w:rPr>
                <w:sz w:val="24"/>
                <w:szCs w:val="24"/>
                <w:color w:val="auto"/>
              </w:rPr>
            </w:pPr>
          </w:p>
        </w:tc>
        <w:tc>
          <w:tcPr>
            <w:tcW w:w="43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27</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Discussion and Analysis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28</w:t>
              </w:r>
            </w:hyperlink>
          </w:p>
        </w:tc>
      </w:tr>
      <w:tr>
        <w:trPr>
          <w:trHeight w:val="291"/>
        </w:trPr>
        <w:tc>
          <w:tcPr>
            <w:tcW w:w="33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Executive Compensation Tables</w:t>
              </w:r>
            </w:hyperlink>
          </w:p>
        </w:tc>
        <w:tc>
          <w:tcPr>
            <w:tcW w:w="780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47">
              <w:r>
                <w:rPr>
                  <w:rFonts w:ascii="Arial" w:cs="Arial" w:eastAsia="Arial" w:hAnsi="Arial"/>
                  <w:sz w:val="18"/>
                  <w:szCs w:val="18"/>
                  <w:b w:val="1"/>
                  <w:bCs w:val="1"/>
                  <w:color w:val="0000EE"/>
                  <w:w w:val="89"/>
                </w:rPr>
                <w:t>45</w:t>
              </w:r>
            </w:hyperlink>
          </w:p>
        </w:tc>
      </w:tr>
      <w:tr>
        <w:trPr>
          <w:trHeight w:val="291"/>
        </w:trPr>
        <w:tc>
          <w:tcPr>
            <w:tcW w:w="2720" w:type="dxa"/>
            <w:vAlign w:val="bottom"/>
            <w:tcBorders>
              <w:top w:val="single" w:sz="8" w:color="0000EE"/>
            </w:tcBorders>
            <w:gridSpan w:val="11"/>
          </w:tcPr>
          <w:p>
            <w:pPr>
              <w:spacing w:after="0"/>
              <w:rPr>
                <w:rFonts w:ascii="Arial" w:cs="Arial" w:eastAsia="Arial" w:hAnsi="Arial"/>
                <w:sz w:val="18"/>
                <w:szCs w:val="18"/>
                <w:b w:val="1"/>
                <w:bCs w:val="1"/>
                <w:color w:val="345988"/>
              </w:rPr>
            </w:pPr>
            <w:hyperlink w:anchor="page61">
              <w:r>
                <w:rPr>
                  <w:rFonts w:ascii="Arial" w:cs="Arial" w:eastAsia="Arial" w:hAnsi="Arial"/>
                  <w:sz w:val="18"/>
                  <w:szCs w:val="18"/>
                  <w:b w:val="1"/>
                  <w:bCs w:val="1"/>
                  <w:color w:val="345988"/>
                </w:rPr>
                <w:t>AUDIT COMMITTEE MATTERS</w:t>
              </w:r>
            </w:hyperlink>
          </w:p>
        </w:tc>
        <w:tc>
          <w:tcPr>
            <w:tcW w:w="842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61">
              <w:r>
                <w:rPr>
                  <w:rFonts w:ascii="Arial" w:cs="Arial" w:eastAsia="Arial" w:hAnsi="Arial"/>
                  <w:sz w:val="18"/>
                  <w:szCs w:val="18"/>
                  <w:b w:val="1"/>
                  <w:bCs w:val="1"/>
                  <w:color w:val="0000EE"/>
                  <w:w w:val="89"/>
                </w:rPr>
                <w:t>59</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90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7600" w:type="dxa"/>
            <w:vAlign w:val="bottom"/>
            <w:tcBorders>
              <w:bottom w:val="single" w:sz="8" w:color="0000EE"/>
            </w:tcBorders>
            <w:gridSpan w:val="28"/>
          </w:tcPr>
          <w:p>
            <w:pPr>
              <w:spacing w:after="0"/>
              <w:rPr>
                <w:rFonts w:ascii="Arial" w:cs="Arial" w:eastAsia="Arial" w:hAnsi="Arial"/>
                <w:sz w:val="18"/>
                <w:szCs w:val="18"/>
                <w:b w:val="1"/>
                <w:bCs w:val="1"/>
                <w:color w:val="0000EE"/>
                <w:w w:val="97"/>
              </w:rPr>
            </w:pPr>
            <w:hyperlink w:anchor="page61">
              <w:r>
                <w:rPr>
                  <w:rFonts w:ascii="Arial" w:cs="Arial" w:eastAsia="Arial" w:hAnsi="Arial"/>
                  <w:sz w:val="18"/>
                  <w:szCs w:val="18"/>
                  <w:b w:val="1"/>
                  <w:bCs w:val="1"/>
                  <w:color w:val="0000EE"/>
                  <w:w w:val="97"/>
                </w:rPr>
                <w:t>Proposal 3: Ratification of Appointment of Independent Registered Public Accounting Firm</w:t>
              </w:r>
            </w:hyperlink>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1">
              <w:r>
                <w:rPr>
                  <w:rFonts w:ascii="Arial" w:cs="Arial" w:eastAsia="Arial" w:hAnsi="Arial"/>
                  <w:sz w:val="18"/>
                  <w:szCs w:val="18"/>
                  <w:b w:val="1"/>
                  <w:bCs w:val="1"/>
                  <w:color w:val="0000EE"/>
                  <w:w w:val="89"/>
                </w:rPr>
                <w:t>59</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Audit Committee Report</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59</w:t>
              </w:r>
            </w:hyperlink>
          </w:p>
        </w:tc>
      </w:tr>
      <w:tr>
        <w:trPr>
          <w:trHeight w:val="291"/>
        </w:trPr>
        <w:tc>
          <w:tcPr>
            <w:tcW w:w="12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6"/>
              </w:rPr>
            </w:pPr>
            <w:hyperlink w:anchor="page62">
              <w:r>
                <w:rPr>
                  <w:rFonts w:ascii="Arial" w:cs="Arial" w:eastAsia="Arial" w:hAnsi="Arial"/>
                  <w:sz w:val="18"/>
                  <w:szCs w:val="18"/>
                  <w:b w:val="1"/>
                  <w:bCs w:val="1"/>
                  <w:color w:val="0000EE"/>
                  <w:w w:val="96"/>
                </w:rPr>
                <w:t>Fee Disclosure</w:t>
              </w:r>
            </w:hyperlink>
          </w:p>
        </w:tc>
        <w:tc>
          <w:tcPr>
            <w:tcW w:w="740" w:type="dxa"/>
            <w:vAlign w:val="bottom"/>
            <w:tcBorders>
              <w:top w:val="single" w:sz="8" w:color="0000EE"/>
            </w:tcBorders>
            <w:gridSpan w:val="5"/>
          </w:tcPr>
          <w:p>
            <w:pPr>
              <w:spacing w:after="0"/>
              <w:rPr>
                <w:sz w:val="24"/>
                <w:szCs w:val="24"/>
                <w:color w:val="auto"/>
              </w:rPr>
            </w:pPr>
          </w:p>
        </w:tc>
        <w:tc>
          <w:tcPr>
            <w:tcW w:w="912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62">
              <w:r>
                <w:rPr>
                  <w:rFonts w:ascii="Arial" w:cs="Arial" w:eastAsia="Arial" w:hAnsi="Arial"/>
                  <w:sz w:val="18"/>
                  <w:szCs w:val="18"/>
                  <w:b w:val="1"/>
                  <w:bCs w:val="1"/>
                  <w:color w:val="0000EE"/>
                  <w:w w:val="89"/>
                </w:rPr>
                <w:t>60</w:t>
              </w:r>
            </w:hyperlink>
          </w:p>
        </w:tc>
      </w:tr>
      <w:tr>
        <w:trPr>
          <w:trHeight w:val="291"/>
        </w:trPr>
        <w:tc>
          <w:tcPr>
            <w:tcW w:w="5200" w:type="dxa"/>
            <w:vAlign w:val="bottom"/>
            <w:tcBorders>
              <w:bottom w:val="single" w:sz="8" w:color="0000EE"/>
            </w:tcBorders>
            <w:gridSpan w:val="22"/>
          </w:tcPr>
          <w:p>
            <w:pPr>
              <w:spacing w:after="0"/>
              <w:rPr>
                <w:rFonts w:ascii="Arial" w:cs="Arial" w:eastAsia="Arial" w:hAnsi="Arial"/>
                <w:sz w:val="18"/>
                <w:szCs w:val="18"/>
                <w:b w:val="1"/>
                <w:bCs w:val="1"/>
                <w:color w:val="0000EE"/>
                <w:w w:val="97"/>
              </w:rPr>
            </w:pPr>
            <w:hyperlink w:anchor="page62">
              <w:r>
                <w:rPr>
                  <w:rFonts w:ascii="Arial" w:cs="Arial" w:eastAsia="Arial" w:hAnsi="Arial"/>
                  <w:sz w:val="18"/>
                  <w:szCs w:val="18"/>
                  <w:b w:val="1"/>
                  <w:bCs w:val="1"/>
                  <w:color w:val="0000EE"/>
                  <w:w w:val="97"/>
                </w:rPr>
                <w:t>Pre-Approval Policies and Procedures of our Audit Committee</w:t>
              </w:r>
            </w:hyperlink>
          </w:p>
        </w:tc>
        <w:tc>
          <w:tcPr>
            <w:tcW w:w="594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2">
              <w:r>
                <w:rPr>
                  <w:rFonts w:ascii="Arial" w:cs="Arial" w:eastAsia="Arial" w:hAnsi="Arial"/>
                  <w:sz w:val="18"/>
                  <w:szCs w:val="18"/>
                  <w:b w:val="1"/>
                  <w:bCs w:val="1"/>
                  <w:color w:val="0000EE"/>
                  <w:w w:val="89"/>
                </w:rPr>
                <w:t>60</w:t>
              </w:r>
            </w:hyperlink>
          </w:p>
        </w:tc>
      </w:tr>
      <w:tr>
        <w:trPr>
          <w:trHeight w:val="291"/>
        </w:trPr>
        <w:tc>
          <w:tcPr>
            <w:tcW w:w="11140" w:type="dxa"/>
            <w:vAlign w:val="bottom"/>
            <w:gridSpan w:val="29"/>
          </w:tcPr>
          <w:p>
            <w:pPr>
              <w:spacing w:after="0"/>
              <w:rPr>
                <w:rFonts w:ascii="Arial" w:cs="Arial" w:eastAsia="Arial" w:hAnsi="Arial"/>
                <w:sz w:val="18"/>
                <w:szCs w:val="18"/>
                <w:b w:val="1"/>
                <w:bCs w:val="1"/>
                <w:color w:val="345988"/>
              </w:rPr>
            </w:pPr>
            <w:hyperlink w:anchor="page63">
              <w:r>
                <w:rPr>
                  <w:rFonts w:ascii="Arial" w:cs="Arial" w:eastAsia="Arial" w:hAnsi="Arial"/>
                  <w:sz w:val="18"/>
                  <w:szCs w:val="18"/>
                  <w:b w:val="1"/>
                  <w:bCs w:val="1"/>
                  <w:color w:val="345988"/>
                </w:rPr>
                <w:t>STOCK OWNERSHIP INFORMATION</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61</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90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5580" w:type="dxa"/>
            <w:vAlign w:val="bottom"/>
            <w:tcBorders>
              <w:bottom w:val="single" w:sz="8" w:color="0000EE"/>
            </w:tcBorders>
            <w:gridSpan w:val="25"/>
          </w:tcPr>
          <w:p>
            <w:pPr>
              <w:spacing w:after="0"/>
              <w:rPr>
                <w:rFonts w:ascii="Arial" w:cs="Arial" w:eastAsia="Arial" w:hAnsi="Arial"/>
                <w:sz w:val="18"/>
                <w:szCs w:val="18"/>
                <w:b w:val="1"/>
                <w:bCs w:val="1"/>
                <w:color w:val="0000EE"/>
                <w:w w:val="97"/>
              </w:rPr>
            </w:pPr>
            <w:hyperlink w:anchor="page63">
              <w:r>
                <w:rPr>
                  <w:rFonts w:ascii="Arial" w:cs="Arial" w:eastAsia="Arial" w:hAnsi="Arial"/>
                  <w:sz w:val="18"/>
                  <w:szCs w:val="18"/>
                  <w:b w:val="1"/>
                  <w:bCs w:val="1"/>
                  <w:color w:val="0000EE"/>
                  <w:w w:val="97"/>
                </w:rPr>
                <w:t>Security Ownership of Certain Beneficial Owners and Management</w:t>
              </w:r>
            </w:hyperlink>
          </w:p>
        </w:tc>
        <w:tc>
          <w:tcPr>
            <w:tcW w:w="55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3">
              <w:r>
                <w:rPr>
                  <w:rFonts w:ascii="Arial" w:cs="Arial" w:eastAsia="Arial" w:hAnsi="Arial"/>
                  <w:sz w:val="18"/>
                  <w:szCs w:val="18"/>
                  <w:b w:val="1"/>
                  <w:bCs w:val="1"/>
                  <w:color w:val="0000EE"/>
                  <w:w w:val="89"/>
                </w:rPr>
                <w:t>61</w:t>
              </w:r>
            </w:hyperlink>
          </w:p>
        </w:tc>
      </w:tr>
      <w:tr>
        <w:trPr>
          <w:trHeight w:val="291"/>
        </w:trPr>
        <w:tc>
          <w:tcPr>
            <w:tcW w:w="4860" w:type="dxa"/>
            <w:vAlign w:val="bottom"/>
            <w:tcBorders>
              <w:bottom w:val="single" w:sz="8" w:color="0000EE"/>
            </w:tcBorders>
            <w:gridSpan w:val="21"/>
          </w:tcPr>
          <w:p>
            <w:pPr>
              <w:spacing w:after="0"/>
              <w:rPr>
                <w:rFonts w:ascii="Arial" w:cs="Arial" w:eastAsia="Arial" w:hAnsi="Arial"/>
                <w:sz w:val="18"/>
                <w:szCs w:val="18"/>
                <w:b w:val="1"/>
                <w:bCs w:val="1"/>
                <w:color w:val="0000EE"/>
                <w:w w:val="97"/>
              </w:rPr>
            </w:pPr>
            <w:hyperlink w:anchor="page65">
              <w:r>
                <w:rPr>
                  <w:rFonts w:ascii="Arial" w:cs="Arial" w:eastAsia="Arial" w:hAnsi="Arial"/>
                  <w:sz w:val="18"/>
                  <w:szCs w:val="18"/>
                  <w:b w:val="1"/>
                  <w:bCs w:val="1"/>
                  <w:color w:val="0000EE"/>
                  <w:w w:val="97"/>
                </w:rPr>
                <w:t>Section 16(a) Beneficial Ownership Reporting Compliance</w:t>
              </w:r>
            </w:hyperlink>
          </w:p>
        </w:tc>
        <w:tc>
          <w:tcPr>
            <w:tcW w:w="628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5">
              <w:r>
                <w:rPr>
                  <w:rFonts w:ascii="Arial" w:cs="Arial" w:eastAsia="Arial" w:hAnsi="Arial"/>
                  <w:sz w:val="18"/>
                  <w:szCs w:val="18"/>
                  <w:b w:val="1"/>
                  <w:bCs w:val="1"/>
                  <w:color w:val="0000EE"/>
                  <w:w w:val="89"/>
                </w:rPr>
                <w:t>63</w:t>
              </w:r>
            </w:hyperlink>
          </w:p>
        </w:tc>
      </w:tr>
      <w:tr>
        <w:trPr>
          <w:trHeight w:val="291"/>
        </w:trPr>
        <w:tc>
          <w:tcPr>
            <w:tcW w:w="11140" w:type="dxa"/>
            <w:vAlign w:val="bottom"/>
            <w:gridSpan w:val="29"/>
          </w:tcPr>
          <w:p>
            <w:pPr>
              <w:spacing w:after="0"/>
              <w:rPr>
                <w:rFonts w:ascii="Arial" w:cs="Arial" w:eastAsia="Arial" w:hAnsi="Arial"/>
                <w:sz w:val="18"/>
                <w:szCs w:val="18"/>
                <w:b w:val="1"/>
                <w:bCs w:val="1"/>
                <w:color w:val="345988"/>
              </w:rPr>
            </w:pPr>
            <w:hyperlink w:anchor="page66">
              <w:r>
                <w:rPr>
                  <w:rFonts w:ascii="Arial" w:cs="Arial" w:eastAsia="Arial" w:hAnsi="Arial"/>
                  <w:sz w:val="18"/>
                  <w:szCs w:val="18"/>
                  <w:b w:val="1"/>
                  <w:bCs w:val="1"/>
                  <w:color w:val="345988"/>
                </w:rPr>
                <w:t>CERTAIN RELATIONSHIPS AND RELATED PARTY TRANSACTIONS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64</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12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80" w:type="dxa"/>
            <w:vAlign w:val="bottom"/>
            <w:tcBorders>
              <w:top w:val="single" w:sz="8" w:color="345988"/>
              <w:bottom w:val="single" w:sz="8" w:color="8591A9"/>
            </w:tcBorders>
          </w:tcPr>
          <w:p>
            <w:pPr>
              <w:spacing w:after="0"/>
              <w:rPr>
                <w:sz w:val="5"/>
                <w:szCs w:val="5"/>
                <w:color w:val="auto"/>
              </w:rPr>
            </w:pPr>
          </w:p>
        </w:tc>
        <w:tc>
          <w:tcPr>
            <w:tcW w:w="26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900" w:type="dxa"/>
            <w:vAlign w:val="bottom"/>
            <w:tcBorders>
              <w:top w:val="single" w:sz="8" w:color="345988"/>
              <w:bottom w:val="single" w:sz="8" w:color="8591A9"/>
            </w:tcBorders>
          </w:tcPr>
          <w:p>
            <w:pPr>
              <w:spacing w:after="0"/>
              <w:rPr>
                <w:sz w:val="5"/>
                <w:szCs w:val="5"/>
                <w:color w:val="auto"/>
              </w:rPr>
            </w:pPr>
          </w:p>
        </w:tc>
        <w:tc>
          <w:tcPr>
            <w:tcW w:w="180" w:type="dxa"/>
            <w:vAlign w:val="bottom"/>
            <w:tcBorders>
              <w:top w:val="single" w:sz="8" w:color="345988"/>
              <w:bottom w:val="single" w:sz="8" w:color="8591A9"/>
            </w:tcBorders>
          </w:tcPr>
          <w:p>
            <w:pPr>
              <w:spacing w:after="0"/>
              <w:rPr>
                <w:sz w:val="5"/>
                <w:szCs w:val="5"/>
                <w:color w:val="auto"/>
              </w:rPr>
            </w:pPr>
          </w:p>
        </w:tc>
        <w:tc>
          <w:tcPr>
            <w:tcW w:w="44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100" w:type="dxa"/>
            <w:vAlign w:val="bottom"/>
            <w:tcBorders>
              <w:top w:val="single" w:sz="8" w:color="345988"/>
              <w:bottom w:val="single" w:sz="8" w:color="8591A9"/>
            </w:tcBorders>
          </w:tcPr>
          <w:p>
            <w:pPr>
              <w:spacing w:after="0"/>
              <w:rPr>
                <w:sz w:val="5"/>
                <w:szCs w:val="5"/>
                <w:color w:val="auto"/>
              </w:rPr>
            </w:pPr>
          </w:p>
        </w:tc>
        <w:tc>
          <w:tcPr>
            <w:tcW w:w="60" w:type="dxa"/>
            <w:vAlign w:val="bottom"/>
            <w:tcBorders>
              <w:top w:val="single" w:sz="8" w:color="345988"/>
              <w:bottom w:val="single" w:sz="8" w:color="8591A9"/>
            </w:tcBorders>
          </w:tcPr>
          <w:p>
            <w:pPr>
              <w:spacing w:after="0"/>
              <w:rPr>
                <w:sz w:val="5"/>
                <w:szCs w:val="5"/>
                <w:color w:val="auto"/>
              </w:rPr>
            </w:pPr>
          </w:p>
        </w:tc>
        <w:tc>
          <w:tcPr>
            <w:tcW w:w="220" w:type="dxa"/>
            <w:vAlign w:val="bottom"/>
            <w:tcBorders>
              <w:top w:val="single" w:sz="8" w:color="345988"/>
              <w:bottom w:val="single" w:sz="8" w:color="8591A9"/>
            </w:tcBorders>
          </w:tcPr>
          <w:p>
            <w:pPr>
              <w:spacing w:after="0"/>
              <w:rPr>
                <w:sz w:val="5"/>
                <w:szCs w:val="5"/>
                <w:color w:val="auto"/>
              </w:rPr>
            </w:pPr>
          </w:p>
        </w:tc>
        <w:tc>
          <w:tcPr>
            <w:tcW w:w="20" w:type="dxa"/>
            <w:vAlign w:val="bottom"/>
            <w:tcBorders>
              <w:top w:val="single" w:sz="8" w:color="345988"/>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11140" w:type="dxa"/>
            <w:vAlign w:val="bottom"/>
            <w:gridSpan w:val="29"/>
          </w:tcPr>
          <w:p>
            <w:pPr>
              <w:spacing w:after="0"/>
              <w:rPr>
                <w:rFonts w:ascii="Arial" w:cs="Arial" w:eastAsia="Arial" w:hAnsi="Arial"/>
                <w:sz w:val="18"/>
                <w:szCs w:val="18"/>
                <w:b w:val="1"/>
                <w:bCs w:val="1"/>
                <w:color w:val="345988"/>
              </w:rPr>
            </w:pPr>
            <w:hyperlink w:anchor="page68">
              <w:r>
                <w:rPr>
                  <w:rFonts w:ascii="Arial" w:cs="Arial" w:eastAsia="Arial" w:hAnsi="Arial"/>
                  <w:sz w:val="18"/>
                  <w:szCs w:val="18"/>
                  <w:b w:val="1"/>
                  <w:bCs w:val="1"/>
                  <w:color w:val="345988"/>
                </w:rPr>
                <w:t>OTHER INFORMATION</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66</w:t>
              </w:r>
            </w:hyperlink>
          </w:p>
        </w:tc>
      </w:tr>
      <w:tr>
        <w:trPr>
          <w:trHeight w:val="61"/>
        </w:trPr>
        <w:tc>
          <w:tcPr>
            <w:tcW w:w="1140" w:type="dxa"/>
            <w:vAlign w:val="bottom"/>
            <w:tcBorders>
              <w:top w:val="single" w:sz="8" w:color="345988"/>
              <w:bottom w:val="single" w:sz="8" w:color="8591A9"/>
            </w:tcBorders>
          </w:tcPr>
          <w:p>
            <w:pPr>
              <w:spacing w:after="0"/>
              <w:rPr>
                <w:sz w:val="5"/>
                <w:szCs w:val="5"/>
                <w:color w:val="auto"/>
              </w:rPr>
            </w:pPr>
          </w:p>
        </w:tc>
        <w:tc>
          <w:tcPr>
            <w:tcW w:w="140" w:type="dxa"/>
            <w:vAlign w:val="bottom"/>
            <w:tcBorders>
              <w:top w:val="single" w:sz="8" w:color="345988"/>
              <w:bottom w:val="single" w:sz="8" w:color="8591A9"/>
            </w:tcBorders>
          </w:tcPr>
          <w:p>
            <w:pPr>
              <w:spacing w:after="0"/>
              <w:rPr>
                <w:sz w:val="5"/>
                <w:szCs w:val="5"/>
                <w:color w:val="auto"/>
              </w:rPr>
            </w:pPr>
          </w:p>
        </w:tc>
        <w:tc>
          <w:tcPr>
            <w:tcW w:w="280" w:type="dxa"/>
            <w:vAlign w:val="bottom"/>
            <w:tcBorders>
              <w:top w:val="single" w:sz="8" w:color="345988"/>
              <w:bottom w:val="single" w:sz="8" w:color="8591A9"/>
            </w:tcBorders>
          </w:tcPr>
          <w:p>
            <w:pPr>
              <w:spacing w:after="0"/>
              <w:rPr>
                <w:sz w:val="5"/>
                <w:szCs w:val="5"/>
                <w:color w:val="auto"/>
              </w:rPr>
            </w:pPr>
          </w:p>
        </w:tc>
        <w:tc>
          <w:tcPr>
            <w:tcW w:w="340" w:type="dxa"/>
            <w:vAlign w:val="bottom"/>
            <w:tcBorders>
              <w:top w:val="single" w:sz="8" w:color="345988"/>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2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26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900" w:type="dxa"/>
            <w:vAlign w:val="bottom"/>
            <w:tcBorders>
              <w:bottom w:val="single" w:sz="8" w:color="8591A9"/>
            </w:tcBorders>
          </w:tcPr>
          <w:p>
            <w:pPr>
              <w:spacing w:after="0"/>
              <w:rPr>
                <w:sz w:val="5"/>
                <w:szCs w:val="5"/>
                <w:color w:val="auto"/>
              </w:rPr>
            </w:pPr>
          </w:p>
        </w:tc>
        <w:tc>
          <w:tcPr>
            <w:tcW w:w="180" w:type="dxa"/>
            <w:vAlign w:val="bottom"/>
            <w:tcBorders>
              <w:bottom w:val="single" w:sz="8" w:color="8591A9"/>
            </w:tcBorders>
          </w:tcPr>
          <w:p>
            <w:pPr>
              <w:spacing w:after="0"/>
              <w:rPr>
                <w:sz w:val="5"/>
                <w:szCs w:val="5"/>
                <w:color w:val="auto"/>
              </w:rPr>
            </w:pPr>
          </w:p>
        </w:tc>
        <w:tc>
          <w:tcPr>
            <w:tcW w:w="440" w:type="dxa"/>
            <w:vAlign w:val="bottom"/>
            <w:tcBorders>
              <w:bottom w:val="single" w:sz="8" w:color="8591A9"/>
            </w:tcBorders>
          </w:tcPr>
          <w:p>
            <w:pPr>
              <w:spacing w:after="0"/>
              <w:rPr>
                <w:sz w:val="5"/>
                <w:szCs w:val="5"/>
                <w:color w:val="auto"/>
              </w:rPr>
            </w:pPr>
          </w:p>
        </w:tc>
        <w:tc>
          <w:tcPr>
            <w:tcW w:w="340" w:type="dxa"/>
            <w:vAlign w:val="bottom"/>
            <w:tcBorders>
              <w:bottom w:val="single" w:sz="8" w:color="8591A9"/>
            </w:tcBorders>
          </w:tcPr>
          <w:p>
            <w:pPr>
              <w:spacing w:after="0"/>
              <w:rPr>
                <w:sz w:val="5"/>
                <w:szCs w:val="5"/>
                <w:color w:val="auto"/>
              </w:rPr>
            </w:pPr>
          </w:p>
        </w:tc>
        <w:tc>
          <w:tcPr>
            <w:tcW w:w="100" w:type="dxa"/>
            <w:vAlign w:val="bottom"/>
            <w:tcBorders>
              <w:bottom w:val="single" w:sz="8" w:color="8591A9"/>
            </w:tcBorders>
          </w:tcPr>
          <w:p>
            <w:pPr>
              <w:spacing w:after="0"/>
              <w:rPr>
                <w:sz w:val="5"/>
                <w:szCs w:val="5"/>
                <w:color w:val="auto"/>
              </w:rPr>
            </w:pPr>
          </w:p>
        </w:tc>
        <w:tc>
          <w:tcPr>
            <w:tcW w:w="60" w:type="dxa"/>
            <w:vAlign w:val="bottom"/>
            <w:tcBorders>
              <w:bottom w:val="single" w:sz="8" w:color="8591A9"/>
            </w:tcBorders>
          </w:tcPr>
          <w:p>
            <w:pPr>
              <w:spacing w:after="0"/>
              <w:rPr>
                <w:sz w:val="5"/>
                <w:szCs w:val="5"/>
                <w:color w:val="auto"/>
              </w:rPr>
            </w:pPr>
          </w:p>
        </w:tc>
        <w:tc>
          <w:tcPr>
            <w:tcW w:w="220" w:type="dxa"/>
            <w:vAlign w:val="bottom"/>
            <w:tcBorders>
              <w:bottom w:val="single" w:sz="8" w:color="8591A9"/>
            </w:tcBorders>
          </w:tcPr>
          <w:p>
            <w:pPr>
              <w:spacing w:after="0"/>
              <w:rPr>
                <w:sz w:val="5"/>
                <w:szCs w:val="5"/>
                <w:color w:val="auto"/>
              </w:rPr>
            </w:pPr>
          </w:p>
        </w:tc>
        <w:tc>
          <w:tcPr>
            <w:tcW w:w="20" w:type="dxa"/>
            <w:vAlign w:val="bottom"/>
            <w:tcBorders>
              <w:bottom w:val="single" w:sz="8" w:color="8591A9"/>
            </w:tcBorders>
          </w:tcPr>
          <w:p>
            <w:pPr>
              <w:spacing w:after="0"/>
              <w:rPr>
                <w:sz w:val="5"/>
                <w:szCs w:val="5"/>
                <w:color w:val="auto"/>
              </w:rPr>
            </w:pPr>
          </w:p>
        </w:tc>
        <w:tc>
          <w:tcPr>
            <w:tcW w:w="1180" w:type="dxa"/>
            <w:vAlign w:val="bottom"/>
            <w:tcBorders>
              <w:bottom w:val="single" w:sz="8" w:color="8591A9"/>
            </w:tcBorders>
          </w:tcPr>
          <w:p>
            <w:pPr>
              <w:spacing w:after="0"/>
              <w:rPr>
                <w:sz w:val="5"/>
                <w:szCs w:val="5"/>
                <w:color w:val="auto"/>
              </w:rPr>
            </w:pPr>
          </w:p>
        </w:tc>
        <w:tc>
          <w:tcPr>
            <w:tcW w:w="820" w:type="dxa"/>
            <w:vAlign w:val="bottom"/>
            <w:tcBorders>
              <w:bottom w:val="single" w:sz="8" w:color="8591A9"/>
            </w:tcBorders>
          </w:tcPr>
          <w:p>
            <w:pPr>
              <w:spacing w:after="0"/>
              <w:rPr>
                <w:sz w:val="5"/>
                <w:szCs w:val="5"/>
                <w:color w:val="auto"/>
              </w:rPr>
            </w:pPr>
          </w:p>
        </w:tc>
        <w:tc>
          <w:tcPr>
            <w:tcW w:w="3540" w:type="dxa"/>
            <w:vAlign w:val="bottom"/>
            <w:tcBorders>
              <w:bottom w:val="single" w:sz="8" w:color="8591A9"/>
            </w:tcBorders>
          </w:tcPr>
          <w:p>
            <w:pPr>
              <w:spacing w:after="0"/>
              <w:rPr>
                <w:sz w:val="5"/>
                <w:szCs w:val="5"/>
                <w:color w:val="auto"/>
              </w:rPr>
            </w:pPr>
          </w:p>
        </w:tc>
        <w:tc>
          <w:tcPr>
            <w:tcW w:w="80" w:type="dxa"/>
            <w:vAlign w:val="bottom"/>
            <w:tcBorders>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c>
          <w:tcPr>
            <w:tcW w:w="100" w:type="dxa"/>
            <w:vAlign w:val="bottom"/>
            <w:tcBorders>
              <w:top w:val="single" w:sz="8" w:color="0000EE"/>
              <w:bottom w:val="single" w:sz="8" w:color="8591A9"/>
            </w:tcBorders>
          </w:tcPr>
          <w:p>
            <w:pPr>
              <w:spacing w:after="0"/>
              <w:rPr>
                <w:sz w:val="5"/>
                <w:szCs w:val="5"/>
                <w:color w:val="auto"/>
              </w:rPr>
            </w:pPr>
          </w:p>
        </w:tc>
      </w:tr>
      <w:tr>
        <w:trPr>
          <w:trHeight w:val="223"/>
        </w:trPr>
        <w:tc>
          <w:tcPr>
            <w:tcW w:w="4240" w:type="dxa"/>
            <w:vAlign w:val="bottom"/>
            <w:tcBorders>
              <w:bottom w:val="single" w:sz="8" w:color="0000EE"/>
            </w:tcBorders>
            <w:gridSpan w:val="19"/>
          </w:tcPr>
          <w:p>
            <w:pPr>
              <w:spacing w:after="0"/>
              <w:rPr>
                <w:rFonts w:ascii="Arial" w:cs="Arial" w:eastAsia="Arial" w:hAnsi="Arial"/>
                <w:sz w:val="18"/>
                <w:szCs w:val="18"/>
                <w:b w:val="1"/>
                <w:bCs w:val="1"/>
                <w:color w:val="0000EE"/>
                <w:w w:val="97"/>
              </w:rPr>
            </w:pPr>
            <w:hyperlink w:anchor="page68">
              <w:r>
                <w:rPr>
                  <w:rFonts w:ascii="Arial" w:cs="Arial" w:eastAsia="Arial" w:hAnsi="Arial"/>
                  <w:sz w:val="18"/>
                  <w:szCs w:val="18"/>
                  <w:b w:val="1"/>
                  <w:bCs w:val="1"/>
                  <w:color w:val="0000EE"/>
                  <w:w w:val="97"/>
                </w:rPr>
                <w:t>Questions and Answers About the Annual Meeting</w:t>
              </w:r>
            </w:hyperlink>
          </w:p>
        </w:tc>
        <w:tc>
          <w:tcPr>
            <w:tcW w:w="6900" w:type="dxa"/>
            <w:vAlign w:val="bottom"/>
            <w:gridSpan w:val="1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68">
              <w:r>
                <w:rPr>
                  <w:rFonts w:ascii="Arial" w:cs="Arial" w:eastAsia="Arial" w:hAnsi="Arial"/>
                  <w:sz w:val="18"/>
                  <w:szCs w:val="18"/>
                  <w:b w:val="1"/>
                  <w:bCs w:val="1"/>
                  <w:color w:val="0000EE"/>
                  <w:w w:val="89"/>
                </w:rPr>
                <w:t>66</w:t>
              </w:r>
            </w:hyperlink>
          </w:p>
        </w:tc>
      </w:tr>
      <w:tr>
        <w:trPr>
          <w:trHeight w:val="291"/>
        </w:trPr>
        <w:tc>
          <w:tcPr>
            <w:tcW w:w="11140" w:type="dxa"/>
            <w:vAlign w:val="bottom"/>
            <w:gridSpan w:val="29"/>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Matters</w:t>
              </w:r>
            </w:hyperlink>
          </w:p>
        </w:tc>
        <w:tc>
          <w:tcPr>
            <w:tcW w:w="280" w:type="dxa"/>
            <w:vAlign w:val="bottom"/>
            <w:gridSpan w:val="3"/>
          </w:tcPr>
          <w:p>
            <w:pPr>
              <w:jc w:val="right"/>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68</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4160" w:type="dxa"/>
            <w:vAlign w:val="bottom"/>
            <w:gridSpan w:val="22"/>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29"/>
        </w:trPr>
        <w:tc>
          <w:tcPr>
            <w:tcW w:w="11140" w:type="dxa"/>
            <w:vAlign w:val="bottom"/>
            <w:gridSpan w:val="29"/>
          </w:tcPr>
          <w:p>
            <w:pPr>
              <w:spacing w:after="0"/>
              <w:rPr>
                <w:sz w:val="20"/>
                <w:szCs w:val="20"/>
                <w:color w:val="auto"/>
              </w:rPr>
            </w:pPr>
            <w:r>
              <w:rPr>
                <w:rFonts w:ascii="Arial" w:cs="Arial" w:eastAsia="Arial" w:hAnsi="Arial"/>
                <w:sz w:val="18"/>
                <w:szCs w:val="18"/>
                <w:b w:val="1"/>
                <w:bCs w:val="1"/>
                <w:color w:val="345988"/>
              </w:rPr>
              <w:t>APPENDICES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1140" w:type="dxa"/>
            <w:vAlign w:val="bottom"/>
            <w:tcBorders>
              <w:bottom w:val="single" w:sz="8" w:color="8591A9"/>
            </w:tcBorders>
          </w:tcPr>
          <w:p>
            <w:pPr>
              <w:spacing w:after="0"/>
              <w:rPr>
                <w:sz w:val="3"/>
                <w:szCs w:val="3"/>
                <w:color w:val="auto"/>
              </w:rPr>
            </w:pPr>
          </w:p>
        </w:tc>
        <w:tc>
          <w:tcPr>
            <w:tcW w:w="140" w:type="dxa"/>
            <w:vAlign w:val="bottom"/>
            <w:tcBorders>
              <w:bottom w:val="single" w:sz="8" w:color="8591A9"/>
            </w:tcBorders>
          </w:tcPr>
          <w:p>
            <w:pPr>
              <w:spacing w:after="0"/>
              <w:rPr>
                <w:sz w:val="3"/>
                <w:szCs w:val="3"/>
                <w:color w:val="auto"/>
              </w:rPr>
            </w:pPr>
          </w:p>
        </w:tc>
        <w:tc>
          <w:tcPr>
            <w:tcW w:w="280" w:type="dxa"/>
            <w:vAlign w:val="bottom"/>
            <w:tcBorders>
              <w:bottom w:val="single" w:sz="8" w:color="8591A9"/>
            </w:tcBorders>
          </w:tcPr>
          <w:p>
            <w:pPr>
              <w:spacing w:after="0"/>
              <w:rPr>
                <w:sz w:val="3"/>
                <w:szCs w:val="3"/>
                <w:color w:val="auto"/>
              </w:rPr>
            </w:pPr>
          </w:p>
        </w:tc>
        <w:tc>
          <w:tcPr>
            <w:tcW w:w="340" w:type="dxa"/>
            <w:vAlign w:val="bottom"/>
            <w:tcBorders>
              <w:bottom w:val="single" w:sz="8" w:color="8591A9"/>
            </w:tcBorders>
          </w:tcPr>
          <w:p>
            <w:pPr>
              <w:spacing w:after="0"/>
              <w:rPr>
                <w:sz w:val="3"/>
                <w:szCs w:val="3"/>
                <w:color w:val="auto"/>
              </w:rPr>
            </w:pPr>
          </w:p>
        </w:tc>
        <w:tc>
          <w:tcPr>
            <w:tcW w:w="20" w:type="dxa"/>
            <w:vAlign w:val="bottom"/>
            <w:tcBorders>
              <w:bottom w:val="single" w:sz="8" w:color="8591A9"/>
            </w:tcBorders>
          </w:tcPr>
          <w:p>
            <w:pPr>
              <w:spacing w:after="0"/>
              <w:rPr>
                <w:sz w:val="3"/>
                <w:szCs w:val="3"/>
                <w:color w:val="auto"/>
              </w:rPr>
            </w:pPr>
          </w:p>
        </w:tc>
        <w:tc>
          <w:tcPr>
            <w:tcW w:w="20" w:type="dxa"/>
            <w:vAlign w:val="bottom"/>
            <w:tcBorders>
              <w:bottom w:val="single" w:sz="8" w:color="8591A9"/>
            </w:tcBorders>
          </w:tcPr>
          <w:p>
            <w:pPr>
              <w:spacing w:after="0"/>
              <w:rPr>
                <w:sz w:val="3"/>
                <w:szCs w:val="3"/>
                <w:color w:val="auto"/>
              </w:rPr>
            </w:pPr>
          </w:p>
        </w:tc>
        <w:tc>
          <w:tcPr>
            <w:tcW w:w="80" w:type="dxa"/>
            <w:vAlign w:val="bottom"/>
            <w:tcBorders>
              <w:bottom w:val="single" w:sz="8" w:color="8591A9"/>
            </w:tcBorders>
          </w:tcPr>
          <w:p>
            <w:pPr>
              <w:spacing w:after="0"/>
              <w:rPr>
                <w:sz w:val="3"/>
                <w:szCs w:val="3"/>
                <w:color w:val="auto"/>
              </w:rPr>
            </w:pPr>
          </w:p>
        </w:tc>
        <w:tc>
          <w:tcPr>
            <w:tcW w:w="120" w:type="dxa"/>
            <w:vAlign w:val="bottom"/>
            <w:tcBorders>
              <w:bottom w:val="single" w:sz="8" w:color="8591A9"/>
            </w:tcBorders>
          </w:tcPr>
          <w:p>
            <w:pPr>
              <w:spacing w:after="0"/>
              <w:rPr>
                <w:sz w:val="3"/>
                <w:szCs w:val="3"/>
                <w:color w:val="auto"/>
              </w:rPr>
            </w:pPr>
          </w:p>
        </w:tc>
        <w:tc>
          <w:tcPr>
            <w:tcW w:w="340" w:type="dxa"/>
            <w:vAlign w:val="bottom"/>
            <w:tcBorders>
              <w:bottom w:val="single" w:sz="8" w:color="8591A9"/>
            </w:tcBorders>
          </w:tcPr>
          <w:p>
            <w:pPr>
              <w:spacing w:after="0"/>
              <w:rPr>
                <w:sz w:val="3"/>
                <w:szCs w:val="3"/>
                <w:color w:val="auto"/>
              </w:rPr>
            </w:pPr>
          </w:p>
        </w:tc>
        <w:tc>
          <w:tcPr>
            <w:tcW w:w="60" w:type="dxa"/>
            <w:vAlign w:val="bottom"/>
            <w:tcBorders>
              <w:bottom w:val="single" w:sz="8" w:color="8591A9"/>
            </w:tcBorders>
          </w:tcPr>
          <w:p>
            <w:pPr>
              <w:spacing w:after="0"/>
              <w:rPr>
                <w:sz w:val="3"/>
                <w:szCs w:val="3"/>
                <w:color w:val="auto"/>
              </w:rPr>
            </w:pPr>
          </w:p>
        </w:tc>
        <w:tc>
          <w:tcPr>
            <w:tcW w:w="180" w:type="dxa"/>
            <w:vAlign w:val="bottom"/>
            <w:tcBorders>
              <w:bottom w:val="single" w:sz="8" w:color="8591A9"/>
            </w:tcBorders>
          </w:tcPr>
          <w:p>
            <w:pPr>
              <w:spacing w:after="0"/>
              <w:rPr>
                <w:sz w:val="3"/>
                <w:szCs w:val="3"/>
                <w:color w:val="auto"/>
              </w:rPr>
            </w:pPr>
          </w:p>
        </w:tc>
        <w:tc>
          <w:tcPr>
            <w:tcW w:w="80" w:type="dxa"/>
            <w:vAlign w:val="bottom"/>
            <w:tcBorders>
              <w:bottom w:val="single" w:sz="8" w:color="8591A9"/>
            </w:tcBorders>
          </w:tcPr>
          <w:p>
            <w:pPr>
              <w:spacing w:after="0"/>
              <w:rPr>
                <w:sz w:val="3"/>
                <w:szCs w:val="3"/>
                <w:color w:val="auto"/>
              </w:rPr>
            </w:pPr>
          </w:p>
        </w:tc>
        <w:tc>
          <w:tcPr>
            <w:tcW w:w="20" w:type="dxa"/>
            <w:vAlign w:val="bottom"/>
            <w:tcBorders>
              <w:bottom w:val="single" w:sz="8" w:color="8591A9"/>
            </w:tcBorders>
          </w:tcPr>
          <w:p>
            <w:pPr>
              <w:spacing w:after="0"/>
              <w:rPr>
                <w:sz w:val="3"/>
                <w:szCs w:val="3"/>
                <w:color w:val="auto"/>
              </w:rPr>
            </w:pPr>
          </w:p>
        </w:tc>
        <w:tc>
          <w:tcPr>
            <w:tcW w:w="60" w:type="dxa"/>
            <w:vAlign w:val="bottom"/>
            <w:tcBorders>
              <w:bottom w:val="single" w:sz="8" w:color="8591A9"/>
            </w:tcBorders>
          </w:tcPr>
          <w:p>
            <w:pPr>
              <w:spacing w:after="0"/>
              <w:rPr>
                <w:sz w:val="3"/>
                <w:szCs w:val="3"/>
                <w:color w:val="auto"/>
              </w:rPr>
            </w:pPr>
          </w:p>
        </w:tc>
        <w:tc>
          <w:tcPr>
            <w:tcW w:w="60" w:type="dxa"/>
            <w:vAlign w:val="bottom"/>
            <w:tcBorders>
              <w:bottom w:val="single" w:sz="8" w:color="8591A9"/>
            </w:tcBorders>
          </w:tcPr>
          <w:p>
            <w:pPr>
              <w:spacing w:after="0"/>
              <w:rPr>
                <w:sz w:val="3"/>
                <w:szCs w:val="3"/>
                <w:color w:val="auto"/>
              </w:rPr>
            </w:pPr>
          </w:p>
        </w:tc>
        <w:tc>
          <w:tcPr>
            <w:tcW w:w="80" w:type="dxa"/>
            <w:vAlign w:val="bottom"/>
            <w:tcBorders>
              <w:bottom w:val="single" w:sz="8" w:color="8591A9"/>
            </w:tcBorders>
          </w:tcPr>
          <w:p>
            <w:pPr>
              <w:spacing w:after="0"/>
              <w:rPr>
                <w:sz w:val="3"/>
                <w:szCs w:val="3"/>
                <w:color w:val="auto"/>
              </w:rPr>
            </w:pPr>
          </w:p>
        </w:tc>
        <w:tc>
          <w:tcPr>
            <w:tcW w:w="260" w:type="dxa"/>
            <w:vAlign w:val="bottom"/>
            <w:tcBorders>
              <w:bottom w:val="single" w:sz="8" w:color="8591A9"/>
            </w:tcBorders>
          </w:tcPr>
          <w:p>
            <w:pPr>
              <w:spacing w:after="0"/>
              <w:rPr>
                <w:sz w:val="3"/>
                <w:szCs w:val="3"/>
                <w:color w:val="auto"/>
              </w:rPr>
            </w:pPr>
          </w:p>
        </w:tc>
        <w:tc>
          <w:tcPr>
            <w:tcW w:w="60" w:type="dxa"/>
            <w:vAlign w:val="bottom"/>
            <w:tcBorders>
              <w:bottom w:val="single" w:sz="8" w:color="8591A9"/>
            </w:tcBorders>
          </w:tcPr>
          <w:p>
            <w:pPr>
              <w:spacing w:after="0"/>
              <w:rPr>
                <w:sz w:val="3"/>
                <w:szCs w:val="3"/>
                <w:color w:val="auto"/>
              </w:rPr>
            </w:pPr>
          </w:p>
        </w:tc>
        <w:tc>
          <w:tcPr>
            <w:tcW w:w="900" w:type="dxa"/>
            <w:vAlign w:val="bottom"/>
            <w:tcBorders>
              <w:bottom w:val="single" w:sz="8" w:color="8591A9"/>
            </w:tcBorders>
          </w:tcPr>
          <w:p>
            <w:pPr>
              <w:spacing w:after="0"/>
              <w:rPr>
                <w:sz w:val="3"/>
                <w:szCs w:val="3"/>
                <w:color w:val="auto"/>
              </w:rPr>
            </w:pPr>
          </w:p>
        </w:tc>
        <w:tc>
          <w:tcPr>
            <w:tcW w:w="180" w:type="dxa"/>
            <w:vAlign w:val="bottom"/>
            <w:tcBorders>
              <w:bottom w:val="single" w:sz="8" w:color="8591A9"/>
            </w:tcBorders>
          </w:tcPr>
          <w:p>
            <w:pPr>
              <w:spacing w:after="0"/>
              <w:rPr>
                <w:sz w:val="3"/>
                <w:szCs w:val="3"/>
                <w:color w:val="auto"/>
              </w:rPr>
            </w:pPr>
          </w:p>
        </w:tc>
        <w:tc>
          <w:tcPr>
            <w:tcW w:w="440" w:type="dxa"/>
            <w:vAlign w:val="bottom"/>
            <w:tcBorders>
              <w:bottom w:val="single" w:sz="8" w:color="8591A9"/>
            </w:tcBorders>
          </w:tcPr>
          <w:p>
            <w:pPr>
              <w:spacing w:after="0"/>
              <w:rPr>
                <w:sz w:val="3"/>
                <w:szCs w:val="3"/>
                <w:color w:val="auto"/>
              </w:rPr>
            </w:pPr>
          </w:p>
        </w:tc>
        <w:tc>
          <w:tcPr>
            <w:tcW w:w="340" w:type="dxa"/>
            <w:vAlign w:val="bottom"/>
            <w:tcBorders>
              <w:bottom w:val="single" w:sz="8" w:color="8591A9"/>
            </w:tcBorders>
          </w:tcPr>
          <w:p>
            <w:pPr>
              <w:spacing w:after="0"/>
              <w:rPr>
                <w:sz w:val="3"/>
                <w:szCs w:val="3"/>
                <w:color w:val="auto"/>
              </w:rPr>
            </w:pPr>
          </w:p>
        </w:tc>
        <w:tc>
          <w:tcPr>
            <w:tcW w:w="100" w:type="dxa"/>
            <w:vAlign w:val="bottom"/>
            <w:tcBorders>
              <w:bottom w:val="single" w:sz="8" w:color="8591A9"/>
            </w:tcBorders>
          </w:tcPr>
          <w:p>
            <w:pPr>
              <w:spacing w:after="0"/>
              <w:rPr>
                <w:sz w:val="3"/>
                <w:szCs w:val="3"/>
                <w:color w:val="auto"/>
              </w:rPr>
            </w:pPr>
          </w:p>
        </w:tc>
        <w:tc>
          <w:tcPr>
            <w:tcW w:w="60" w:type="dxa"/>
            <w:vAlign w:val="bottom"/>
            <w:tcBorders>
              <w:bottom w:val="single" w:sz="8" w:color="8591A9"/>
            </w:tcBorders>
          </w:tcPr>
          <w:p>
            <w:pPr>
              <w:spacing w:after="0"/>
              <w:rPr>
                <w:sz w:val="3"/>
                <w:szCs w:val="3"/>
                <w:color w:val="auto"/>
              </w:rPr>
            </w:pPr>
          </w:p>
        </w:tc>
        <w:tc>
          <w:tcPr>
            <w:tcW w:w="220" w:type="dxa"/>
            <w:vAlign w:val="bottom"/>
            <w:tcBorders>
              <w:bottom w:val="single" w:sz="8" w:color="8591A9"/>
            </w:tcBorders>
          </w:tcPr>
          <w:p>
            <w:pPr>
              <w:spacing w:after="0"/>
              <w:rPr>
                <w:sz w:val="3"/>
                <w:szCs w:val="3"/>
                <w:color w:val="auto"/>
              </w:rPr>
            </w:pPr>
          </w:p>
        </w:tc>
        <w:tc>
          <w:tcPr>
            <w:tcW w:w="20" w:type="dxa"/>
            <w:vAlign w:val="bottom"/>
            <w:tcBorders>
              <w:bottom w:val="single" w:sz="8" w:color="8591A9"/>
            </w:tcBorders>
          </w:tcPr>
          <w:p>
            <w:pPr>
              <w:spacing w:after="0"/>
              <w:rPr>
                <w:sz w:val="3"/>
                <w:szCs w:val="3"/>
                <w:color w:val="auto"/>
              </w:rPr>
            </w:pPr>
          </w:p>
        </w:tc>
        <w:tc>
          <w:tcPr>
            <w:tcW w:w="1180" w:type="dxa"/>
            <w:vAlign w:val="bottom"/>
            <w:tcBorders>
              <w:bottom w:val="single" w:sz="8" w:color="8591A9"/>
            </w:tcBorders>
          </w:tcPr>
          <w:p>
            <w:pPr>
              <w:spacing w:after="0"/>
              <w:rPr>
                <w:sz w:val="3"/>
                <w:szCs w:val="3"/>
                <w:color w:val="auto"/>
              </w:rPr>
            </w:pPr>
          </w:p>
        </w:tc>
        <w:tc>
          <w:tcPr>
            <w:tcW w:w="820" w:type="dxa"/>
            <w:vAlign w:val="bottom"/>
            <w:tcBorders>
              <w:bottom w:val="single" w:sz="8" w:color="8591A9"/>
            </w:tcBorders>
          </w:tcPr>
          <w:p>
            <w:pPr>
              <w:spacing w:after="0"/>
              <w:rPr>
                <w:sz w:val="3"/>
                <w:szCs w:val="3"/>
                <w:color w:val="auto"/>
              </w:rPr>
            </w:pPr>
          </w:p>
        </w:tc>
        <w:tc>
          <w:tcPr>
            <w:tcW w:w="3540" w:type="dxa"/>
            <w:vAlign w:val="bottom"/>
            <w:tcBorders>
              <w:bottom w:val="single" w:sz="8" w:color="8591A9"/>
            </w:tcBorders>
          </w:tcPr>
          <w:p>
            <w:pPr>
              <w:spacing w:after="0"/>
              <w:rPr>
                <w:sz w:val="3"/>
                <w:szCs w:val="3"/>
                <w:color w:val="auto"/>
              </w:rPr>
            </w:pPr>
          </w:p>
        </w:tc>
        <w:tc>
          <w:tcPr>
            <w:tcW w:w="80" w:type="dxa"/>
            <w:vAlign w:val="bottom"/>
            <w:tcBorders>
              <w:bottom w:val="single" w:sz="8" w:color="8591A9"/>
            </w:tcBorders>
          </w:tcPr>
          <w:p>
            <w:pPr>
              <w:spacing w:after="0"/>
              <w:rPr>
                <w:sz w:val="3"/>
                <w:szCs w:val="3"/>
                <w:color w:val="auto"/>
              </w:rPr>
            </w:pPr>
          </w:p>
        </w:tc>
        <w:tc>
          <w:tcPr>
            <w:tcW w:w="100" w:type="dxa"/>
            <w:vAlign w:val="bottom"/>
            <w:tcBorders>
              <w:bottom w:val="single" w:sz="8" w:color="8591A9"/>
            </w:tcBorders>
          </w:tcPr>
          <w:p>
            <w:pPr>
              <w:spacing w:after="0"/>
              <w:rPr>
                <w:sz w:val="3"/>
                <w:szCs w:val="3"/>
                <w:color w:val="auto"/>
              </w:rPr>
            </w:pPr>
          </w:p>
        </w:tc>
        <w:tc>
          <w:tcPr>
            <w:tcW w:w="100" w:type="dxa"/>
            <w:vAlign w:val="bottom"/>
            <w:tcBorders>
              <w:bottom w:val="single" w:sz="8" w:color="8591A9"/>
            </w:tcBorders>
          </w:tcPr>
          <w:p>
            <w:pPr>
              <w:spacing w:after="0"/>
              <w:rPr>
                <w:sz w:val="3"/>
                <w:szCs w:val="3"/>
                <w:color w:val="auto"/>
              </w:rPr>
            </w:pPr>
          </w:p>
        </w:tc>
      </w:tr>
      <w:tr>
        <w:trPr>
          <w:trHeight w:val="223"/>
        </w:trPr>
        <w:tc>
          <w:tcPr>
            <w:tcW w:w="5300" w:type="dxa"/>
            <w:vAlign w:val="bottom"/>
            <w:tcBorders>
              <w:bottom w:val="single" w:sz="8" w:color="0000EE"/>
            </w:tcBorders>
            <w:gridSpan w:val="23"/>
          </w:tcPr>
          <w:p>
            <w:pPr>
              <w:spacing w:after="0"/>
              <w:rPr>
                <w:rFonts w:ascii="Arial" w:cs="Arial" w:eastAsia="Arial" w:hAnsi="Arial"/>
                <w:sz w:val="18"/>
                <w:szCs w:val="18"/>
                <w:b w:val="1"/>
                <w:bCs w:val="1"/>
                <w:color w:val="0000EE"/>
                <w:w w:val="97"/>
              </w:rPr>
            </w:pPr>
            <w:hyperlink w:anchor="page72">
              <w:r>
                <w:rPr>
                  <w:rFonts w:ascii="Arial" w:cs="Arial" w:eastAsia="Arial" w:hAnsi="Arial"/>
                  <w:sz w:val="18"/>
                  <w:szCs w:val="18"/>
                  <w:b w:val="1"/>
                  <w:bCs w:val="1"/>
                  <w:color w:val="0000EE"/>
                  <w:w w:val="97"/>
                </w:rPr>
                <w:t>Appendix A: Information Regarding Certain Financial Measures</w:t>
              </w:r>
            </w:hyperlink>
          </w:p>
        </w:tc>
        <w:tc>
          <w:tcPr>
            <w:tcW w:w="5840" w:type="dxa"/>
            <w:vAlign w:val="bottom"/>
            <w:gridSpan w:val="6"/>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9"/>
              </w:rPr>
            </w:pPr>
            <w:hyperlink w:anchor="page72">
              <w:r>
                <w:rPr>
                  <w:rFonts w:ascii="Arial" w:cs="Arial" w:eastAsia="Arial" w:hAnsi="Arial"/>
                  <w:sz w:val="18"/>
                  <w:szCs w:val="18"/>
                  <w:b w:val="1"/>
                  <w:bCs w:val="1"/>
                  <w:color w:val="0000EE"/>
                  <w:w w:val="89"/>
                </w:rPr>
                <w:t>A-1</w:t>
              </w:r>
            </w:hyperlink>
          </w:p>
        </w:tc>
      </w:tr>
    </w:tbl>
    <w:p>
      <w:pPr>
        <w:spacing w:after="0" w:line="28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References in this proxy statement to “we,” “us,” “our,” “ours,” and the “Company” refer to SL Green Realty Corp., unless the context otherwise requires. This proxy statement and a form of proxy have been made available to our stockholders on the Internet and will be mailed to stockholders on or about April 25, 2019.</w:t>
      </w:r>
    </w:p>
    <w:p>
      <w:pPr>
        <w:spacing w:after="0" w:line="20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OUR BOARD OF DIRECTORS AND</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001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01645"/>
                    </a:xfrm>
                    <a:prstGeom prst="rect">
                      <a:avLst/>
                    </a:prstGeom>
                    <a:noFill/>
                  </pic:spPr>
                </pic:pic>
              </a:graphicData>
            </a:graphic>
          </wp:anchor>
        </w:drawing>
      </w:r>
    </w:p>
    <w:p>
      <w:pPr>
        <w:spacing w:after="0" w:line="28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1: Election of Directors</w:t>
      </w:r>
    </w:p>
    <w:p>
      <w:pPr>
        <w:spacing w:after="0" w:line="313" w:lineRule="exact"/>
        <w:rPr>
          <w:sz w:val="20"/>
          <w:szCs w:val="20"/>
          <w:color w:val="auto"/>
        </w:rPr>
      </w:pPr>
    </w:p>
    <w:p>
      <w:pPr>
        <w:ind w:left="80" w:right="100"/>
        <w:spacing w:after="0" w:line="236" w:lineRule="auto"/>
        <w:rPr>
          <w:sz w:val="20"/>
          <w:szCs w:val="20"/>
          <w:color w:val="auto"/>
        </w:rPr>
      </w:pPr>
      <w:r>
        <w:rPr>
          <w:rFonts w:ascii="Arial" w:cs="Arial" w:eastAsia="Arial" w:hAnsi="Arial"/>
          <w:sz w:val="18"/>
          <w:szCs w:val="18"/>
          <w:color w:val="auto"/>
        </w:rPr>
        <w:t>The Board, upon the recommendation of the Nominating and Corporate Governance Committee, has nominated John H. Alschuler, Edwin T. Burton, III, Lauren B. Dillard, Stephen L. Green, Craig M. Hatkoff and Andrew W. Mathias for election to serve as directors until the 2020 annual meeting of stockholders and until their successors are duly elected and qualify. Messrs. Alschuler, Burton, Green, Hatkoff and Mathias and Ms. Dillard are currently serving as directors. Each of Messrs. Alschuler, Burton, Green, Hatkoff and Mathias and Ms. Dillard has consented to being named in this proxy statement and to serve as a director if elected. However, if any of Messrs. Alschuler, Burton, Green, Hatkoff and Mathias and Ms. Dillard is unable to accept election, proxies voted in favor of such nominee will be voted for the election of such other person as the Board nominates.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Majority Voting Standard</w:t>
      </w:r>
    </w:p>
    <w:p>
      <w:pPr>
        <w:spacing w:after="0" w:line="234" w:lineRule="exact"/>
        <w:rPr>
          <w:sz w:val="20"/>
          <w:szCs w:val="20"/>
          <w:color w:val="auto"/>
        </w:rPr>
      </w:pPr>
    </w:p>
    <w:p>
      <w:pPr>
        <w:ind w:left="80" w:right="140"/>
        <w:spacing w:after="0" w:line="236" w:lineRule="auto"/>
        <w:rPr>
          <w:sz w:val="20"/>
          <w:szCs w:val="20"/>
          <w:color w:val="auto"/>
        </w:rPr>
      </w:pPr>
      <w:r>
        <w:rPr>
          <w:rFonts w:ascii="Arial" w:cs="Arial" w:eastAsia="Arial" w:hAnsi="Arial"/>
          <w:sz w:val="18"/>
          <w:szCs w:val="18"/>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57"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345988"/>
        </w:rPr>
        <w:t xml:space="preserve">The Board unanimously recommends a vote </w:t>
      </w:r>
      <w:r>
        <w:rPr>
          <w:rFonts w:ascii="Arial" w:cs="Arial" w:eastAsia="Arial" w:hAnsi="Arial"/>
          <w:sz w:val="22"/>
          <w:szCs w:val="22"/>
          <w:b w:val="1"/>
          <w:bCs w:val="1"/>
          <w:color w:val="000000"/>
        </w:rPr>
        <w:t>“FOR”</w:t>
      </w:r>
      <w:r>
        <w:rPr>
          <w:rFonts w:ascii="Arial" w:cs="Arial" w:eastAsia="Arial" w:hAnsi="Arial"/>
          <w:sz w:val="22"/>
          <w:szCs w:val="22"/>
          <w:b w:val="1"/>
          <w:bCs w:val="1"/>
          <w:color w:val="345988"/>
        </w:rPr>
        <w:t xml:space="preserve"> the election of Messrs. Alschuler, Burton, Green, Hatkoff and Mathias and Ms. Dillard.</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Information Regarding the Nominees and the Continuing Directors</w:t>
      </w:r>
    </w:p>
    <w:p>
      <w:pPr>
        <w:spacing w:after="0" w:line="23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matrix and biographical descriptions set forth certain information with respect to the nominees for election as directors at the 2019 annual meeting and the continuing directors whose terms expire at the annual meeting of stockholders in 2020, based upon information furnished by each director. At our annual meeting of stockholders in 2017, stockholders approved a proposal to declassify our board. Accordingly, our board classes are being phased out, and directors whose terms are expiring will be elected for one-year terms. Our Board of Directors will be fully declassified by our 2020 annual meeting.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45988"/>
                <w:w w:val="95"/>
              </w:rPr>
              <w:t>Expiration of</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345988"/>
                <w:w w:val="96"/>
              </w:rPr>
              <w:t>Director</w:t>
            </w:r>
          </w:p>
        </w:tc>
      </w:tr>
      <w:tr>
        <w:trPr>
          <w:trHeight w:val="199"/>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45988"/>
                <w:w w:val="98"/>
              </w:rPr>
              <w:t>Age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45988"/>
                <w:w w:val="93"/>
              </w:rPr>
              <w:t>Term</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345988"/>
                <w:w w:val="96"/>
              </w:rPr>
              <w:t>Since</w:t>
            </w:r>
          </w:p>
        </w:tc>
      </w:tr>
      <w:tr>
        <w:trPr>
          <w:trHeight w:val="238"/>
        </w:trPr>
        <w:tc>
          <w:tcPr>
            <w:tcW w:w="20" w:type="dxa"/>
            <w:vAlign w:val="bottom"/>
          </w:tcPr>
          <w:p>
            <w:pPr>
              <w:spacing w:after="0"/>
              <w:rPr>
                <w:sz w:val="20"/>
                <w:szCs w:val="20"/>
                <w:color w:val="auto"/>
              </w:rPr>
            </w:pPr>
          </w:p>
        </w:tc>
        <w:tc>
          <w:tcPr>
            <w:tcW w:w="9300" w:type="dxa"/>
            <w:vAlign w:val="bottom"/>
            <w:tcBorders>
              <w:top w:val="single" w:sz="8" w:color="345988"/>
              <w:bottom w:val="single" w:sz="8" w:color="8591A9"/>
            </w:tcBorders>
          </w:tcPr>
          <w:p>
            <w:pPr>
              <w:spacing w:after="0"/>
              <w:rPr>
                <w:sz w:val="20"/>
                <w:szCs w:val="20"/>
                <w:color w:val="auto"/>
              </w:rPr>
            </w:pPr>
            <w:r>
              <w:rPr>
                <w:rFonts w:ascii="Arial" w:cs="Arial" w:eastAsia="Arial" w:hAnsi="Arial"/>
                <w:sz w:val="18"/>
                <w:szCs w:val="18"/>
                <w:b w:val="1"/>
                <w:bCs w:val="1"/>
                <w:color w:val="auto"/>
              </w:rPr>
              <w:t>Nominees (terms will expire in 2020)</w:t>
            </w:r>
          </w:p>
        </w:tc>
        <w:tc>
          <w:tcPr>
            <w:tcW w:w="160" w:type="dxa"/>
            <w:vAlign w:val="bottom"/>
          </w:tcPr>
          <w:p>
            <w:pPr>
              <w:spacing w:after="0"/>
              <w:rPr>
                <w:sz w:val="20"/>
                <w:szCs w:val="20"/>
                <w:color w:val="auto"/>
              </w:rPr>
            </w:pPr>
          </w:p>
        </w:tc>
        <w:tc>
          <w:tcPr>
            <w:tcW w:w="260" w:type="dxa"/>
            <w:vAlign w:val="bottom"/>
            <w:tcBorders>
              <w:top w:val="single" w:sz="8" w:color="345988"/>
              <w:bottom w:val="single" w:sz="8" w:color="8591A9"/>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345988"/>
              <w:bottom w:val="single" w:sz="8" w:color="8591A9"/>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top w:val="single" w:sz="8" w:color="345988"/>
              <w:bottom w:val="single" w:sz="8" w:color="8591A9"/>
            </w:tcBorders>
          </w:tcPr>
          <w:p>
            <w:pPr>
              <w:spacing w:after="0"/>
              <w:rPr>
                <w:sz w:val="20"/>
                <w:szCs w:val="20"/>
                <w:color w:val="auto"/>
              </w:rPr>
            </w:pPr>
          </w:p>
        </w:tc>
      </w:tr>
      <w:tr>
        <w:trPr>
          <w:trHeight w:val="234"/>
        </w:trPr>
        <w:tc>
          <w:tcPr>
            <w:tcW w:w="9480" w:type="dxa"/>
            <w:vAlign w:val="bottom"/>
            <w:gridSpan w:val="3"/>
          </w:tcPr>
          <w:p>
            <w:pPr>
              <w:spacing w:after="0"/>
              <w:rPr>
                <w:sz w:val="20"/>
                <w:szCs w:val="20"/>
                <w:color w:val="auto"/>
              </w:rPr>
            </w:pPr>
            <w:r>
              <w:rPr>
                <w:rFonts w:ascii="Arial" w:cs="Arial" w:eastAsia="Arial" w:hAnsi="Arial"/>
                <w:sz w:val="18"/>
                <w:szCs w:val="18"/>
                <w:color w:val="auto"/>
              </w:rPr>
              <w:t>John H. Alschuler*</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1997</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Edwin T. Burton, III*</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76</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1997</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Lauren B. Dillard*</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81</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1997</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Craig M. Hatkoff*</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2011</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7"/>
        </w:trPr>
        <w:tc>
          <w:tcPr>
            <w:tcW w:w="9480" w:type="dxa"/>
            <w:vAlign w:val="bottom"/>
            <w:gridSpan w:val="3"/>
          </w:tcPr>
          <w:p>
            <w:pPr>
              <w:spacing w:after="0"/>
              <w:rPr>
                <w:sz w:val="20"/>
                <w:szCs w:val="20"/>
                <w:color w:val="auto"/>
              </w:rPr>
            </w:pPr>
            <w:r>
              <w:rPr>
                <w:rFonts w:ascii="Arial" w:cs="Arial" w:eastAsia="Arial" w:hAnsi="Arial"/>
                <w:sz w:val="18"/>
                <w:szCs w:val="18"/>
                <w:color w:val="auto"/>
              </w:rPr>
              <w:t>Andrew W. Mathias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2014</w:t>
            </w:r>
          </w:p>
        </w:tc>
      </w:tr>
      <w:tr>
        <w:trPr>
          <w:trHeight w:val="238"/>
        </w:trPr>
        <w:tc>
          <w:tcPr>
            <w:tcW w:w="20" w:type="dxa"/>
            <w:vAlign w:val="bottom"/>
          </w:tcPr>
          <w:p>
            <w:pPr>
              <w:spacing w:after="0"/>
              <w:rPr>
                <w:sz w:val="20"/>
                <w:szCs w:val="20"/>
                <w:color w:val="auto"/>
              </w:rPr>
            </w:pPr>
          </w:p>
        </w:tc>
        <w:tc>
          <w:tcPr>
            <w:tcW w:w="9300" w:type="dxa"/>
            <w:vAlign w:val="bottom"/>
            <w:tcBorders>
              <w:top w:val="single" w:sz="8" w:color="8591A9"/>
              <w:bottom w:val="single" w:sz="8" w:color="8591A9"/>
            </w:tcBorders>
          </w:tcPr>
          <w:p>
            <w:pPr>
              <w:spacing w:after="0"/>
              <w:rPr>
                <w:sz w:val="20"/>
                <w:szCs w:val="20"/>
                <w:color w:val="auto"/>
              </w:rPr>
            </w:pPr>
            <w:r>
              <w:rPr>
                <w:rFonts w:ascii="Arial" w:cs="Arial" w:eastAsia="Arial" w:hAnsi="Arial"/>
                <w:sz w:val="18"/>
                <w:szCs w:val="18"/>
                <w:b w:val="1"/>
                <w:bCs w:val="1"/>
                <w:color w:val="auto"/>
              </w:rPr>
              <w:t>Continuing Directors (terms will expire in 2020)</w:t>
            </w:r>
          </w:p>
        </w:tc>
        <w:tc>
          <w:tcPr>
            <w:tcW w:w="160" w:type="dxa"/>
            <w:vAlign w:val="bottom"/>
          </w:tcPr>
          <w:p>
            <w:pPr>
              <w:spacing w:after="0"/>
              <w:rPr>
                <w:sz w:val="20"/>
                <w:szCs w:val="20"/>
                <w:color w:val="auto"/>
              </w:rPr>
            </w:pPr>
          </w:p>
        </w:tc>
        <w:tc>
          <w:tcPr>
            <w:tcW w:w="260" w:type="dxa"/>
            <w:vAlign w:val="bottom"/>
            <w:tcBorders>
              <w:top w:val="single" w:sz="8" w:color="8591A9"/>
              <w:bottom w:val="single" w:sz="8" w:color="8591A9"/>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8591A9"/>
              <w:bottom w:val="single" w:sz="8" w:color="8591A9"/>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top w:val="single" w:sz="8" w:color="8591A9"/>
              <w:bottom w:val="single" w:sz="8" w:color="8591A9"/>
            </w:tcBorders>
          </w:tcPr>
          <w:p>
            <w:pPr>
              <w:spacing w:after="0"/>
              <w:rPr>
                <w:sz w:val="20"/>
                <w:szCs w:val="20"/>
                <w:color w:val="auto"/>
              </w:rPr>
            </w:pPr>
          </w:p>
        </w:tc>
      </w:tr>
      <w:tr>
        <w:trPr>
          <w:trHeight w:val="234"/>
        </w:trPr>
        <w:tc>
          <w:tcPr>
            <w:tcW w:w="9480" w:type="dxa"/>
            <w:vAlign w:val="bottom"/>
            <w:gridSpan w:val="3"/>
          </w:tcPr>
          <w:p>
            <w:pPr>
              <w:spacing w:after="0"/>
              <w:rPr>
                <w:sz w:val="20"/>
                <w:szCs w:val="20"/>
                <w:color w:val="auto"/>
              </w:rPr>
            </w:pPr>
            <w:r>
              <w:rPr>
                <w:rFonts w:ascii="Arial" w:cs="Arial" w:eastAsia="Arial" w:hAnsi="Arial"/>
                <w:sz w:val="18"/>
                <w:szCs w:val="18"/>
                <w:color w:val="auto"/>
              </w:rPr>
              <w:t>Betsy Atkins*</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2015</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Marc Holliday</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2001</w:t>
            </w:r>
          </w:p>
        </w:tc>
      </w:tr>
      <w:tr>
        <w:trPr>
          <w:trHeight w:val="21"/>
        </w:trPr>
        <w:tc>
          <w:tcPr>
            <w:tcW w:w="20" w:type="dxa"/>
            <w:vAlign w:val="bottom"/>
          </w:tcPr>
          <w:p>
            <w:pPr>
              <w:spacing w:after="0" w:line="20" w:lineRule="exact"/>
              <w:rPr>
                <w:sz w:val="1"/>
                <w:szCs w:val="1"/>
                <w:color w:val="auto"/>
              </w:rPr>
            </w:pPr>
          </w:p>
        </w:tc>
        <w:tc>
          <w:tcPr>
            <w:tcW w:w="93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8591A9"/>
          </w:tcPr>
          <w:p>
            <w:pPr>
              <w:spacing w:after="0" w:line="20" w:lineRule="exact"/>
              <w:rPr>
                <w:sz w:val="1"/>
                <w:szCs w:val="1"/>
                <w:color w:val="auto"/>
              </w:rPr>
            </w:pPr>
          </w:p>
        </w:tc>
      </w:tr>
      <w:tr>
        <w:trPr>
          <w:trHeight w:val="235"/>
        </w:trPr>
        <w:tc>
          <w:tcPr>
            <w:tcW w:w="9480" w:type="dxa"/>
            <w:vAlign w:val="bottom"/>
            <w:gridSpan w:val="3"/>
          </w:tcPr>
          <w:p>
            <w:pPr>
              <w:spacing w:after="0"/>
              <w:rPr>
                <w:sz w:val="20"/>
                <w:szCs w:val="20"/>
                <w:color w:val="auto"/>
              </w:rPr>
            </w:pPr>
            <w:r>
              <w:rPr>
                <w:rFonts w:ascii="Arial" w:cs="Arial" w:eastAsia="Arial" w:hAnsi="Arial"/>
                <w:sz w:val="18"/>
                <w:szCs w:val="18"/>
                <w:color w:val="auto"/>
              </w:rPr>
              <w:t>John S. Levy*</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83</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2020</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1997</w:t>
            </w:r>
          </w:p>
        </w:tc>
      </w:tr>
      <w:tr>
        <w:trPr>
          <w:trHeight w:val="35"/>
        </w:trPr>
        <w:tc>
          <w:tcPr>
            <w:tcW w:w="20" w:type="dxa"/>
            <w:vAlign w:val="bottom"/>
          </w:tcPr>
          <w:p>
            <w:pPr>
              <w:spacing w:after="0"/>
              <w:rPr>
                <w:sz w:val="3"/>
                <w:szCs w:val="3"/>
                <w:color w:val="auto"/>
              </w:rPr>
            </w:pPr>
          </w:p>
        </w:tc>
        <w:tc>
          <w:tcPr>
            <w:tcW w:w="93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shd w:val="clear" w:color="auto" w:fill="345988"/>
          </w:tcPr>
          <w:p>
            <w:pPr>
              <w:spacing w:after="0"/>
              <w:rPr>
                <w:sz w:val="3"/>
                <w:szCs w:val="3"/>
                <w:color w:val="auto"/>
              </w:rPr>
            </w:pPr>
          </w:p>
        </w:tc>
      </w:tr>
    </w:tbl>
    <w:p>
      <w:pPr>
        <w:spacing w:after="0" w:line="107"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Independent Director</w:t>
      </w:r>
    </w:p>
    <w:p>
      <w:pPr>
        <w:spacing w:after="0" w:line="20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6120"/>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Continuing Director and Director Nominees Business Experience</w:t>
      </w:r>
    </w:p>
    <w:p>
      <w:pPr>
        <w:spacing w:after="0" w:line="23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matrix below represents some of the key skills that our Board has identified as particularly valuable to the effective oversight of the Company and the execution of our strategy. This matrix highlights the depth and breadth of skills of our current directors.</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Executive Leadership</w:t>
            </w:r>
          </w:p>
        </w:tc>
        <w:tc>
          <w:tcPr>
            <w:tcW w:w="580" w:type="dxa"/>
            <w:vAlign w:val="bottom"/>
            <w:shd w:val="clear" w:color="auto" w:fill="9AA2B7"/>
          </w:tcPr>
          <w:p>
            <w:pPr>
              <w:jc w:val="right"/>
              <w:spacing w:after="0"/>
              <w:rPr>
                <w:sz w:val="20"/>
                <w:szCs w:val="20"/>
                <w:color w:val="auto"/>
              </w:rPr>
            </w:pPr>
            <w:r>
              <w:rPr>
                <w:rFonts w:ascii="Arial" w:cs="Arial" w:eastAsia="Arial" w:hAnsi="Arial"/>
                <w:sz w:val="18"/>
                <w:szCs w:val="18"/>
                <w:b w:val="1"/>
                <w:bCs w:val="1"/>
                <w:color w:val="345988"/>
              </w:rPr>
              <w:t>9</w:t>
            </w:r>
          </w:p>
        </w:tc>
        <w:tc>
          <w:tcPr>
            <w:tcW w:w="100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592"/>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REIT/Real Estate</w:t>
            </w:r>
          </w:p>
        </w:tc>
        <w:tc>
          <w:tcPr>
            <w:tcW w:w="580" w:type="dxa"/>
            <w:vAlign w:val="bottom"/>
            <w:vMerge w:val="restart"/>
            <w:shd w:val="clear" w:color="auto" w:fill="9AA2B7"/>
          </w:tcPr>
          <w:p>
            <w:pPr>
              <w:jc w:val="right"/>
              <w:spacing w:after="0"/>
              <w:rPr>
                <w:sz w:val="20"/>
                <w:szCs w:val="20"/>
                <w:color w:val="auto"/>
              </w:rPr>
            </w:pPr>
            <w:r>
              <w:rPr>
                <w:rFonts w:ascii="Arial" w:cs="Arial" w:eastAsia="Arial" w:hAnsi="Arial"/>
                <w:sz w:val="18"/>
                <w:szCs w:val="18"/>
                <w:b w:val="1"/>
                <w:bCs w:val="1"/>
                <w:color w:val="345988"/>
              </w:rPr>
              <w:t>6</w:t>
            </w:r>
          </w:p>
        </w:tc>
        <w:tc>
          <w:tcPr>
            <w:tcW w:w="100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Industry</w:t>
            </w:r>
          </w:p>
        </w:tc>
        <w:tc>
          <w:tcPr>
            <w:tcW w:w="580" w:type="dxa"/>
            <w:vAlign w:val="bottom"/>
            <w:vMerge w:val="continue"/>
            <w:shd w:val="clear" w:color="auto" w:fill="9AA2B7"/>
          </w:tcPr>
          <w:p>
            <w:pPr>
              <w:spacing w:after="0"/>
              <w:rPr>
                <w:sz w:val="15"/>
                <w:szCs w:val="15"/>
                <w:color w:val="auto"/>
              </w:rPr>
            </w:pPr>
          </w:p>
        </w:tc>
        <w:tc>
          <w:tcPr>
            <w:tcW w:w="1000" w:type="dxa"/>
            <w:vAlign w:val="bottom"/>
            <w:shd w:val="clear" w:color="auto" w:fill="9AA2B7"/>
          </w:tcPr>
          <w:p>
            <w:pPr>
              <w:spacing w:after="0"/>
              <w:rPr>
                <w:sz w:val="15"/>
                <w:szCs w:val="15"/>
                <w:color w:val="auto"/>
              </w:rPr>
            </w:pPr>
          </w:p>
        </w:tc>
        <w:tc>
          <w:tcPr>
            <w:tcW w:w="0" w:type="dxa"/>
            <w:vAlign w:val="bottom"/>
          </w:tcPr>
          <w:p>
            <w:pPr>
              <w:spacing w:after="0"/>
              <w:rPr>
                <w:sz w:val="1"/>
                <w:szCs w:val="1"/>
                <w:color w:val="auto"/>
              </w:rPr>
            </w:pPr>
          </w:p>
        </w:tc>
      </w:tr>
      <w:tr>
        <w:trPr>
          <w:trHeight w:val="527"/>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Talent Management</w:t>
            </w:r>
          </w:p>
        </w:tc>
        <w:tc>
          <w:tcPr>
            <w:tcW w:w="580" w:type="dxa"/>
            <w:vAlign w:val="bottom"/>
            <w:shd w:val="clear" w:color="auto" w:fill="9AA2B7"/>
          </w:tcPr>
          <w:p>
            <w:pPr>
              <w:jc w:val="right"/>
              <w:spacing w:after="0"/>
              <w:rPr>
                <w:sz w:val="20"/>
                <w:szCs w:val="20"/>
                <w:color w:val="auto"/>
              </w:rPr>
            </w:pPr>
            <w:r>
              <w:rPr>
                <w:rFonts w:ascii="Arial" w:cs="Arial" w:eastAsia="Arial" w:hAnsi="Arial"/>
                <w:sz w:val="18"/>
                <w:szCs w:val="18"/>
                <w:b w:val="1"/>
                <w:bCs w:val="1"/>
                <w:color w:val="345988"/>
              </w:rPr>
              <w:t>5</w:t>
            </w:r>
          </w:p>
        </w:tc>
        <w:tc>
          <w:tcPr>
            <w:tcW w:w="100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Governmental/Regulatory</w:t>
            </w:r>
          </w:p>
        </w:tc>
        <w:tc>
          <w:tcPr>
            <w:tcW w:w="580" w:type="dxa"/>
            <w:vAlign w:val="bottom"/>
            <w:vMerge w:val="restart"/>
            <w:shd w:val="clear" w:color="auto" w:fill="9AA2B7"/>
          </w:tcPr>
          <w:p>
            <w:pPr>
              <w:jc w:val="right"/>
              <w:spacing w:after="0"/>
              <w:rPr>
                <w:sz w:val="20"/>
                <w:szCs w:val="20"/>
                <w:color w:val="auto"/>
              </w:rPr>
            </w:pPr>
            <w:r>
              <w:rPr>
                <w:rFonts w:ascii="Arial" w:cs="Arial" w:eastAsia="Arial" w:hAnsi="Arial"/>
                <w:sz w:val="18"/>
                <w:szCs w:val="18"/>
                <w:b w:val="1"/>
                <w:bCs w:val="1"/>
                <w:color w:val="345988"/>
              </w:rPr>
              <w:t>2</w:t>
            </w:r>
          </w:p>
        </w:tc>
        <w:tc>
          <w:tcPr>
            <w:tcW w:w="100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9AA2B7"/>
          </w:tcPr>
          <w:p>
            <w:pPr>
              <w:ind w:left="560"/>
              <w:spacing w:after="0"/>
              <w:rPr>
                <w:sz w:val="20"/>
                <w:szCs w:val="20"/>
                <w:color w:val="auto"/>
              </w:rPr>
            </w:pPr>
            <w:r>
              <w:rPr>
                <w:rFonts w:ascii="Arial" w:cs="Arial" w:eastAsia="Arial" w:hAnsi="Arial"/>
                <w:sz w:val="14"/>
                <w:szCs w:val="14"/>
                <w:b w:val="1"/>
                <w:bCs w:val="1"/>
                <w:color w:val="345988"/>
              </w:rPr>
              <w:t>Experience</w:t>
            </w:r>
          </w:p>
        </w:tc>
        <w:tc>
          <w:tcPr>
            <w:tcW w:w="580" w:type="dxa"/>
            <w:vAlign w:val="bottom"/>
            <w:vMerge w:val="continue"/>
            <w:shd w:val="clear" w:color="auto" w:fill="9AA2B7"/>
          </w:tcPr>
          <w:p>
            <w:pPr>
              <w:spacing w:after="0"/>
              <w:rPr>
                <w:sz w:val="15"/>
                <w:szCs w:val="15"/>
                <w:color w:val="auto"/>
              </w:rPr>
            </w:pPr>
          </w:p>
        </w:tc>
        <w:tc>
          <w:tcPr>
            <w:tcW w:w="1000" w:type="dxa"/>
            <w:vAlign w:val="bottom"/>
            <w:shd w:val="clear" w:color="auto" w:fill="9AA2B7"/>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620" w:type="dxa"/>
            <w:vAlign w:val="bottom"/>
            <w:shd w:val="clear" w:color="auto" w:fill="9AA2B7"/>
          </w:tcPr>
          <w:p>
            <w:pPr>
              <w:spacing w:after="0"/>
              <w:rPr>
                <w:sz w:val="24"/>
                <w:szCs w:val="24"/>
                <w:color w:val="auto"/>
              </w:rPr>
            </w:pPr>
          </w:p>
        </w:tc>
        <w:tc>
          <w:tcPr>
            <w:tcW w:w="580" w:type="dxa"/>
            <w:vAlign w:val="bottom"/>
            <w:shd w:val="clear" w:color="auto" w:fill="9AA2B7"/>
          </w:tcPr>
          <w:p>
            <w:pPr>
              <w:spacing w:after="0"/>
              <w:rPr>
                <w:sz w:val="24"/>
                <w:szCs w:val="24"/>
                <w:color w:val="auto"/>
              </w:rPr>
            </w:pPr>
          </w:p>
        </w:tc>
        <w:tc>
          <w:tcPr>
            <w:tcW w:w="100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-1379855</wp:posOffset>
            </wp:positionV>
            <wp:extent cx="1200785" cy="77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785" cy="7747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-1217295</wp:posOffset>
            </wp:positionV>
            <wp:extent cx="19748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7485" cy="22288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-891540</wp:posOffset>
            </wp:positionV>
            <wp:extent cx="1200785"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785" cy="774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-728345</wp:posOffset>
            </wp:positionV>
            <wp:extent cx="146621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24892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-393700</wp:posOffset>
            </wp:positionV>
            <wp:extent cx="19748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7485" cy="1885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-162560</wp:posOffset>
            </wp:positionV>
            <wp:extent cx="120904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90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1"/>
        </w:trPr>
        <w:tc>
          <w:tcPr>
            <w:tcW w:w="2540" w:type="dxa"/>
            <w:vAlign w:val="bottom"/>
            <w:shd w:val="clear" w:color="auto" w:fill="9AA2B7"/>
          </w:tcPr>
          <w:p>
            <w:pPr>
              <w:ind w:left="540"/>
              <w:spacing w:after="0"/>
              <w:rPr>
                <w:sz w:val="20"/>
                <w:szCs w:val="20"/>
                <w:color w:val="auto"/>
              </w:rPr>
            </w:pPr>
            <w:r>
              <w:rPr>
                <w:rFonts w:ascii="Arial" w:cs="Arial" w:eastAsia="Arial" w:hAnsi="Arial"/>
                <w:sz w:val="14"/>
                <w:szCs w:val="14"/>
                <w:b w:val="1"/>
                <w:bCs w:val="1"/>
                <w:color w:val="345988"/>
              </w:rPr>
              <w:t>Finance/Capital Markets</w:t>
            </w:r>
          </w:p>
        </w:tc>
        <w:tc>
          <w:tcPr>
            <w:tcW w:w="580" w:type="dxa"/>
            <w:vAlign w:val="bottom"/>
            <w:shd w:val="clear" w:color="auto" w:fill="9AA2B7"/>
          </w:tcPr>
          <w:p>
            <w:pPr>
              <w:jc w:val="right"/>
              <w:spacing w:after="0"/>
              <w:rPr>
                <w:sz w:val="20"/>
                <w:szCs w:val="20"/>
                <w:color w:val="auto"/>
              </w:rPr>
            </w:pPr>
            <w:r>
              <w:rPr>
                <w:rFonts w:ascii="Arial" w:cs="Arial" w:eastAsia="Arial" w:hAnsi="Arial"/>
                <w:sz w:val="18"/>
                <w:szCs w:val="18"/>
                <w:b w:val="1"/>
                <w:bCs w:val="1"/>
                <w:color w:val="345988"/>
              </w:rPr>
              <w:t>9</w:t>
            </w:r>
          </w:p>
        </w:tc>
        <w:tc>
          <w:tcPr>
            <w:tcW w:w="96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592"/>
        </w:trPr>
        <w:tc>
          <w:tcPr>
            <w:tcW w:w="2540" w:type="dxa"/>
            <w:vAlign w:val="bottom"/>
            <w:shd w:val="clear" w:color="auto" w:fill="9AA2B7"/>
          </w:tcPr>
          <w:p>
            <w:pPr>
              <w:ind w:left="540"/>
              <w:spacing w:after="0"/>
              <w:rPr>
                <w:sz w:val="20"/>
                <w:szCs w:val="20"/>
                <w:color w:val="auto"/>
              </w:rPr>
            </w:pPr>
            <w:r>
              <w:rPr>
                <w:rFonts w:ascii="Arial" w:cs="Arial" w:eastAsia="Arial" w:hAnsi="Arial"/>
                <w:sz w:val="14"/>
                <w:szCs w:val="14"/>
                <w:b w:val="1"/>
                <w:bCs w:val="1"/>
                <w:color w:val="345988"/>
              </w:rPr>
              <w:t>Experience Over Several</w:t>
            </w:r>
          </w:p>
        </w:tc>
        <w:tc>
          <w:tcPr>
            <w:tcW w:w="580" w:type="dxa"/>
            <w:vAlign w:val="bottom"/>
            <w:vMerge w:val="restart"/>
            <w:shd w:val="clear" w:color="auto" w:fill="9AA2B7"/>
          </w:tcPr>
          <w:p>
            <w:pPr>
              <w:jc w:val="right"/>
              <w:spacing w:after="0"/>
              <w:rPr>
                <w:sz w:val="20"/>
                <w:szCs w:val="20"/>
                <w:color w:val="auto"/>
              </w:rPr>
            </w:pPr>
            <w:r>
              <w:rPr>
                <w:rFonts w:ascii="Arial" w:cs="Arial" w:eastAsia="Arial" w:hAnsi="Arial"/>
                <w:sz w:val="18"/>
                <w:szCs w:val="18"/>
                <w:b w:val="1"/>
                <w:bCs w:val="1"/>
                <w:color w:val="345988"/>
              </w:rPr>
              <w:t>5</w:t>
            </w:r>
          </w:p>
        </w:tc>
        <w:tc>
          <w:tcPr>
            <w:tcW w:w="96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9AA2B7"/>
          </w:tcPr>
          <w:p>
            <w:pPr>
              <w:ind w:left="540"/>
              <w:spacing w:after="0"/>
              <w:rPr>
                <w:sz w:val="20"/>
                <w:szCs w:val="20"/>
                <w:color w:val="auto"/>
              </w:rPr>
            </w:pPr>
            <w:r>
              <w:rPr>
                <w:rFonts w:ascii="Arial" w:cs="Arial" w:eastAsia="Arial" w:hAnsi="Arial"/>
                <w:sz w:val="14"/>
                <w:szCs w:val="14"/>
                <w:b w:val="1"/>
                <w:bCs w:val="1"/>
                <w:color w:val="345988"/>
              </w:rPr>
              <w:t>Business Cycles</w:t>
            </w:r>
          </w:p>
        </w:tc>
        <w:tc>
          <w:tcPr>
            <w:tcW w:w="580" w:type="dxa"/>
            <w:vAlign w:val="bottom"/>
            <w:vMerge w:val="continue"/>
            <w:shd w:val="clear" w:color="auto" w:fill="9AA2B7"/>
          </w:tcPr>
          <w:p>
            <w:pPr>
              <w:spacing w:after="0"/>
              <w:rPr>
                <w:sz w:val="15"/>
                <w:szCs w:val="15"/>
                <w:color w:val="auto"/>
              </w:rPr>
            </w:pPr>
          </w:p>
        </w:tc>
        <w:tc>
          <w:tcPr>
            <w:tcW w:w="960" w:type="dxa"/>
            <w:vAlign w:val="bottom"/>
            <w:shd w:val="clear" w:color="auto" w:fill="9AA2B7"/>
          </w:tcPr>
          <w:p>
            <w:pPr>
              <w:spacing w:after="0"/>
              <w:rPr>
                <w:sz w:val="15"/>
                <w:szCs w:val="15"/>
                <w:color w:val="auto"/>
              </w:rPr>
            </w:pPr>
          </w:p>
        </w:tc>
        <w:tc>
          <w:tcPr>
            <w:tcW w:w="0" w:type="dxa"/>
            <w:vAlign w:val="bottom"/>
          </w:tcPr>
          <w:p>
            <w:pPr>
              <w:spacing w:after="0"/>
              <w:rPr>
                <w:sz w:val="1"/>
                <w:szCs w:val="1"/>
                <w:color w:val="auto"/>
              </w:rPr>
            </w:pPr>
          </w:p>
        </w:tc>
      </w:tr>
      <w:tr>
        <w:trPr>
          <w:trHeight w:val="527"/>
        </w:trPr>
        <w:tc>
          <w:tcPr>
            <w:tcW w:w="2540" w:type="dxa"/>
            <w:vAlign w:val="bottom"/>
            <w:shd w:val="clear" w:color="auto" w:fill="9AA2B7"/>
          </w:tcPr>
          <w:p>
            <w:pPr>
              <w:ind w:left="540"/>
              <w:spacing w:after="0"/>
              <w:rPr>
                <w:sz w:val="20"/>
                <w:szCs w:val="20"/>
                <w:color w:val="auto"/>
              </w:rPr>
            </w:pPr>
            <w:r>
              <w:rPr>
                <w:rFonts w:ascii="Arial" w:cs="Arial" w:eastAsia="Arial" w:hAnsi="Arial"/>
                <w:sz w:val="14"/>
                <w:szCs w:val="14"/>
                <w:b w:val="1"/>
                <w:bCs w:val="1"/>
                <w:color w:val="345988"/>
              </w:rPr>
              <w:t>Academia</w:t>
            </w:r>
          </w:p>
        </w:tc>
        <w:tc>
          <w:tcPr>
            <w:tcW w:w="580" w:type="dxa"/>
            <w:vAlign w:val="bottom"/>
            <w:shd w:val="clear" w:color="auto" w:fill="9AA2B7"/>
          </w:tcPr>
          <w:p>
            <w:pPr>
              <w:jc w:val="right"/>
              <w:spacing w:after="0"/>
              <w:rPr>
                <w:sz w:val="20"/>
                <w:szCs w:val="20"/>
                <w:color w:val="auto"/>
              </w:rPr>
            </w:pPr>
            <w:r>
              <w:rPr>
                <w:rFonts w:ascii="Arial" w:cs="Arial" w:eastAsia="Arial" w:hAnsi="Arial"/>
                <w:sz w:val="18"/>
                <w:szCs w:val="18"/>
                <w:b w:val="1"/>
                <w:bCs w:val="1"/>
                <w:color w:val="345988"/>
              </w:rPr>
              <w:t>3</w:t>
            </w:r>
          </w:p>
        </w:tc>
        <w:tc>
          <w:tcPr>
            <w:tcW w:w="96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540" w:type="dxa"/>
            <w:vAlign w:val="bottom"/>
            <w:shd w:val="clear" w:color="auto" w:fill="9AA2B7"/>
          </w:tcPr>
          <w:p>
            <w:pPr>
              <w:ind w:left="540"/>
              <w:spacing w:after="0"/>
              <w:rPr>
                <w:sz w:val="20"/>
                <w:szCs w:val="20"/>
                <w:color w:val="auto"/>
              </w:rPr>
            </w:pPr>
            <w:r>
              <w:rPr>
                <w:rFonts w:ascii="Arial" w:cs="Arial" w:eastAsia="Arial" w:hAnsi="Arial"/>
                <w:sz w:val="14"/>
                <w:szCs w:val="14"/>
                <w:b w:val="1"/>
                <w:bCs w:val="1"/>
                <w:color w:val="345988"/>
              </w:rPr>
              <w:t>Technology</w:t>
            </w:r>
          </w:p>
        </w:tc>
        <w:tc>
          <w:tcPr>
            <w:tcW w:w="580" w:type="dxa"/>
            <w:vAlign w:val="bottom"/>
            <w:shd w:val="clear" w:color="auto" w:fill="9AA2B7"/>
          </w:tcPr>
          <w:p>
            <w:pPr>
              <w:jc w:val="right"/>
              <w:spacing w:after="0"/>
              <w:rPr>
                <w:sz w:val="20"/>
                <w:szCs w:val="20"/>
                <w:color w:val="auto"/>
              </w:rPr>
            </w:pPr>
            <w:r>
              <w:rPr>
                <w:rFonts w:ascii="Arial" w:cs="Arial" w:eastAsia="Arial" w:hAnsi="Arial"/>
                <w:sz w:val="18"/>
                <w:szCs w:val="18"/>
                <w:b w:val="1"/>
                <w:bCs w:val="1"/>
                <w:color w:val="345988"/>
              </w:rPr>
              <w:t>2</w:t>
            </w:r>
          </w:p>
        </w:tc>
        <w:tc>
          <w:tcPr>
            <w:tcW w:w="96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40" w:type="dxa"/>
            <w:vAlign w:val="bottom"/>
            <w:shd w:val="clear" w:color="auto" w:fill="9AA2B7"/>
          </w:tcPr>
          <w:p>
            <w:pPr>
              <w:spacing w:after="0"/>
              <w:rPr>
                <w:sz w:val="24"/>
                <w:szCs w:val="24"/>
                <w:color w:val="auto"/>
              </w:rPr>
            </w:pPr>
          </w:p>
        </w:tc>
        <w:tc>
          <w:tcPr>
            <w:tcW w:w="580" w:type="dxa"/>
            <w:vAlign w:val="bottom"/>
            <w:shd w:val="clear" w:color="auto" w:fill="9AA2B7"/>
          </w:tcPr>
          <w:p>
            <w:pPr>
              <w:spacing w:after="0"/>
              <w:rPr>
                <w:sz w:val="24"/>
                <w:szCs w:val="24"/>
                <w:color w:val="auto"/>
              </w:rPr>
            </w:pPr>
          </w:p>
        </w:tc>
        <w:tc>
          <w:tcPr>
            <w:tcW w:w="96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-1551305</wp:posOffset>
            </wp:positionV>
            <wp:extent cx="145796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7960" cy="2489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-1217295</wp:posOffset>
            </wp:positionV>
            <wp:extent cx="24003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21463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-891540</wp:posOffset>
            </wp:positionV>
            <wp:extent cx="120904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9040" cy="774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-728345</wp:posOffset>
            </wp:positionV>
            <wp:extent cx="147510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5105" cy="2489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-393700</wp:posOffset>
            </wp:positionV>
            <wp:extent cx="149225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225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1"/>
        </w:trPr>
        <w:tc>
          <w:tcPr>
            <w:tcW w:w="2620" w:type="dxa"/>
            <w:vAlign w:val="bottom"/>
            <w:shd w:val="clear" w:color="auto" w:fill="9AA2B7"/>
          </w:tcPr>
          <w:p>
            <w:pPr>
              <w:ind w:left="500"/>
              <w:spacing w:after="0"/>
              <w:rPr>
                <w:sz w:val="20"/>
                <w:szCs w:val="20"/>
                <w:color w:val="auto"/>
              </w:rPr>
            </w:pPr>
            <w:r>
              <w:rPr>
                <w:rFonts w:ascii="Arial" w:cs="Arial" w:eastAsia="Arial" w:hAnsi="Arial"/>
                <w:sz w:val="14"/>
                <w:szCs w:val="14"/>
                <w:b w:val="1"/>
                <w:bCs w:val="1"/>
                <w:color w:val="345988"/>
              </w:rPr>
              <w:t>Risk Management</w:t>
            </w:r>
          </w:p>
        </w:tc>
        <w:tc>
          <w:tcPr>
            <w:tcW w:w="520" w:type="dxa"/>
            <w:vAlign w:val="bottom"/>
            <w:shd w:val="clear" w:color="auto" w:fill="9AA2B7"/>
          </w:tcPr>
          <w:p>
            <w:pPr>
              <w:jc w:val="right"/>
              <w:ind w:right="332"/>
              <w:spacing w:after="0"/>
              <w:rPr>
                <w:sz w:val="20"/>
                <w:szCs w:val="20"/>
                <w:color w:val="auto"/>
              </w:rPr>
            </w:pPr>
            <w:r>
              <w:rPr>
                <w:rFonts w:ascii="Arial" w:cs="Arial" w:eastAsia="Arial" w:hAnsi="Arial"/>
                <w:sz w:val="18"/>
                <w:szCs w:val="18"/>
                <w:b w:val="1"/>
                <w:bCs w:val="1"/>
                <w:color w:val="345988"/>
                <w:w w:val="79"/>
              </w:rPr>
              <w:t>8</w:t>
            </w:r>
          </w:p>
        </w:tc>
        <w:tc>
          <w:tcPr>
            <w:tcW w:w="0" w:type="dxa"/>
            <w:vAlign w:val="bottom"/>
          </w:tcPr>
          <w:p>
            <w:pPr>
              <w:spacing w:after="0"/>
              <w:rPr>
                <w:sz w:val="1"/>
                <w:szCs w:val="1"/>
                <w:color w:val="auto"/>
              </w:rPr>
            </w:pPr>
          </w:p>
        </w:tc>
      </w:tr>
      <w:tr>
        <w:trPr>
          <w:trHeight w:val="443"/>
        </w:trPr>
        <w:tc>
          <w:tcPr>
            <w:tcW w:w="2620" w:type="dxa"/>
            <w:vAlign w:val="bottom"/>
            <w:shd w:val="clear" w:color="auto" w:fill="9AA2B7"/>
          </w:tcPr>
          <w:p>
            <w:pPr>
              <w:ind w:left="500"/>
              <w:spacing w:after="0"/>
              <w:rPr>
                <w:sz w:val="20"/>
                <w:szCs w:val="20"/>
                <w:color w:val="auto"/>
              </w:rPr>
            </w:pPr>
            <w:r>
              <w:rPr>
                <w:rFonts w:ascii="Arial" w:cs="Arial" w:eastAsia="Arial" w:hAnsi="Arial"/>
                <w:sz w:val="14"/>
                <w:szCs w:val="14"/>
                <w:b w:val="1"/>
                <w:bCs w:val="1"/>
                <w:color w:val="345988"/>
              </w:rPr>
              <w:t>Public Company Board</w:t>
            </w:r>
          </w:p>
        </w:tc>
        <w:tc>
          <w:tcPr>
            <w:tcW w:w="52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9AA2B7"/>
          </w:tcPr>
          <w:p>
            <w:pPr>
              <w:ind w:left="500"/>
              <w:spacing w:after="0" w:line="149" w:lineRule="exact"/>
              <w:rPr>
                <w:sz w:val="20"/>
                <w:szCs w:val="20"/>
                <w:color w:val="auto"/>
              </w:rPr>
            </w:pPr>
            <w:r>
              <w:rPr>
                <w:rFonts w:ascii="Arial" w:cs="Arial" w:eastAsia="Arial" w:hAnsi="Arial"/>
                <w:sz w:val="14"/>
                <w:szCs w:val="14"/>
                <w:b w:val="1"/>
                <w:bCs w:val="1"/>
                <w:color w:val="345988"/>
              </w:rPr>
              <w:t>Service/Corporate</w:t>
            </w:r>
          </w:p>
        </w:tc>
        <w:tc>
          <w:tcPr>
            <w:tcW w:w="520" w:type="dxa"/>
            <w:vAlign w:val="bottom"/>
            <w:vMerge w:val="restart"/>
            <w:shd w:val="clear" w:color="auto" w:fill="9AA2B7"/>
          </w:tcPr>
          <w:p>
            <w:pPr>
              <w:jc w:val="right"/>
              <w:ind w:right="332"/>
              <w:spacing w:after="0"/>
              <w:rPr>
                <w:sz w:val="20"/>
                <w:szCs w:val="20"/>
                <w:color w:val="auto"/>
              </w:rPr>
            </w:pPr>
            <w:r>
              <w:rPr>
                <w:rFonts w:ascii="Arial" w:cs="Arial" w:eastAsia="Arial" w:hAnsi="Arial"/>
                <w:sz w:val="18"/>
                <w:szCs w:val="18"/>
                <w:b w:val="1"/>
                <w:bCs w:val="1"/>
                <w:color w:val="345988"/>
                <w:w w:val="79"/>
              </w:rPr>
              <w:t>5</w:t>
            </w:r>
          </w:p>
        </w:tc>
        <w:tc>
          <w:tcPr>
            <w:tcW w:w="0" w:type="dxa"/>
            <w:vAlign w:val="bottom"/>
          </w:tcPr>
          <w:p>
            <w:pPr>
              <w:spacing w:after="0"/>
              <w:rPr>
                <w:sz w:val="1"/>
                <w:szCs w:val="1"/>
                <w:color w:val="auto"/>
              </w:rPr>
            </w:pPr>
          </w:p>
        </w:tc>
      </w:tr>
      <w:tr>
        <w:trPr>
          <w:trHeight w:val="178"/>
        </w:trPr>
        <w:tc>
          <w:tcPr>
            <w:tcW w:w="2620" w:type="dxa"/>
            <w:vAlign w:val="bottom"/>
            <w:shd w:val="clear" w:color="auto" w:fill="9AA2B7"/>
          </w:tcPr>
          <w:p>
            <w:pPr>
              <w:ind w:left="500"/>
              <w:spacing w:after="0"/>
              <w:rPr>
                <w:sz w:val="20"/>
                <w:szCs w:val="20"/>
                <w:color w:val="auto"/>
              </w:rPr>
            </w:pPr>
            <w:r>
              <w:rPr>
                <w:rFonts w:ascii="Arial" w:cs="Arial" w:eastAsia="Arial" w:hAnsi="Arial"/>
                <w:sz w:val="14"/>
                <w:szCs w:val="14"/>
                <w:b w:val="1"/>
                <w:bCs w:val="1"/>
                <w:color w:val="345988"/>
              </w:rPr>
              <w:t>Governance</w:t>
            </w:r>
          </w:p>
        </w:tc>
        <w:tc>
          <w:tcPr>
            <w:tcW w:w="520" w:type="dxa"/>
            <w:vAlign w:val="bottom"/>
            <w:vMerge w:val="continue"/>
            <w:shd w:val="clear" w:color="auto" w:fill="9AA2B7"/>
          </w:tcPr>
          <w:p>
            <w:pPr>
              <w:spacing w:after="0"/>
              <w:rPr>
                <w:sz w:val="15"/>
                <w:szCs w:val="15"/>
                <w:color w:val="auto"/>
              </w:rPr>
            </w:pPr>
          </w:p>
        </w:tc>
        <w:tc>
          <w:tcPr>
            <w:tcW w:w="0" w:type="dxa"/>
            <w:vAlign w:val="bottom"/>
          </w:tcPr>
          <w:p>
            <w:pPr>
              <w:spacing w:after="0"/>
              <w:rPr>
                <w:sz w:val="1"/>
                <w:szCs w:val="1"/>
                <w:color w:val="auto"/>
              </w:rPr>
            </w:pPr>
          </w:p>
        </w:tc>
      </w:tr>
      <w:tr>
        <w:trPr>
          <w:trHeight w:val="527"/>
        </w:trPr>
        <w:tc>
          <w:tcPr>
            <w:tcW w:w="2620" w:type="dxa"/>
            <w:vAlign w:val="bottom"/>
            <w:shd w:val="clear" w:color="auto" w:fill="9AA2B7"/>
          </w:tcPr>
          <w:p>
            <w:pPr>
              <w:ind w:left="500"/>
              <w:spacing w:after="0"/>
              <w:rPr>
                <w:sz w:val="20"/>
                <w:szCs w:val="20"/>
                <w:color w:val="auto"/>
              </w:rPr>
            </w:pPr>
            <w:r>
              <w:rPr>
                <w:rFonts w:ascii="Arial" w:cs="Arial" w:eastAsia="Arial" w:hAnsi="Arial"/>
                <w:sz w:val="14"/>
                <w:szCs w:val="14"/>
                <w:b w:val="1"/>
                <w:bCs w:val="1"/>
                <w:color w:val="345988"/>
              </w:rPr>
              <w:t>Accounting</w:t>
            </w:r>
          </w:p>
        </w:tc>
        <w:tc>
          <w:tcPr>
            <w:tcW w:w="520" w:type="dxa"/>
            <w:vAlign w:val="bottom"/>
            <w:shd w:val="clear" w:color="auto" w:fill="9AA2B7"/>
          </w:tcPr>
          <w:p>
            <w:pPr>
              <w:jc w:val="right"/>
              <w:ind w:right="332"/>
              <w:spacing w:after="0"/>
              <w:rPr>
                <w:sz w:val="20"/>
                <w:szCs w:val="20"/>
                <w:color w:val="auto"/>
              </w:rPr>
            </w:pPr>
            <w:r>
              <w:rPr>
                <w:rFonts w:ascii="Arial" w:cs="Arial" w:eastAsia="Arial" w:hAnsi="Arial"/>
                <w:sz w:val="18"/>
                <w:szCs w:val="18"/>
                <w:b w:val="1"/>
                <w:bCs w:val="1"/>
                <w:color w:val="345988"/>
                <w:w w:val="79"/>
              </w:rPr>
              <w:t>2</w:t>
            </w:r>
          </w:p>
        </w:tc>
        <w:tc>
          <w:tcPr>
            <w:tcW w:w="0" w:type="dxa"/>
            <w:vAlign w:val="bottom"/>
          </w:tcPr>
          <w:p>
            <w:pPr>
              <w:spacing w:after="0"/>
              <w:rPr>
                <w:sz w:val="1"/>
                <w:szCs w:val="1"/>
                <w:color w:val="auto"/>
              </w:rPr>
            </w:pPr>
          </w:p>
        </w:tc>
      </w:tr>
      <w:tr>
        <w:trPr>
          <w:trHeight w:val="932"/>
        </w:trPr>
        <w:tc>
          <w:tcPr>
            <w:tcW w:w="2620" w:type="dxa"/>
            <w:vAlign w:val="bottom"/>
            <w:shd w:val="clear" w:color="auto" w:fill="9AA2B7"/>
          </w:tcPr>
          <w:p>
            <w:pPr>
              <w:spacing w:after="0"/>
              <w:rPr>
                <w:sz w:val="24"/>
                <w:szCs w:val="24"/>
                <w:color w:val="auto"/>
              </w:rPr>
            </w:pPr>
          </w:p>
        </w:tc>
        <w:tc>
          <w:tcPr>
            <w:tcW w:w="520" w:type="dxa"/>
            <w:vAlign w:val="bottom"/>
            <w:shd w:val="clear" w:color="auto" w:fill="9AA2B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-1551305</wp:posOffset>
            </wp:positionV>
            <wp:extent cx="1475105"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5105" cy="24892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-1217295</wp:posOffset>
            </wp:positionV>
            <wp:extent cx="18859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205740"/>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-891540</wp:posOffset>
            </wp:positionV>
            <wp:extent cx="1209040" cy="77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9040" cy="7747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-728345</wp:posOffset>
            </wp:positionV>
            <wp:extent cx="145796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7960" cy="24892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3">
            <w:col w:w="4200" w:space="0"/>
            <w:col w:w="4080" w:space="0"/>
            <w:col w:w="3140"/>
          </w:cols>
          <w:pgMar w:left="240" w:top="121"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345988"/>
        </w:rPr>
        <w:t>Director Nominees—Terms Will Expire in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9"/>
              </w:rPr>
              <w:t>John H.</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71 Lead Independent Director</w:t>
            </w:r>
          </w:p>
        </w:tc>
        <w:tc>
          <w:tcPr>
            <w:tcW w:w="0" w:type="dxa"/>
            <w:vAlign w:val="bottom"/>
          </w:tcPr>
          <w:p>
            <w:pPr>
              <w:spacing w:after="0"/>
              <w:rPr>
                <w:sz w:val="1"/>
                <w:szCs w:val="1"/>
                <w:color w:val="auto"/>
              </w:rPr>
            </w:pPr>
          </w:p>
        </w:tc>
      </w:tr>
      <w:tr>
        <w:trPr>
          <w:trHeight w:val="152"/>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7"/>
              </w:rPr>
              <w:t>Alschuler</w:t>
            </w:r>
          </w:p>
        </w:tc>
        <w:tc>
          <w:tcPr>
            <w:tcW w:w="100" w:type="dxa"/>
            <w:vAlign w:val="bottom"/>
          </w:tcPr>
          <w:p>
            <w:pPr>
              <w:spacing w:after="0"/>
              <w:rPr>
                <w:sz w:val="13"/>
                <w:szCs w:val="13"/>
                <w:color w:val="auto"/>
              </w:rPr>
            </w:pPr>
          </w:p>
        </w:tc>
        <w:tc>
          <w:tcPr>
            <w:tcW w:w="10040" w:type="dxa"/>
            <w:vAlign w:val="bottom"/>
            <w:vMerge w:val="continue"/>
            <w:shd w:val="clear" w:color="auto" w:fill="ECEFF2"/>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28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10040" w:type="dxa"/>
            <w:vAlign w:val="bottom"/>
            <w:tcBorders>
              <w:bottom w:val="single" w:sz="8" w:color="ECEFF2"/>
            </w:tcBorders>
            <w:shd w:val="clear" w:color="auto" w:fill="ECEFF2"/>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Mr. Alschuler’s achievements in academia and business, as well as his extensive knowledge of commercial real estate, New York</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9"/>
              </w:rPr>
              <w:t>City’s economy, commercial and other markets in New York City and national and international markets for real estate, and his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expertise in inter-governmental relations, allow him to assess the real estate market and the Company’s business from a</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knowledgeable and informed perspective, from which he provides valuable insights into the Company’s business.</w:t>
            </w:r>
          </w:p>
        </w:tc>
        <w:tc>
          <w:tcPr>
            <w:tcW w:w="0" w:type="dxa"/>
            <w:vAlign w:val="bottom"/>
          </w:tcPr>
          <w:p>
            <w:pPr>
              <w:spacing w:after="0"/>
              <w:rPr>
                <w:sz w:val="1"/>
                <w:szCs w:val="1"/>
                <w:color w:val="auto"/>
              </w:rPr>
            </w:pPr>
          </w:p>
        </w:tc>
      </w:tr>
      <w:tr>
        <w:trPr>
          <w:trHeight w:val="41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920" w:right="200" w:hanging="255"/>
        <w:spacing w:after="0" w:line="239" w:lineRule="auto"/>
        <w:tabs>
          <w:tab w:leader="none" w:pos="1897" w:val="left"/>
        </w:tabs>
        <w:numPr>
          <w:ilvl w:val="0"/>
          <w:numId w:val="20"/>
        </w:numPr>
        <w:rPr>
          <w:rFonts w:ascii="Arial" w:cs="Arial" w:eastAsia="Arial" w:hAnsi="Arial"/>
          <w:sz w:val="17"/>
          <w:szCs w:val="17"/>
          <w:color w:val="345988"/>
        </w:rPr>
      </w:pPr>
      <w:r>
        <w:rPr>
          <w:rFonts w:ascii="Arial" w:cs="Arial" w:eastAsia="Arial" w:hAnsi="Arial"/>
          <w:sz w:val="18"/>
          <w:szCs w:val="18"/>
          <w:color w:val="auto"/>
        </w:rPr>
        <w:t>Chairman of HR&amp;A Advisors Inc., an economic development, real-estate and public policy consulting organization, since 2008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SL Green</w:t>
            </w:r>
          </w:p>
        </w:tc>
        <w:tc>
          <w:tcPr>
            <w:tcW w:w="16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Adjunct Associate Professor, Graduate School of Architecture, Planning &amp; Preservation at Columbia University, teaching</w:t>
            </w:r>
          </w:p>
        </w:tc>
        <w:tc>
          <w:tcPr>
            <w:tcW w:w="0" w:type="dxa"/>
            <w:vAlign w:val="bottom"/>
          </w:tcPr>
          <w:p>
            <w:pPr>
              <w:spacing w:after="0"/>
              <w:rPr>
                <w:sz w:val="1"/>
                <w:szCs w:val="1"/>
                <w:color w:val="auto"/>
              </w:rPr>
            </w:pPr>
          </w:p>
        </w:tc>
      </w:tr>
      <w:tr>
        <w:trPr>
          <w:trHeight w:val="255"/>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Board Service:</w:t>
            </w:r>
          </w:p>
        </w:tc>
        <w:tc>
          <w:tcPr>
            <w:tcW w:w="160" w:type="dxa"/>
            <w:vAlign w:val="bottom"/>
          </w:tcPr>
          <w:p>
            <w:pPr>
              <w:spacing w:after="0"/>
              <w:rPr>
                <w:sz w:val="22"/>
                <w:szCs w:val="22"/>
                <w:color w:val="auto"/>
              </w:rPr>
            </w:pPr>
          </w:p>
        </w:tc>
        <w:tc>
          <w:tcPr>
            <w:tcW w:w="9680" w:type="dxa"/>
            <w:vAlign w:val="bottom"/>
          </w:tcPr>
          <w:p>
            <w:pPr>
              <w:ind w:left="380"/>
              <w:spacing w:after="0"/>
              <w:rPr>
                <w:sz w:val="20"/>
                <w:szCs w:val="20"/>
                <w:color w:val="auto"/>
              </w:rPr>
            </w:pPr>
            <w:r>
              <w:rPr>
                <w:rFonts w:ascii="Arial" w:cs="Arial" w:eastAsia="Arial" w:hAnsi="Arial"/>
                <w:sz w:val="18"/>
                <w:szCs w:val="18"/>
                <w:color w:val="auto"/>
              </w:rPr>
              <w:t>real estate development</w:t>
            </w:r>
          </w:p>
        </w:tc>
        <w:tc>
          <w:tcPr>
            <w:tcW w:w="0" w:type="dxa"/>
            <w:vAlign w:val="bottom"/>
          </w:tcPr>
          <w:p>
            <w:pPr>
              <w:spacing w:after="0"/>
              <w:rPr>
                <w:sz w:val="1"/>
                <w:szCs w:val="1"/>
                <w:color w:val="auto"/>
              </w:rPr>
            </w:pPr>
          </w:p>
        </w:tc>
      </w:tr>
      <w:tr>
        <w:trPr>
          <w:trHeight w:val="302"/>
        </w:trPr>
        <w:tc>
          <w:tcPr>
            <w:tcW w:w="180" w:type="dxa"/>
            <w:vAlign w:val="bottom"/>
            <w:vMerge w:val="restart"/>
          </w:tcPr>
          <w:p>
            <w:pPr>
              <w:ind w:left="20"/>
              <w:spacing w:after="0"/>
              <w:rPr>
                <w:sz w:val="20"/>
                <w:szCs w:val="20"/>
                <w:color w:val="auto"/>
              </w:rPr>
            </w:pPr>
            <w:r>
              <w:rPr>
                <w:rFonts w:ascii="Arial" w:cs="Arial" w:eastAsia="Arial" w:hAnsi="Arial"/>
                <w:sz w:val="17"/>
                <w:szCs w:val="17"/>
                <w:color w:val="345988"/>
              </w:rPr>
              <w:t>●</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w w:val="94"/>
              </w:rPr>
              <w:t>Compensation</w:t>
            </w:r>
          </w:p>
        </w:tc>
        <w:tc>
          <w:tcPr>
            <w:tcW w:w="16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Board of Directors of the Center for an Urban Future, a Section 501(c)(3) tax-exempt organization, Friends of the High</w:t>
            </w:r>
          </w:p>
        </w:tc>
        <w:tc>
          <w:tcPr>
            <w:tcW w:w="0" w:type="dxa"/>
            <w:vAlign w:val="bottom"/>
          </w:tcPr>
          <w:p>
            <w:pPr>
              <w:spacing w:after="0"/>
              <w:rPr>
                <w:sz w:val="1"/>
                <w:szCs w:val="1"/>
                <w:color w:val="auto"/>
              </w:rPr>
            </w:pPr>
          </w:p>
        </w:tc>
      </w:tr>
      <w:tr>
        <w:trPr>
          <w:trHeight w:val="89"/>
        </w:trPr>
        <w:tc>
          <w:tcPr>
            <w:tcW w:w="1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680" w:type="dxa"/>
            <w:vAlign w:val="bottom"/>
            <w:vMerge w:val="restart"/>
          </w:tcPr>
          <w:p>
            <w:pPr>
              <w:ind w:left="380"/>
              <w:spacing w:after="0" w:line="202" w:lineRule="exact"/>
              <w:rPr>
                <w:sz w:val="20"/>
                <w:szCs w:val="20"/>
                <w:color w:val="auto"/>
              </w:rPr>
            </w:pPr>
            <w:r>
              <w:rPr>
                <w:rFonts w:ascii="Arial" w:cs="Arial" w:eastAsia="Arial" w:hAnsi="Arial"/>
                <w:sz w:val="18"/>
                <w:szCs w:val="18"/>
                <w:color w:val="auto"/>
                <w:w w:val="98"/>
              </w:rPr>
              <w:t>Line Inc., a Section 501(c)(3) tax-exempt organization and the Sag Harbor Cinema Arts Center, a 501(c)(3) tax-exempt</w:t>
            </w: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8"/>
                <w:szCs w:val="18"/>
                <w:color w:val="auto"/>
              </w:rPr>
              <w:t>Committee</w:t>
            </w:r>
          </w:p>
        </w:tc>
        <w:tc>
          <w:tcPr>
            <w:tcW w:w="160" w:type="dxa"/>
            <w:vAlign w:val="bottom"/>
          </w:tcPr>
          <w:p>
            <w:pPr>
              <w:spacing w:after="0"/>
              <w:rPr>
                <w:sz w:val="9"/>
                <w:szCs w:val="9"/>
                <w:color w:val="auto"/>
              </w:rPr>
            </w:pPr>
          </w:p>
        </w:tc>
        <w:tc>
          <w:tcPr>
            <w:tcW w:w="9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680" w:type="dxa"/>
            <w:vAlign w:val="bottom"/>
            <w:vMerge w:val="restart"/>
          </w:tcPr>
          <w:p>
            <w:pPr>
              <w:ind w:left="38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108"/>
        </w:trPr>
        <w:tc>
          <w:tcPr>
            <w:tcW w:w="180" w:type="dxa"/>
            <w:vAlign w:val="bottom"/>
            <w:vMerge w:val="restart"/>
          </w:tcPr>
          <w:p>
            <w:pPr>
              <w:ind w:left="20"/>
              <w:spacing w:after="0"/>
              <w:rPr>
                <w:sz w:val="20"/>
                <w:szCs w:val="20"/>
                <w:color w:val="auto"/>
              </w:rPr>
            </w:pPr>
            <w:r>
              <w:rPr>
                <w:rFonts w:ascii="Arial" w:cs="Arial" w:eastAsia="Arial" w:hAnsi="Arial"/>
                <w:sz w:val="17"/>
                <w:szCs w:val="17"/>
                <w:color w:val="345988"/>
              </w:rPr>
              <w:t>●</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Nominating</w:t>
            </w:r>
          </w:p>
        </w:tc>
        <w:tc>
          <w:tcPr>
            <w:tcW w:w="160" w:type="dxa"/>
            <w:vAlign w:val="bottom"/>
          </w:tcPr>
          <w:p>
            <w:pPr>
              <w:spacing w:after="0"/>
              <w:rPr>
                <w:sz w:val="9"/>
                <w:szCs w:val="9"/>
                <w:color w:val="auto"/>
              </w:rPr>
            </w:pPr>
          </w:p>
        </w:tc>
        <w:tc>
          <w:tcPr>
            <w:tcW w:w="9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80" w:type="dxa"/>
            <w:vAlign w:val="bottom"/>
            <w:vMerge w:val="restart"/>
          </w:tcPr>
          <w:p>
            <w:pPr>
              <w:ind w:left="1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B.A. degree from Wesleyan University and Ed.D. degree from the University of Massachusetts at Amherst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color w:val="auto"/>
              </w:rPr>
              <w:t>and Corporate</w:t>
            </w:r>
          </w:p>
        </w:tc>
        <w:tc>
          <w:tcPr>
            <w:tcW w:w="9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9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Governance</w:t>
            </w: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Other Public Board Directorships</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16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60" w:hanging="243"/>
        <w:spacing w:after="0"/>
        <w:tabs>
          <w:tab w:leader="none" w:pos="260" w:val="left"/>
        </w:tabs>
        <w:numPr>
          <w:ilvl w:val="0"/>
          <w:numId w:val="21"/>
        </w:numPr>
        <w:rPr>
          <w:rFonts w:ascii="Arial" w:cs="Arial" w:eastAsia="Arial" w:hAnsi="Arial"/>
          <w:sz w:val="17"/>
          <w:szCs w:val="17"/>
          <w:color w:val="345988"/>
        </w:rPr>
      </w:pPr>
      <w:r>
        <w:rPr>
          <w:rFonts w:ascii="Arial" w:cs="Arial" w:eastAsia="Arial" w:hAnsi="Arial"/>
          <w:sz w:val="18"/>
          <w:szCs w:val="18"/>
          <w:color w:val="auto"/>
        </w:rPr>
        <w:t>Executive</w:t>
      </w:r>
      <w:r>
        <w:rPr>
          <w:rFonts w:ascii="Arial" w:cs="Arial" w:eastAsia="Arial" w:hAnsi="Arial"/>
          <w:sz w:val="17"/>
          <w:szCs w:val="17"/>
          <w:color w:val="345988"/>
        </w:rPr>
        <w:t xml:space="preserve">●  </w:t>
      </w:r>
      <w:r>
        <w:rPr>
          <w:rFonts w:ascii="Arial" w:cs="Arial" w:eastAsia="Arial" w:hAnsi="Arial"/>
          <w:sz w:val="17"/>
          <w:szCs w:val="17"/>
          <w:color w:val="000000"/>
        </w:rPr>
        <w:t>Xenia Hotels and Resorts, Inc. since 2015</w:t>
      </w:r>
    </w:p>
    <w:p>
      <w:pPr>
        <w:spacing w:after="0" w:line="9"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1120" w:type="dxa"/>
            <w:vAlign w:val="bottom"/>
          </w:tcPr>
          <w:p>
            <w:pPr>
              <w:spacing w:after="0"/>
              <w:rPr>
                <w:sz w:val="20"/>
                <w:szCs w:val="20"/>
                <w:color w:val="auto"/>
              </w:rPr>
            </w:pPr>
            <w:r>
              <w:rPr>
                <w:rFonts w:ascii="Arial" w:cs="Arial" w:eastAsia="Arial" w:hAnsi="Arial"/>
                <w:sz w:val="18"/>
                <w:szCs w:val="18"/>
                <w:color w:val="auto"/>
              </w:rPr>
              <w:t>Committee</w:t>
            </w:r>
          </w:p>
        </w:tc>
        <w:tc>
          <w:tcPr>
            <w:tcW w:w="440" w:type="dxa"/>
            <w:vAlign w:val="bottom"/>
            <w:vMerge w:val="restart"/>
          </w:tcPr>
          <w:p>
            <w:pPr>
              <w:ind w:left="260"/>
              <w:spacing w:after="0"/>
              <w:rPr>
                <w:sz w:val="20"/>
                <w:szCs w:val="20"/>
                <w:color w:val="auto"/>
              </w:rPr>
            </w:pPr>
            <w:r>
              <w:rPr>
                <w:rFonts w:ascii="Arial" w:cs="Arial" w:eastAsia="Arial" w:hAnsi="Arial"/>
                <w:sz w:val="17"/>
                <w:szCs w:val="17"/>
                <w:color w:val="345988"/>
              </w:rPr>
              <w:t>●</w:t>
            </w:r>
          </w:p>
        </w:tc>
        <w:tc>
          <w:tcPr>
            <w:tcW w:w="2820" w:type="dxa"/>
            <w:vAlign w:val="bottom"/>
            <w:vMerge w:val="restart"/>
          </w:tcPr>
          <w:p>
            <w:pPr>
              <w:ind w:left="60"/>
              <w:spacing w:after="0"/>
              <w:rPr>
                <w:sz w:val="20"/>
                <w:szCs w:val="20"/>
                <w:color w:val="auto"/>
              </w:rPr>
            </w:pPr>
            <w:r>
              <w:rPr>
                <w:rFonts w:ascii="Arial" w:cs="Arial" w:eastAsia="Arial" w:hAnsi="Arial"/>
                <w:sz w:val="18"/>
                <w:szCs w:val="18"/>
                <w:color w:val="auto"/>
                <w:w w:val="96"/>
              </w:rPr>
              <w:t>The Macerich Company since 2015</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345988"/>
        </w:rPr>
        <w:t>Edwin 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345988"/>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805815" cy="1174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5815" cy="1174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805815" cy="1174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581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76 Independent Director</w:t>
      </w:r>
    </w:p>
    <w:p>
      <w:pPr>
        <w:spacing w:after="0" w:line="34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00" w:lineRule="exact"/>
        <w:rPr>
          <w:sz w:val="20"/>
          <w:szCs w:val="20"/>
          <w:color w:val="auto"/>
        </w:rPr>
      </w:pPr>
    </w:p>
    <w:p>
      <w:pPr>
        <w:sectPr>
          <w:pgSz w:w="11900" w:h="16838" w:orient="portrait"/>
          <w:cols w:equalWidth="0" w:num="2">
            <w:col w:w="1140" w:space="240"/>
            <w:col w:w="9980"/>
          </w:cols>
          <w:pgMar w:left="240" w:top="12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b w:val="1"/>
          <w:bCs w:val="1"/>
          <w:color w:val="auto"/>
        </w:rPr>
        <w:t>SL Green Board Service:</w:t>
      </w:r>
    </w:p>
    <w:p>
      <w:pPr>
        <w:spacing w:after="0" w:line="140" w:lineRule="exact"/>
        <w:rPr>
          <w:sz w:val="20"/>
          <w:szCs w:val="20"/>
          <w:color w:val="auto"/>
        </w:rPr>
      </w:pPr>
    </w:p>
    <w:p>
      <w:pPr>
        <w:ind w:left="280" w:right="200" w:hanging="263"/>
        <w:spacing w:after="0" w:line="290" w:lineRule="auto"/>
        <w:tabs>
          <w:tab w:leader="none" w:pos="257" w:val="left"/>
        </w:tabs>
        <w:numPr>
          <w:ilvl w:val="0"/>
          <w:numId w:val="22"/>
        </w:numPr>
        <w:rPr>
          <w:rFonts w:ascii="Arial" w:cs="Arial" w:eastAsia="Arial" w:hAnsi="Arial"/>
          <w:sz w:val="16"/>
          <w:szCs w:val="16"/>
          <w:color w:val="345988"/>
        </w:rPr>
      </w:pPr>
      <w:r>
        <w:rPr>
          <w:rFonts w:ascii="Arial" w:cs="Arial" w:eastAsia="Arial" w:hAnsi="Arial"/>
          <w:sz w:val="16"/>
          <w:szCs w:val="16"/>
          <w:color w:val="auto"/>
        </w:rPr>
        <w:t>Audit Committee, Chair</w:t>
      </w:r>
    </w:p>
    <w:p>
      <w:pPr>
        <w:spacing w:after="0" w:line="62" w:lineRule="exact"/>
        <w:rPr>
          <w:rFonts w:ascii="Arial" w:cs="Arial" w:eastAsia="Arial" w:hAnsi="Arial"/>
          <w:sz w:val="16"/>
          <w:szCs w:val="16"/>
          <w:color w:val="345988"/>
        </w:rPr>
      </w:pPr>
    </w:p>
    <w:p>
      <w:pPr>
        <w:ind w:left="280" w:hanging="263"/>
        <w:spacing w:after="0" w:line="316" w:lineRule="auto"/>
        <w:tabs>
          <w:tab w:leader="none" w:pos="257" w:val="left"/>
        </w:tabs>
        <w:numPr>
          <w:ilvl w:val="0"/>
          <w:numId w:val="22"/>
        </w:numPr>
        <w:rPr>
          <w:rFonts w:ascii="Arial" w:cs="Arial" w:eastAsia="Arial" w:hAnsi="Arial"/>
          <w:sz w:val="16"/>
          <w:szCs w:val="16"/>
          <w:color w:val="345988"/>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55" w:right="680" w:hanging="255"/>
        <w:spacing w:after="0" w:line="239" w:lineRule="auto"/>
        <w:tabs>
          <w:tab w:leader="none" w:pos="232"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Professor of Economics at the University of Virginia since 1988; has held teaching positions at York College, Rice University and Cornell University, and has written and lectured extensively in the field of Economics</w:t>
      </w:r>
    </w:p>
    <w:p>
      <w:pPr>
        <w:spacing w:after="0" w:line="100" w:lineRule="exact"/>
        <w:rPr>
          <w:rFonts w:ascii="Arial" w:cs="Arial" w:eastAsia="Arial" w:hAnsi="Arial"/>
          <w:sz w:val="17"/>
          <w:szCs w:val="17"/>
          <w:color w:val="345988"/>
        </w:rPr>
      </w:pPr>
    </w:p>
    <w:p>
      <w:pPr>
        <w:ind w:left="235" w:hanging="235"/>
        <w:spacing w:after="0"/>
        <w:tabs>
          <w:tab w:leader="none" w:pos="235"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Consultant to numerous companies on investment strategy and investment banking</w:t>
      </w:r>
    </w:p>
    <w:p>
      <w:pPr>
        <w:spacing w:after="0" w:line="103" w:lineRule="exact"/>
        <w:rPr>
          <w:rFonts w:ascii="Arial" w:cs="Arial" w:eastAsia="Arial" w:hAnsi="Arial"/>
          <w:sz w:val="17"/>
          <w:szCs w:val="17"/>
          <w:color w:val="345988"/>
        </w:rPr>
      </w:pPr>
    </w:p>
    <w:p>
      <w:pPr>
        <w:jc w:val="both"/>
        <w:ind w:left="255" w:right="80" w:hanging="255"/>
        <w:spacing w:after="0" w:line="299" w:lineRule="auto"/>
        <w:tabs>
          <w:tab w:leader="none" w:pos="232" w:val="left"/>
        </w:tabs>
        <w:numPr>
          <w:ilvl w:val="0"/>
          <w:numId w:val="23"/>
        </w:numPr>
        <w:rPr>
          <w:rFonts w:ascii="Arial" w:cs="Arial" w:eastAsia="Arial" w:hAnsi="Arial"/>
          <w:sz w:val="16"/>
          <w:szCs w:val="16"/>
          <w:color w:val="345988"/>
        </w:rPr>
      </w:pPr>
      <w:r>
        <w:rPr>
          <w:rFonts w:ascii="Arial" w:cs="Arial" w:eastAsia="Arial" w:hAnsi="Arial"/>
          <w:sz w:val="16"/>
          <w:szCs w:val="16"/>
          <w:color w:val="auto"/>
        </w:rPr>
        <w:t>Member of the Board of Trustees of the Virginia Retirement System for state and local employees of the Commonwealth of Virginia from 1994 to 2001 and then again from 2004 to 2014, and served as its Chairman from 1997 until March 2001</w:t>
      </w:r>
    </w:p>
    <w:p>
      <w:pPr>
        <w:spacing w:after="0" w:line="54" w:lineRule="exact"/>
        <w:rPr>
          <w:rFonts w:ascii="Arial" w:cs="Arial" w:eastAsia="Arial" w:hAnsi="Arial"/>
          <w:sz w:val="16"/>
          <w:szCs w:val="16"/>
          <w:color w:val="345988"/>
        </w:rPr>
      </w:pPr>
    </w:p>
    <w:p>
      <w:pPr>
        <w:ind w:left="255" w:right="200" w:hanging="255"/>
        <w:spacing w:after="0" w:line="239" w:lineRule="auto"/>
        <w:tabs>
          <w:tab w:leader="none" w:pos="232"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Senior Vice President, Managing Director and director of Interstate Johnson Lane, Incorporated, an investment banking firm, where he was in charge of the Corporate Finance and Public Finance Divisions from 1994 to 1995</w:t>
      </w:r>
    </w:p>
    <w:p>
      <w:pPr>
        <w:spacing w:after="0" w:line="100" w:lineRule="exact"/>
        <w:rPr>
          <w:rFonts w:ascii="Arial" w:cs="Arial" w:eastAsia="Arial" w:hAnsi="Arial"/>
          <w:sz w:val="17"/>
          <w:szCs w:val="17"/>
          <w:color w:val="345988"/>
        </w:rPr>
      </w:pPr>
    </w:p>
    <w:p>
      <w:pPr>
        <w:ind w:left="255" w:hanging="255"/>
        <w:spacing w:after="0" w:line="238" w:lineRule="auto"/>
        <w:tabs>
          <w:tab w:leader="none" w:pos="232"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spacing w:after="0" w:line="99" w:lineRule="exact"/>
        <w:rPr>
          <w:rFonts w:ascii="Arial" w:cs="Arial" w:eastAsia="Arial" w:hAnsi="Arial"/>
          <w:sz w:val="17"/>
          <w:szCs w:val="17"/>
          <w:color w:val="345988"/>
        </w:rPr>
      </w:pPr>
    </w:p>
    <w:p>
      <w:pPr>
        <w:ind w:left="235" w:hanging="235"/>
        <w:spacing w:after="0"/>
        <w:tabs>
          <w:tab w:leader="none" w:pos="235"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Consultant to the American Stock Exchange from 1985 to 1986</w:t>
      </w:r>
    </w:p>
    <w:p>
      <w:pPr>
        <w:spacing w:after="0" w:line="103" w:lineRule="exact"/>
        <w:rPr>
          <w:rFonts w:ascii="Arial" w:cs="Arial" w:eastAsia="Arial" w:hAnsi="Arial"/>
          <w:sz w:val="17"/>
          <w:szCs w:val="17"/>
          <w:color w:val="345988"/>
        </w:rPr>
      </w:pPr>
    </w:p>
    <w:p>
      <w:pPr>
        <w:ind w:left="235" w:hanging="235"/>
        <w:spacing w:after="0"/>
        <w:tabs>
          <w:tab w:leader="none" w:pos="235"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Senior vice president with Smith Barney (or its corporate predecessor) from 1976 to 1984</w:t>
      </w:r>
    </w:p>
    <w:p>
      <w:pPr>
        <w:spacing w:after="0" w:line="103" w:lineRule="exact"/>
        <w:rPr>
          <w:rFonts w:ascii="Arial" w:cs="Arial" w:eastAsia="Arial" w:hAnsi="Arial"/>
          <w:sz w:val="17"/>
          <w:szCs w:val="17"/>
          <w:color w:val="345988"/>
        </w:rPr>
      </w:pPr>
    </w:p>
    <w:p>
      <w:pPr>
        <w:ind w:left="235" w:hanging="235"/>
        <w:spacing w:after="0"/>
        <w:tabs>
          <w:tab w:leader="none" w:pos="235"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Member of the Board of Directors of Chase Investors, a privately-held registered investment advisor, since 2004</w:t>
      </w:r>
    </w:p>
    <w:p>
      <w:pPr>
        <w:spacing w:after="0" w:line="103" w:lineRule="exact"/>
        <w:rPr>
          <w:rFonts w:ascii="Arial" w:cs="Arial" w:eastAsia="Arial" w:hAnsi="Arial"/>
          <w:sz w:val="17"/>
          <w:szCs w:val="17"/>
          <w:color w:val="345988"/>
        </w:rPr>
      </w:pPr>
    </w:p>
    <w:p>
      <w:pPr>
        <w:ind w:left="255" w:right="200" w:hanging="255"/>
        <w:spacing w:after="0" w:line="239" w:lineRule="auto"/>
        <w:tabs>
          <w:tab w:leader="none" w:pos="232"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Former member of the Board of Directors of Capstar Hotel Company, a publicly-traded hotel company, Virginia National Bank, a publicly-traded commercial bank, and SNL Securities, a private securities data company</w:t>
      </w:r>
    </w:p>
    <w:p>
      <w:pPr>
        <w:spacing w:after="0" w:line="100" w:lineRule="exact"/>
        <w:rPr>
          <w:rFonts w:ascii="Arial" w:cs="Arial" w:eastAsia="Arial" w:hAnsi="Arial"/>
          <w:sz w:val="17"/>
          <w:szCs w:val="17"/>
          <w:color w:val="345988"/>
        </w:rPr>
      </w:pPr>
    </w:p>
    <w:p>
      <w:pPr>
        <w:ind w:left="235" w:hanging="235"/>
        <w:spacing w:after="0"/>
        <w:tabs>
          <w:tab w:leader="none" w:pos="235" w:val="left"/>
        </w:tabs>
        <w:numPr>
          <w:ilvl w:val="0"/>
          <w:numId w:val="23"/>
        </w:numPr>
        <w:rPr>
          <w:rFonts w:ascii="Arial" w:cs="Arial" w:eastAsia="Arial" w:hAnsi="Arial"/>
          <w:sz w:val="17"/>
          <w:szCs w:val="17"/>
          <w:color w:val="345988"/>
        </w:rPr>
      </w:pPr>
      <w:r>
        <w:rPr>
          <w:rFonts w:ascii="Arial" w:cs="Arial" w:eastAsia="Arial" w:hAnsi="Arial"/>
          <w:sz w:val="18"/>
          <w:szCs w:val="18"/>
          <w:color w:val="auto"/>
        </w:rPr>
        <w:t>B.A. degree in Economics from Rice University and Ph.D. degree in Economics from Northwestern University</w:t>
      </w:r>
    </w:p>
    <w:p>
      <w:pPr>
        <w:spacing w:after="0" w:line="190" w:lineRule="exact"/>
        <w:rPr>
          <w:sz w:val="20"/>
          <w:szCs w:val="20"/>
          <w:color w:val="auto"/>
        </w:rPr>
      </w:pPr>
    </w:p>
    <w:p>
      <w:pPr>
        <w:sectPr>
          <w:pgSz w:w="11900" w:h="16838" w:orient="portrait"/>
          <w:cols w:equalWidth="0" w:num="2">
            <w:col w:w="1380" w:space="285"/>
            <w:col w:w="9695"/>
          </w:cols>
          <w:pgMar w:left="240" w:top="121" w:right="299" w:bottom="1440" w:gutter="0" w:footer="0" w:header="0"/>
          <w:type w:val="continuous"/>
        </w:sectPr>
      </w:pPr>
    </w:p>
    <w:p>
      <w:pPr>
        <w:jc w:val="right"/>
        <w:ind w:right="7200"/>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1900" w:hanging="235"/>
        <w:spacing w:after="0"/>
        <w:tabs>
          <w:tab w:leader="none" w:pos="1900" w:val="left"/>
        </w:tabs>
        <w:numPr>
          <w:ilvl w:val="0"/>
          <w:numId w:val="24"/>
        </w:numPr>
        <w:rPr>
          <w:rFonts w:ascii="Arial" w:cs="Arial" w:eastAsia="Arial" w:hAnsi="Arial"/>
          <w:sz w:val="17"/>
          <w:szCs w:val="17"/>
          <w:color w:val="345988"/>
        </w:rPr>
      </w:pPr>
      <w:r>
        <w:rPr>
          <w:rFonts w:ascii="Arial" w:cs="Arial" w:eastAsia="Arial" w:hAnsi="Arial"/>
          <w:sz w:val="18"/>
          <w:szCs w:val="18"/>
          <w:color w:val="auto"/>
        </w:rPr>
        <w:t>None</w:t>
      </w:r>
    </w:p>
    <w:p>
      <w:pPr>
        <w:spacing w:after="0" w:line="211" w:lineRule="exact"/>
        <w:rPr>
          <w:rFonts w:ascii="Arial" w:cs="Arial" w:eastAsia="Arial" w:hAnsi="Arial"/>
          <w:sz w:val="17"/>
          <w:szCs w:val="17"/>
          <w:color w:val="345988"/>
        </w:rPr>
      </w:pPr>
    </w:p>
    <w:p>
      <w:pPr>
        <w:spacing w:after="0"/>
        <w:rPr>
          <w:rFonts w:ascii="Arial" w:cs="Arial" w:eastAsia="Arial" w:hAnsi="Arial"/>
          <w:sz w:val="17"/>
          <w:szCs w:val="17"/>
          <w:color w:val="345988"/>
        </w:rPr>
      </w:pPr>
      <w:r>
        <w:rPr>
          <w:rFonts w:ascii="Arial" w:cs="Arial" w:eastAsia="Arial" w:hAnsi="Arial"/>
          <w:sz w:val="18"/>
          <w:szCs w:val="18"/>
          <w:color w:val="345988"/>
        </w:rPr>
        <w:t xml:space="preserve">10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8"/>
              </w:rPr>
              <w:t>Lauren B.</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2016</w:t>
            </w:r>
            <w:r>
              <w:rPr>
                <w:rFonts w:ascii="Arial" w:cs="Arial" w:eastAsia="Arial" w:hAnsi="Arial"/>
                <w:sz w:val="18"/>
                <w:szCs w:val="18"/>
                <w:color w:val="auto"/>
              </w:rPr>
              <w:t xml:space="preserve"> Age: </w:t>
            </w:r>
            <w:r>
              <w:rPr>
                <w:rFonts w:ascii="Arial" w:cs="Arial" w:eastAsia="Arial" w:hAnsi="Arial"/>
                <w:sz w:val="18"/>
                <w:szCs w:val="18"/>
                <w:b w:val="1"/>
                <w:bCs w:val="1"/>
                <w:color w:val="auto"/>
              </w:rPr>
              <w:t>43 Independent Director</w:t>
            </w:r>
          </w:p>
        </w:tc>
        <w:tc>
          <w:tcPr>
            <w:tcW w:w="0" w:type="dxa"/>
            <w:vAlign w:val="bottom"/>
          </w:tcPr>
          <w:p>
            <w:pPr>
              <w:spacing w:after="0"/>
              <w:rPr>
                <w:sz w:val="1"/>
                <w:szCs w:val="1"/>
                <w:color w:val="auto"/>
              </w:rPr>
            </w:pPr>
          </w:p>
        </w:tc>
      </w:tr>
      <w:tr>
        <w:trPr>
          <w:trHeight w:val="152"/>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9"/>
              </w:rPr>
              <w:t>Dillard</w:t>
            </w:r>
          </w:p>
        </w:tc>
        <w:tc>
          <w:tcPr>
            <w:tcW w:w="100" w:type="dxa"/>
            <w:vAlign w:val="bottom"/>
          </w:tcPr>
          <w:p>
            <w:pPr>
              <w:spacing w:after="0"/>
              <w:rPr>
                <w:sz w:val="13"/>
                <w:szCs w:val="13"/>
                <w:color w:val="auto"/>
              </w:rPr>
            </w:pPr>
          </w:p>
        </w:tc>
        <w:tc>
          <w:tcPr>
            <w:tcW w:w="10040" w:type="dxa"/>
            <w:vAlign w:val="bottom"/>
            <w:vMerge w:val="continue"/>
            <w:shd w:val="clear" w:color="auto" w:fill="ECEFF2"/>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28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10040" w:type="dxa"/>
            <w:vAlign w:val="bottom"/>
            <w:tcBorders>
              <w:bottom w:val="single" w:sz="8" w:color="ECEFF2"/>
            </w:tcBorders>
            <w:shd w:val="clear" w:color="auto" w:fill="ECEFF2"/>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Ms. Dillard’s sophisticated understanding of tax, real estate, investment programs, finance, compensation and corporate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governance, all viewed through the lens of over fifteen years of global private equity experience and together with her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considerable operational expertise, provides the Board and the Company with deep and practical insight on a broad range of</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41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805815" cy="1097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5815" cy="10979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b w:val="1"/>
          <w:bCs w:val="1"/>
          <w:color w:val="auto"/>
        </w:rPr>
        <w:t>SL Green Board Service:</w:t>
      </w:r>
    </w:p>
    <w:p>
      <w:pPr>
        <w:spacing w:after="0" w:line="140" w:lineRule="exact"/>
        <w:rPr>
          <w:sz w:val="20"/>
          <w:szCs w:val="20"/>
          <w:color w:val="auto"/>
        </w:rPr>
      </w:pPr>
    </w:p>
    <w:p>
      <w:pPr>
        <w:ind w:left="280" w:right="260" w:hanging="263"/>
        <w:spacing w:after="0" w:line="316" w:lineRule="auto"/>
        <w:tabs>
          <w:tab w:leader="none" w:pos="257" w:val="left"/>
        </w:tabs>
        <w:numPr>
          <w:ilvl w:val="0"/>
          <w:numId w:val="25"/>
        </w:numPr>
        <w:rPr>
          <w:rFonts w:ascii="Arial" w:cs="Arial" w:eastAsia="Arial" w:hAnsi="Arial"/>
          <w:sz w:val="16"/>
          <w:szCs w:val="16"/>
          <w:color w:val="345988"/>
        </w:rPr>
      </w:pPr>
      <w:r>
        <w:rPr>
          <w:rFonts w:ascii="Arial" w:cs="Arial" w:eastAsia="Arial" w:hAnsi="Arial"/>
          <w:sz w:val="16"/>
          <w:szCs w:val="16"/>
          <w:color w:val="auto"/>
        </w:rPr>
        <w:t>Audit Committee</w:t>
      </w:r>
    </w:p>
    <w:p>
      <w:pPr>
        <w:spacing w:after="0" w:line="42" w:lineRule="exact"/>
        <w:rPr>
          <w:rFonts w:ascii="Arial" w:cs="Arial" w:eastAsia="Arial" w:hAnsi="Arial"/>
          <w:sz w:val="16"/>
          <w:szCs w:val="16"/>
          <w:color w:val="345988"/>
        </w:rPr>
      </w:pPr>
    </w:p>
    <w:p>
      <w:pPr>
        <w:ind w:left="280" w:hanging="263"/>
        <w:spacing w:after="0" w:line="290" w:lineRule="auto"/>
        <w:tabs>
          <w:tab w:leader="none" w:pos="257" w:val="left"/>
        </w:tabs>
        <w:numPr>
          <w:ilvl w:val="0"/>
          <w:numId w:val="25"/>
        </w:numPr>
        <w:rPr>
          <w:rFonts w:ascii="Arial" w:cs="Arial" w:eastAsia="Arial" w:hAnsi="Arial"/>
          <w:sz w:val="16"/>
          <w:szCs w:val="16"/>
          <w:color w:val="345988"/>
        </w:rPr>
      </w:pPr>
      <w:r>
        <w:rPr>
          <w:rFonts w:ascii="Arial" w:cs="Arial" w:eastAsia="Arial" w:hAnsi="Arial"/>
          <w:sz w:val="16"/>
          <w:szCs w:val="16"/>
          <w:color w:val="auto"/>
        </w:rPr>
        <w:t>Compensation Committee, Chair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55" w:right="380" w:hanging="255"/>
        <w:spacing w:after="0" w:line="299" w:lineRule="auto"/>
        <w:tabs>
          <w:tab w:leader="none" w:pos="232" w:val="left"/>
        </w:tabs>
        <w:numPr>
          <w:ilvl w:val="0"/>
          <w:numId w:val="26"/>
        </w:numPr>
        <w:rPr>
          <w:rFonts w:ascii="Arial" w:cs="Arial" w:eastAsia="Arial" w:hAnsi="Arial"/>
          <w:sz w:val="16"/>
          <w:szCs w:val="16"/>
          <w:color w:val="345988"/>
        </w:rPr>
      </w:pPr>
      <w:r>
        <w:rPr>
          <w:rFonts w:ascii="Arial" w:cs="Arial" w:eastAsia="Arial" w:hAnsi="Arial"/>
          <w:sz w:val="16"/>
          <w:szCs w:val="16"/>
          <w:color w:val="auto"/>
        </w:rPr>
        <w:t>Managing Director for the Carlyle Group, a global alternative asset manager, since 2011, head of Carlyle’s Investment Solutions Group since December 2015 and member of Carlyle’s Management Committee; joined Carlyle in 2002</w:t>
      </w:r>
    </w:p>
    <w:p>
      <w:pPr>
        <w:spacing w:after="0" w:line="54" w:lineRule="exact"/>
        <w:rPr>
          <w:rFonts w:ascii="Arial" w:cs="Arial" w:eastAsia="Arial" w:hAnsi="Arial"/>
          <w:sz w:val="16"/>
          <w:szCs w:val="16"/>
          <w:color w:val="345988"/>
        </w:rPr>
      </w:pPr>
    </w:p>
    <w:p>
      <w:pPr>
        <w:ind w:left="255" w:right="100" w:hanging="255"/>
        <w:spacing w:after="0" w:line="238" w:lineRule="auto"/>
        <w:tabs>
          <w:tab w:leader="none" w:pos="232"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spacing w:after="0" w:line="99" w:lineRule="exact"/>
        <w:rPr>
          <w:rFonts w:ascii="Arial" w:cs="Arial" w:eastAsia="Arial" w:hAnsi="Arial"/>
          <w:sz w:val="17"/>
          <w:szCs w:val="17"/>
          <w:color w:val="345988"/>
        </w:rPr>
      </w:pPr>
    </w:p>
    <w:p>
      <w:pPr>
        <w:ind w:left="235" w:hanging="235"/>
        <w:spacing w:after="0"/>
        <w:tabs>
          <w:tab w:leader="none" w:pos="235"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Served in the Real Estate and Financial Services Group of the Tax Practice of Arthur Andersen, LLP prior to 2002</w:t>
      </w:r>
    </w:p>
    <w:p>
      <w:pPr>
        <w:spacing w:after="0" w:line="103" w:lineRule="exact"/>
        <w:rPr>
          <w:rFonts w:ascii="Arial" w:cs="Arial" w:eastAsia="Arial" w:hAnsi="Arial"/>
          <w:sz w:val="17"/>
          <w:szCs w:val="17"/>
          <w:color w:val="345988"/>
        </w:rPr>
      </w:pPr>
    </w:p>
    <w:p>
      <w:pPr>
        <w:ind w:left="235" w:hanging="235"/>
        <w:spacing w:after="0"/>
        <w:tabs>
          <w:tab w:leader="none" w:pos="235"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Member of the Board of Directors of AlpInvest Partners.</w:t>
      </w:r>
    </w:p>
    <w:p>
      <w:pPr>
        <w:spacing w:after="0" w:line="103" w:lineRule="exact"/>
        <w:rPr>
          <w:rFonts w:ascii="Arial" w:cs="Arial" w:eastAsia="Arial" w:hAnsi="Arial"/>
          <w:sz w:val="17"/>
          <w:szCs w:val="17"/>
          <w:color w:val="345988"/>
        </w:rPr>
      </w:pPr>
    </w:p>
    <w:p>
      <w:pPr>
        <w:ind w:left="255" w:right="440" w:hanging="255"/>
        <w:spacing w:after="0" w:line="239" w:lineRule="auto"/>
        <w:tabs>
          <w:tab w:leader="none" w:pos="232"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Founder and leader of Carlyle’s Women’s Employee Resource Group, member of the Private Equity Women Investor Network (PEWIN) and other industry initiatives</w:t>
      </w:r>
    </w:p>
    <w:p>
      <w:pPr>
        <w:spacing w:after="0" w:line="100" w:lineRule="exact"/>
        <w:rPr>
          <w:rFonts w:ascii="Arial" w:cs="Arial" w:eastAsia="Arial" w:hAnsi="Arial"/>
          <w:sz w:val="17"/>
          <w:szCs w:val="17"/>
          <w:color w:val="345988"/>
        </w:rPr>
      </w:pPr>
    </w:p>
    <w:p>
      <w:pPr>
        <w:ind w:left="255" w:right="80" w:hanging="255"/>
        <w:spacing w:after="0" w:line="239" w:lineRule="auto"/>
        <w:tabs>
          <w:tab w:leader="none" w:pos="232"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Recipient of the prestigious One Carlyle Award in recognition of her contributions to and support of the firm’s collaborative culture</w:t>
      </w:r>
    </w:p>
    <w:p>
      <w:pPr>
        <w:spacing w:after="0" w:line="100" w:lineRule="exact"/>
        <w:rPr>
          <w:rFonts w:ascii="Arial" w:cs="Arial" w:eastAsia="Arial" w:hAnsi="Arial"/>
          <w:sz w:val="17"/>
          <w:szCs w:val="17"/>
          <w:color w:val="345988"/>
        </w:rPr>
      </w:pPr>
    </w:p>
    <w:p>
      <w:pPr>
        <w:ind w:left="235" w:hanging="235"/>
        <w:spacing w:after="0"/>
        <w:tabs>
          <w:tab w:leader="none" w:pos="235" w:val="left"/>
        </w:tabs>
        <w:numPr>
          <w:ilvl w:val="0"/>
          <w:numId w:val="26"/>
        </w:numPr>
        <w:rPr>
          <w:rFonts w:ascii="Arial" w:cs="Arial" w:eastAsia="Arial" w:hAnsi="Arial"/>
          <w:sz w:val="17"/>
          <w:szCs w:val="17"/>
          <w:color w:val="345988"/>
        </w:rPr>
      </w:pPr>
      <w:r>
        <w:rPr>
          <w:rFonts w:ascii="Arial" w:cs="Arial" w:eastAsia="Arial" w:hAnsi="Arial"/>
          <w:sz w:val="18"/>
          <w:szCs w:val="18"/>
          <w:color w:val="auto"/>
        </w:rPr>
        <w:t>B.S. in business administration from the University of Richmond</w:t>
      </w:r>
    </w:p>
    <w:p>
      <w:pPr>
        <w:spacing w:after="0" w:line="190" w:lineRule="exact"/>
        <w:rPr>
          <w:sz w:val="20"/>
          <w:szCs w:val="20"/>
          <w:color w:val="auto"/>
        </w:rPr>
      </w:pPr>
    </w:p>
    <w:p>
      <w:pPr>
        <w:sectPr>
          <w:pgSz w:w="11900" w:h="16838" w:orient="portrait"/>
          <w:cols w:equalWidth="0" w:num="2">
            <w:col w:w="1380" w:space="285"/>
            <w:col w:w="9755"/>
          </w:cols>
          <w:pgMar w:left="240" w:top="121" w:right="239" w:bottom="1440" w:gutter="0" w:footer="0" w:header="0"/>
          <w:type w:val="continuous"/>
        </w:sectPr>
      </w:pPr>
    </w:p>
    <w:p>
      <w:pPr>
        <w:ind w:left="1380"/>
        <w:spacing w:after="0"/>
        <w:rPr>
          <w:sz w:val="20"/>
          <w:szCs w:val="20"/>
          <w:color w:val="auto"/>
        </w:rPr>
      </w:pPr>
      <w:r>
        <w:rPr>
          <w:rFonts w:ascii="Arial" w:cs="Arial" w:eastAsia="Arial" w:hAnsi="Arial"/>
          <w:sz w:val="16"/>
          <w:szCs w:val="16"/>
          <w:b w:val="1"/>
          <w:bCs w:val="1"/>
          <w:color w:val="auto"/>
        </w:rPr>
        <w:t>Other Public Board Directorships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00"/>
        <w:spacing w:after="0"/>
        <w:rPr>
          <w:sz w:val="20"/>
          <w:szCs w:val="20"/>
          <w:color w:val="auto"/>
        </w:rPr>
      </w:pPr>
      <w:r>
        <w:rPr>
          <w:rFonts w:ascii="Arial" w:cs="Arial" w:eastAsia="Arial" w:hAnsi="Arial"/>
          <w:sz w:val="21"/>
          <w:szCs w:val="21"/>
          <w:b w:val="1"/>
          <w:bCs w:val="1"/>
          <w:color w:val="345988"/>
        </w:rPr>
        <w:t>Stephen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8058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5815" cy="17145"/>
                    </a:xfrm>
                    <a:prstGeom prst="rect">
                      <a:avLst/>
                    </a:prstGeom>
                    <a:noFill/>
                  </pic:spPr>
                </pic:pic>
              </a:graphicData>
            </a:graphic>
          </wp:anchor>
        </w:drawing>
      </w:r>
    </w:p>
    <w:p>
      <w:pPr>
        <w:spacing w:after="0" w:line="8"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345988"/>
        </w:rPr>
        <w:t>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74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581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440" w:hanging="235"/>
        <w:spacing w:after="0"/>
        <w:tabs>
          <w:tab w:leader="none" w:pos="440" w:val="left"/>
        </w:tabs>
        <w:numPr>
          <w:ilvl w:val="0"/>
          <w:numId w:val="27"/>
        </w:numPr>
        <w:rPr>
          <w:rFonts w:ascii="Arial" w:cs="Arial" w:eastAsia="Arial" w:hAnsi="Arial"/>
          <w:sz w:val="17"/>
          <w:szCs w:val="17"/>
          <w:color w:val="345988"/>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149860</wp:posOffset>
            </wp:positionV>
            <wp:extent cx="6371590" cy="420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71590" cy="4203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1997</w:t>
      </w:r>
      <w:r>
        <w:rPr>
          <w:rFonts w:ascii="Arial" w:cs="Arial" w:eastAsia="Arial" w:hAnsi="Arial"/>
          <w:sz w:val="16"/>
          <w:szCs w:val="16"/>
          <w:color w:val="auto"/>
        </w:rPr>
        <w:t xml:space="preserve"> Age: </w:t>
      </w:r>
      <w:r>
        <w:rPr>
          <w:rFonts w:ascii="Arial" w:cs="Arial" w:eastAsia="Arial" w:hAnsi="Arial"/>
          <w:sz w:val="16"/>
          <w:szCs w:val="16"/>
          <w:b w:val="1"/>
          <w:bCs w:val="1"/>
          <w:color w:val="auto"/>
        </w:rPr>
        <w:t>81 Director</w:t>
      </w:r>
    </w:p>
    <w:p>
      <w:pPr>
        <w:spacing w:after="0" w:line="364" w:lineRule="exact"/>
        <w:rPr>
          <w:sz w:val="20"/>
          <w:szCs w:val="20"/>
          <w:color w:val="auto"/>
        </w:rPr>
      </w:pPr>
    </w:p>
    <w:p>
      <w:pPr>
        <w:sectPr>
          <w:pgSz w:w="11900" w:h="16838" w:orient="portrait"/>
          <w:cols w:equalWidth="0" w:num="2">
            <w:col w:w="1200" w:space="260"/>
            <w:col w:w="996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SL Green Board Service:</w:t>
      </w:r>
    </w:p>
    <w:p>
      <w:pPr>
        <w:spacing w:after="0" w:line="140" w:lineRule="exact"/>
        <w:rPr>
          <w:sz w:val="20"/>
          <w:szCs w:val="20"/>
          <w:color w:val="auto"/>
        </w:rPr>
      </w:pPr>
    </w:p>
    <w:p>
      <w:pPr>
        <w:ind w:left="280" w:right="120" w:hanging="263"/>
        <w:spacing w:after="0" w:line="316" w:lineRule="auto"/>
        <w:tabs>
          <w:tab w:leader="none" w:pos="257" w:val="left"/>
        </w:tabs>
        <w:numPr>
          <w:ilvl w:val="0"/>
          <w:numId w:val="28"/>
        </w:numPr>
        <w:rPr>
          <w:rFonts w:ascii="Arial" w:cs="Arial" w:eastAsia="Arial" w:hAnsi="Arial"/>
          <w:sz w:val="16"/>
          <w:szCs w:val="16"/>
          <w:color w:val="345988"/>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ind w:right="180"/>
        <w:spacing w:after="0" w:line="237" w:lineRule="auto"/>
        <w:rPr>
          <w:sz w:val="20"/>
          <w:szCs w:val="20"/>
          <w:color w:val="auto"/>
        </w:rPr>
      </w:pPr>
      <w:r>
        <w:rPr>
          <w:rFonts w:ascii="Arial" w:cs="Arial" w:eastAsia="Arial" w:hAnsi="Arial"/>
          <w:sz w:val="18"/>
          <w:szCs w:val="18"/>
          <w:color w:val="auto"/>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Chairman Emeritus at the Company since January 2019</w:t>
      </w:r>
    </w:p>
    <w:p>
      <w:pPr>
        <w:spacing w:after="0" w:line="103" w:lineRule="exact"/>
        <w:rPr>
          <w:rFonts w:ascii="Arial" w:cs="Arial" w:eastAsia="Arial" w:hAnsi="Arial"/>
          <w:sz w:val="17"/>
          <w:szCs w:val="17"/>
          <w:color w:val="345988"/>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Chairman of the Board of the Company from 1997 through January 2019</w:t>
      </w:r>
    </w:p>
    <w:p>
      <w:pPr>
        <w:spacing w:after="0" w:line="103" w:lineRule="exact"/>
        <w:rPr>
          <w:rFonts w:ascii="Arial" w:cs="Arial" w:eastAsia="Arial" w:hAnsi="Arial"/>
          <w:sz w:val="17"/>
          <w:szCs w:val="17"/>
          <w:color w:val="345988"/>
        </w:rPr>
      </w:pPr>
    </w:p>
    <w:p>
      <w:pPr>
        <w:ind w:left="540" w:right="100" w:hanging="255"/>
        <w:spacing w:after="0" w:line="239"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Former executive officer working in conjunction with our Chief Executive Officer and overseeing the Company’s long-term strategic direction; formerly served as our Chief Executive Officer</w:t>
      </w:r>
    </w:p>
    <w:p>
      <w:pPr>
        <w:spacing w:after="0" w:line="100" w:lineRule="exact"/>
        <w:rPr>
          <w:rFonts w:ascii="Arial" w:cs="Arial" w:eastAsia="Arial" w:hAnsi="Arial"/>
          <w:sz w:val="17"/>
          <w:szCs w:val="17"/>
          <w:color w:val="345988"/>
        </w:rPr>
      </w:pPr>
    </w:p>
    <w:p>
      <w:pPr>
        <w:ind w:left="540" w:right="260" w:hanging="255"/>
        <w:spacing w:after="0" w:line="239"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Founded our predecessor, S.L. Green Properties, Inc., in 1980; prior to our initial public offering in 1997, Mr. Green was involved in the acquisition of over 50 Manhattan office buildings containing in excess of 10.0 million square feet</w:t>
      </w:r>
    </w:p>
    <w:p>
      <w:pPr>
        <w:spacing w:after="0" w:line="100" w:lineRule="exact"/>
        <w:rPr>
          <w:rFonts w:ascii="Arial" w:cs="Arial" w:eastAsia="Arial" w:hAnsi="Arial"/>
          <w:sz w:val="17"/>
          <w:szCs w:val="17"/>
          <w:color w:val="345988"/>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Chairman of the Board of Gramercy Capital Corp. from August 2004 to June 2009</w:t>
      </w:r>
    </w:p>
    <w:p>
      <w:pPr>
        <w:spacing w:after="0" w:line="103" w:lineRule="exact"/>
        <w:rPr>
          <w:rFonts w:ascii="Arial" w:cs="Arial" w:eastAsia="Arial" w:hAnsi="Arial"/>
          <w:sz w:val="17"/>
          <w:szCs w:val="17"/>
          <w:color w:val="345988"/>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At-large member of the Executive Committee of the Board of Governors of the Real Estate Board of New York</w:t>
      </w:r>
    </w:p>
    <w:p>
      <w:pPr>
        <w:spacing w:after="0" w:line="103" w:lineRule="exact"/>
        <w:rPr>
          <w:rFonts w:ascii="Arial" w:cs="Arial" w:eastAsia="Arial" w:hAnsi="Arial"/>
          <w:sz w:val="17"/>
          <w:szCs w:val="17"/>
          <w:color w:val="345988"/>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Member of the Board of Directors of Streetsquash, Inc., a Section 501(c)(3) tax-exempt organization</w:t>
      </w:r>
    </w:p>
    <w:p>
      <w:pPr>
        <w:spacing w:after="0" w:line="103" w:lineRule="exact"/>
        <w:rPr>
          <w:rFonts w:ascii="Arial" w:cs="Arial" w:eastAsia="Arial" w:hAnsi="Arial"/>
          <w:sz w:val="17"/>
          <w:szCs w:val="17"/>
          <w:color w:val="345988"/>
        </w:rPr>
      </w:pPr>
    </w:p>
    <w:p>
      <w:pPr>
        <w:ind w:left="540" w:right="20" w:hanging="255"/>
        <w:spacing w:after="0" w:line="239" w:lineRule="auto"/>
        <w:tabs>
          <w:tab w:leader="none" w:pos="517"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Previously member of the Board of Directors of Stemedica Cell Technologies, Inc., August 2007 to April 2009; Chairman of the Real Estate Board of New York’s Tax Committee</w:t>
      </w:r>
    </w:p>
    <w:p>
      <w:pPr>
        <w:spacing w:after="0" w:line="100" w:lineRule="exact"/>
        <w:rPr>
          <w:rFonts w:ascii="Arial" w:cs="Arial" w:eastAsia="Arial" w:hAnsi="Arial"/>
          <w:sz w:val="17"/>
          <w:szCs w:val="17"/>
          <w:color w:val="345988"/>
        </w:rPr>
      </w:pPr>
    </w:p>
    <w:p>
      <w:pPr>
        <w:ind w:left="520" w:hanging="235"/>
        <w:spacing w:after="0"/>
        <w:tabs>
          <w:tab w:leader="none" w:pos="520" w:val="left"/>
        </w:tabs>
        <w:numPr>
          <w:ilvl w:val="0"/>
          <w:numId w:val="29"/>
        </w:numPr>
        <w:rPr>
          <w:rFonts w:ascii="Arial" w:cs="Arial" w:eastAsia="Arial" w:hAnsi="Arial"/>
          <w:sz w:val="17"/>
          <w:szCs w:val="17"/>
          <w:color w:val="345988"/>
        </w:rPr>
      </w:pPr>
      <w:r>
        <w:rPr>
          <w:rFonts w:ascii="Arial" w:cs="Arial" w:eastAsia="Arial" w:hAnsi="Arial"/>
          <w:sz w:val="18"/>
          <w:szCs w:val="18"/>
          <w:color w:val="auto"/>
        </w:rPr>
        <w:t>B.A. degree from Hartwick College and J.D. degree from Boston College Law School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35"/>
        <w:spacing w:after="0"/>
        <w:tabs>
          <w:tab w:leader="none" w:pos="520" w:val="left"/>
        </w:tabs>
        <w:numPr>
          <w:ilvl w:val="0"/>
          <w:numId w:val="30"/>
        </w:numPr>
        <w:rPr>
          <w:rFonts w:ascii="Arial" w:cs="Arial" w:eastAsia="Arial" w:hAnsi="Arial"/>
          <w:sz w:val="17"/>
          <w:szCs w:val="17"/>
          <w:color w:val="345988"/>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130175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1240" w:space="140"/>
            <w:col w:w="1004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w w:val="96"/>
              </w:rPr>
              <w:t>Craig M.</w:t>
            </w:r>
          </w:p>
        </w:tc>
        <w:tc>
          <w:tcPr>
            <w:tcW w:w="100" w:type="dxa"/>
            <w:vAlign w:val="bottom"/>
          </w:tcPr>
          <w:p>
            <w:pPr>
              <w:spacing w:after="0"/>
              <w:rPr>
                <w:sz w:val="24"/>
                <w:szCs w:val="24"/>
                <w:color w:val="auto"/>
              </w:rPr>
            </w:pPr>
          </w:p>
        </w:tc>
        <w:tc>
          <w:tcPr>
            <w:tcW w:w="1004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2011</w:t>
            </w:r>
            <w:r>
              <w:rPr>
                <w:rFonts w:ascii="Arial" w:cs="Arial" w:eastAsia="Arial" w:hAnsi="Arial"/>
                <w:sz w:val="18"/>
                <w:szCs w:val="18"/>
                <w:color w:val="auto"/>
              </w:rPr>
              <w:t xml:space="preserve"> Age: </w:t>
            </w:r>
            <w:r>
              <w:rPr>
                <w:rFonts w:ascii="Arial" w:cs="Arial" w:eastAsia="Arial" w:hAnsi="Arial"/>
                <w:sz w:val="18"/>
                <w:szCs w:val="18"/>
                <w:b w:val="1"/>
                <w:bCs w:val="1"/>
                <w:color w:val="auto"/>
              </w:rPr>
              <w:t>65 Independent Director</w:t>
            </w:r>
          </w:p>
        </w:tc>
        <w:tc>
          <w:tcPr>
            <w:tcW w:w="0" w:type="dxa"/>
            <w:vAlign w:val="bottom"/>
          </w:tcPr>
          <w:p>
            <w:pPr>
              <w:spacing w:after="0"/>
              <w:rPr>
                <w:sz w:val="1"/>
                <w:szCs w:val="1"/>
                <w:color w:val="auto"/>
              </w:rPr>
            </w:pPr>
          </w:p>
        </w:tc>
      </w:tr>
      <w:tr>
        <w:trPr>
          <w:trHeight w:val="152"/>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7"/>
              </w:rPr>
              <w:t>Hatkoff</w:t>
            </w:r>
          </w:p>
        </w:tc>
        <w:tc>
          <w:tcPr>
            <w:tcW w:w="100" w:type="dxa"/>
            <w:vAlign w:val="bottom"/>
          </w:tcPr>
          <w:p>
            <w:pPr>
              <w:spacing w:after="0"/>
              <w:rPr>
                <w:sz w:val="13"/>
                <w:szCs w:val="13"/>
                <w:color w:val="auto"/>
              </w:rPr>
            </w:pPr>
          </w:p>
        </w:tc>
        <w:tc>
          <w:tcPr>
            <w:tcW w:w="10040" w:type="dxa"/>
            <w:vAlign w:val="bottom"/>
            <w:vMerge w:val="continue"/>
            <w:shd w:val="clear" w:color="auto" w:fill="ECEFF2"/>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4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28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10040" w:type="dxa"/>
            <w:vAlign w:val="bottom"/>
            <w:tcBorders>
              <w:bottom w:val="single" w:sz="8" w:color="ECEFF2"/>
            </w:tcBorders>
            <w:shd w:val="clear" w:color="auto" w:fill="ECEFF2"/>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Mr. Hatkoff has in-depth expertise and knowledge of real estate, capital markets, finance, private investing, entrepreneurship and</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executive management through his work with Chemical Bank, Victor Capital Group and Capital Trust. As a result of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9"/>
              </w:rPr>
              <w:t>foregoing, Mr. Hatkoff provides a unique insight into the financial markets generally, valuation analysis, strategic planning, and</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8"/>
              </w:rPr>
              <w:t>unique financing structures and alternatives. He also possesses entrepreneurial, brand marketing, social media, technology and</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7"/>
              </w:rPr>
              <w:t>innovation, and senior leadership experience through his private investments and service on the Boards of numerous educational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w w:val="98"/>
              </w:rPr>
              <w:t>and charitable organizations. Mr. Hatkoff also has extensive Board and Board committee experience at other public companies,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including his prior service at Taubman Centers, Inc. and his long-standing service to Capital Trust, Inc., which enables him to</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provide significant insight as to governance and compliance-related matters particular to real estate companies.</w:t>
            </w:r>
          </w:p>
        </w:tc>
        <w:tc>
          <w:tcPr>
            <w:tcW w:w="0" w:type="dxa"/>
            <w:vAlign w:val="bottom"/>
          </w:tcPr>
          <w:p>
            <w:pPr>
              <w:spacing w:after="0"/>
              <w:rPr>
                <w:sz w:val="1"/>
                <w:szCs w:val="1"/>
                <w:color w:val="auto"/>
              </w:rPr>
            </w:pPr>
          </w:p>
        </w:tc>
      </w:tr>
      <w:tr>
        <w:trPr>
          <w:trHeight w:val="442"/>
        </w:trPr>
        <w:tc>
          <w:tcPr>
            <w:tcW w:w="1280" w:type="dxa"/>
            <w:vAlign w:val="bottom"/>
          </w:tcPr>
          <w:p>
            <w:pPr>
              <w:spacing w:after="0"/>
              <w:rPr>
                <w:sz w:val="20"/>
                <w:szCs w:val="20"/>
                <w:color w:val="auto"/>
              </w:rPr>
            </w:pPr>
            <w:r>
              <w:rPr>
                <w:rFonts w:ascii="Arial" w:cs="Arial" w:eastAsia="Arial" w:hAnsi="Arial"/>
                <w:sz w:val="18"/>
                <w:szCs w:val="18"/>
                <w:b w:val="1"/>
                <w:bCs w:val="1"/>
                <w:color w:val="auto"/>
              </w:rPr>
              <w:t>SL Green</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r>
        <w:trPr>
          <w:trHeight w:val="184"/>
        </w:trPr>
        <w:tc>
          <w:tcPr>
            <w:tcW w:w="12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7"/>
              </w:rPr>
              <w:t>Board Service:</w:t>
            </w:r>
          </w:p>
        </w:tc>
        <w:tc>
          <w:tcPr>
            <w:tcW w:w="10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-1433830</wp:posOffset>
            </wp:positionV>
            <wp:extent cx="805815" cy="1063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5815" cy="1063625"/>
                    </a:xfrm>
                    <a:prstGeom prst="rect">
                      <a:avLst/>
                    </a:prstGeom>
                    <a:noFill/>
                  </pic:spPr>
                </pic:pic>
              </a:graphicData>
            </a:graphic>
          </wp:anchor>
        </w:drawing>
      </w:r>
    </w:p>
    <w:p>
      <w:pPr>
        <w:ind w:left="1900" w:hanging="235"/>
        <w:spacing w:after="0" w:line="234" w:lineRule="auto"/>
        <w:tabs>
          <w:tab w:leader="none" w:pos="1900" w:val="left"/>
        </w:tabs>
        <w:numPr>
          <w:ilvl w:val="0"/>
          <w:numId w:val="31"/>
        </w:numPr>
        <w:rPr>
          <w:rFonts w:ascii="Arial" w:cs="Arial" w:eastAsia="Arial" w:hAnsi="Arial"/>
          <w:sz w:val="17"/>
          <w:szCs w:val="17"/>
          <w:color w:val="345988"/>
        </w:rPr>
      </w:pPr>
      <w:r>
        <w:rPr>
          <w:rFonts w:ascii="Arial" w:cs="Arial" w:eastAsia="Arial" w:hAnsi="Arial"/>
          <w:sz w:val="18"/>
          <w:szCs w:val="18"/>
          <w:color w:val="auto"/>
        </w:rPr>
        <w:t>Vice Chairman of Capital Trust, Inc., a real estate investment management company that was listed on the New York</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60" w:type="dxa"/>
            <w:vAlign w:val="bottom"/>
          </w:tcPr>
          <w:p>
            <w:pPr>
              <w:spacing w:after="0"/>
              <w:rPr>
                <w:sz w:val="20"/>
                <w:szCs w:val="20"/>
                <w:color w:val="auto"/>
              </w:rPr>
            </w:pPr>
            <w:r>
              <w:rPr>
                <w:rFonts w:ascii="Arial" w:cs="Arial" w:eastAsia="Arial" w:hAnsi="Arial"/>
                <w:sz w:val="17"/>
                <w:szCs w:val="17"/>
                <w:color w:val="345988"/>
              </w:rPr>
              <w:t>●</w:t>
            </w:r>
          </w:p>
        </w:tc>
        <w:tc>
          <w:tcPr>
            <w:tcW w:w="1360" w:type="dxa"/>
            <w:vAlign w:val="bottom"/>
          </w:tcPr>
          <w:p>
            <w:pPr>
              <w:ind w:left="80"/>
              <w:spacing w:after="0"/>
              <w:rPr>
                <w:sz w:val="20"/>
                <w:szCs w:val="20"/>
                <w:color w:val="auto"/>
              </w:rPr>
            </w:pPr>
            <w:r>
              <w:rPr>
                <w:rFonts w:ascii="Arial" w:cs="Arial" w:eastAsia="Arial" w:hAnsi="Arial"/>
                <w:sz w:val="18"/>
                <w:szCs w:val="18"/>
                <w:color w:val="auto"/>
              </w:rPr>
              <w:t>Audit</w:t>
            </w:r>
          </w:p>
        </w:tc>
        <w:tc>
          <w:tcPr>
            <w:tcW w:w="30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w w:val="98"/>
              </w:rPr>
              <w:t>Stock Exchange, and one of the largest dedicated real estate mezzanine lenders, from 1997 to 2000, and served on its</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Committee</w:t>
            </w:r>
          </w:p>
        </w:tc>
        <w:tc>
          <w:tcPr>
            <w:tcW w:w="30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Board of Directors from 1997 to 2010</w:t>
            </w:r>
          </w:p>
        </w:tc>
        <w:tc>
          <w:tcPr>
            <w:tcW w:w="0" w:type="dxa"/>
            <w:vAlign w:val="bottom"/>
          </w:tcPr>
          <w:p>
            <w:pPr>
              <w:spacing w:after="0"/>
              <w:rPr>
                <w:sz w:val="1"/>
                <w:szCs w:val="1"/>
                <w:color w:val="auto"/>
              </w:rPr>
            </w:pPr>
          </w:p>
        </w:tc>
      </w:tr>
      <w:tr>
        <w:trPr>
          <w:trHeight w:val="57"/>
        </w:trPr>
        <w:tc>
          <w:tcPr>
            <w:tcW w:w="1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60" w:type="dxa"/>
            <w:vAlign w:val="bottom"/>
            <w:vMerge w:val="restart"/>
          </w:tcPr>
          <w:p>
            <w:pPr>
              <w:spacing w:after="0"/>
              <w:rPr>
                <w:sz w:val="20"/>
                <w:szCs w:val="20"/>
                <w:color w:val="auto"/>
              </w:rPr>
            </w:pPr>
            <w:r>
              <w:rPr>
                <w:rFonts w:ascii="Arial" w:cs="Arial" w:eastAsia="Arial" w:hAnsi="Arial"/>
                <w:sz w:val="17"/>
                <w:szCs w:val="17"/>
                <w:color w:val="345988"/>
              </w:rPr>
              <w:t>●</w:t>
            </w: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rPr>
              <w:t>Nominating</w:t>
            </w:r>
          </w:p>
        </w:tc>
        <w:tc>
          <w:tcPr>
            <w:tcW w:w="9720" w:type="dxa"/>
            <w:vAlign w:val="bottom"/>
            <w:gridSpan w:val="2"/>
          </w:tcPr>
          <w:p>
            <w:pPr>
              <w:ind w:left="1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Trustee of the New York City School Construction Authority, the agency responsible for the construction of all public</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420" w:type="dxa"/>
            <w:vAlign w:val="bottom"/>
            <w:vMerge w:val="restart"/>
          </w:tcPr>
          <w:p>
            <w:pPr>
              <w:ind w:left="80"/>
              <w:spacing w:after="0"/>
              <w:rPr>
                <w:sz w:val="20"/>
                <w:szCs w:val="20"/>
                <w:color w:val="auto"/>
              </w:rPr>
            </w:pPr>
            <w:r>
              <w:rPr>
                <w:rFonts w:ascii="Arial" w:cs="Arial" w:eastAsia="Arial" w:hAnsi="Arial"/>
                <w:sz w:val="18"/>
                <w:szCs w:val="18"/>
                <w:color w:val="auto"/>
              </w:rPr>
              <w:t>schools in New York City, from 2002 to 2005</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and Corporate</w:t>
            </w:r>
          </w:p>
        </w:tc>
        <w:tc>
          <w:tcPr>
            <w:tcW w:w="300" w:type="dxa"/>
            <w:vAlign w:val="bottom"/>
          </w:tcPr>
          <w:p>
            <w:pPr>
              <w:spacing w:after="0"/>
              <w:rPr>
                <w:sz w:val="11"/>
                <w:szCs w:val="11"/>
                <w:color w:val="auto"/>
              </w:rPr>
            </w:pPr>
          </w:p>
        </w:tc>
        <w:tc>
          <w:tcPr>
            <w:tcW w:w="9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360" w:type="dxa"/>
            <w:vAlign w:val="bottom"/>
          </w:tcPr>
          <w:p>
            <w:pPr>
              <w:ind w:left="100"/>
              <w:spacing w:after="0" w:line="202" w:lineRule="exact"/>
              <w:rPr>
                <w:sz w:val="20"/>
                <w:szCs w:val="20"/>
                <w:color w:val="auto"/>
              </w:rPr>
            </w:pPr>
            <w:r>
              <w:rPr>
                <w:rFonts w:ascii="Arial" w:cs="Arial" w:eastAsia="Arial" w:hAnsi="Arial"/>
                <w:sz w:val="18"/>
                <w:szCs w:val="18"/>
                <w:color w:val="auto"/>
              </w:rPr>
              <w:t>Governance</w:t>
            </w:r>
          </w:p>
        </w:tc>
        <w:tc>
          <w:tcPr>
            <w:tcW w:w="300" w:type="dxa"/>
            <w:vAlign w:val="bottom"/>
          </w:tcPr>
          <w:p>
            <w:pPr>
              <w:ind w:left="120"/>
              <w:spacing w:after="0"/>
              <w:rPr>
                <w:sz w:val="20"/>
                <w:szCs w:val="20"/>
                <w:color w:val="auto"/>
              </w:rPr>
            </w:pPr>
            <w:r>
              <w:rPr>
                <w:rFonts w:ascii="Arial" w:cs="Arial" w:eastAsia="Arial" w:hAnsi="Arial"/>
                <w:sz w:val="17"/>
                <w:szCs w:val="17"/>
                <w:color w:val="345988"/>
              </w:rPr>
              <w:t>●</w:t>
            </w:r>
          </w:p>
        </w:tc>
        <w:tc>
          <w:tcPr>
            <w:tcW w:w="9420" w:type="dxa"/>
            <w:vAlign w:val="bottom"/>
          </w:tcPr>
          <w:p>
            <w:pPr>
              <w:ind w:left="60"/>
              <w:spacing w:after="0" w:line="202" w:lineRule="exact"/>
              <w:rPr>
                <w:sz w:val="20"/>
                <w:szCs w:val="20"/>
                <w:color w:val="auto"/>
              </w:rPr>
            </w:pPr>
            <w:r>
              <w:rPr>
                <w:rFonts w:ascii="Arial" w:cs="Arial" w:eastAsia="Arial" w:hAnsi="Arial"/>
                <w:sz w:val="18"/>
                <w:szCs w:val="18"/>
                <w:color w:val="auto"/>
                <w:w w:val="96"/>
              </w:rPr>
              <w:t>Founder and a managing partner of Victor Capital Group, L.P. from 1989 until its acquisition by Capital Trust, Inc. in 1997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360" w:type="dxa"/>
            <w:vAlign w:val="bottom"/>
          </w:tcPr>
          <w:p>
            <w:pPr>
              <w:ind w:left="100"/>
              <w:spacing w:after="0" w:line="202" w:lineRule="exact"/>
              <w:rPr>
                <w:sz w:val="20"/>
                <w:szCs w:val="20"/>
                <w:color w:val="auto"/>
              </w:rPr>
            </w:pPr>
            <w:r>
              <w:rPr>
                <w:rFonts w:ascii="Arial" w:cs="Arial" w:eastAsia="Arial" w:hAnsi="Arial"/>
                <w:sz w:val="18"/>
                <w:szCs w:val="18"/>
                <w:color w:val="auto"/>
              </w:rPr>
              <w:t>Committee,</w:t>
            </w:r>
          </w:p>
        </w:tc>
        <w:tc>
          <w:tcPr>
            <w:tcW w:w="300" w:type="dxa"/>
            <w:vAlign w:val="bottom"/>
            <w:vMerge w:val="restart"/>
          </w:tcPr>
          <w:p>
            <w:pPr>
              <w:ind w:left="120"/>
              <w:spacing w:after="0"/>
              <w:rPr>
                <w:sz w:val="20"/>
                <w:szCs w:val="20"/>
                <w:color w:val="auto"/>
              </w:rPr>
            </w:pPr>
            <w:r>
              <w:rPr>
                <w:rFonts w:ascii="Arial" w:cs="Arial" w:eastAsia="Arial" w:hAnsi="Arial"/>
                <w:sz w:val="17"/>
                <w:szCs w:val="17"/>
                <w:color w:val="345988"/>
              </w:rPr>
              <w:t>●</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Former co-head of the real estate investment banking unit at Chemical Bank, where he was a pioneer in commercial</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Chair</w:t>
            </w:r>
          </w:p>
        </w:tc>
        <w:tc>
          <w:tcPr>
            <w:tcW w:w="300" w:type="dxa"/>
            <w:vAlign w:val="bottom"/>
            <w:vMerge w:val="continue"/>
          </w:tcPr>
          <w:p>
            <w:pPr>
              <w:spacing w:after="0"/>
              <w:rPr>
                <w:sz w:val="11"/>
                <w:szCs w:val="11"/>
                <w:color w:val="auto"/>
              </w:rPr>
            </w:pPr>
          </w:p>
        </w:tc>
        <w:tc>
          <w:tcPr>
            <w:tcW w:w="9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420" w:type="dxa"/>
            <w:vAlign w:val="bottom"/>
            <w:vMerge w:val="restart"/>
          </w:tcPr>
          <w:p>
            <w:pPr>
              <w:ind w:left="80"/>
              <w:spacing w:after="0"/>
              <w:rPr>
                <w:sz w:val="20"/>
                <w:szCs w:val="20"/>
                <w:color w:val="auto"/>
              </w:rPr>
            </w:pPr>
            <w:r>
              <w:rPr>
                <w:rFonts w:ascii="Arial" w:cs="Arial" w:eastAsia="Arial" w:hAnsi="Arial"/>
                <w:sz w:val="18"/>
                <w:szCs w:val="18"/>
                <w:color w:val="auto"/>
              </w:rPr>
              <w:t>mortgage securitization</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920" w:right="80" w:hanging="255"/>
        <w:spacing w:after="0" w:line="239" w:lineRule="auto"/>
        <w:tabs>
          <w:tab w:leader="none" w:pos="1897"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Co-founder of the Tribeca Film Festival; Chairman of Turtle Pond Publications LLC, which is active in children’s publishing and entertainment, and private investor in other entrepreneurial ventures</w:t>
      </w:r>
    </w:p>
    <w:p>
      <w:pPr>
        <w:spacing w:after="0" w:line="100" w:lineRule="exact"/>
        <w:rPr>
          <w:rFonts w:ascii="Arial" w:cs="Arial" w:eastAsia="Arial" w:hAnsi="Arial"/>
          <w:sz w:val="17"/>
          <w:szCs w:val="17"/>
          <w:color w:val="345988"/>
        </w:rPr>
      </w:pPr>
    </w:p>
    <w:p>
      <w:pPr>
        <w:ind w:left="1900" w:hanging="235"/>
        <w:spacing w:after="0"/>
        <w:tabs>
          <w:tab w:leader="none" w:pos="1900" w:val="left"/>
        </w:tabs>
        <w:numPr>
          <w:ilvl w:val="0"/>
          <w:numId w:val="32"/>
        </w:numPr>
        <w:rPr>
          <w:rFonts w:ascii="Arial" w:cs="Arial" w:eastAsia="Arial" w:hAnsi="Arial"/>
          <w:sz w:val="17"/>
          <w:szCs w:val="17"/>
          <w:color w:val="345988"/>
        </w:rPr>
      </w:pPr>
      <w:r>
        <w:rPr>
          <w:rFonts w:ascii="Arial" w:cs="Arial" w:eastAsia="Arial" w:hAnsi="Arial"/>
          <w:sz w:val="18"/>
          <w:szCs w:val="18"/>
          <w:color w:val="auto"/>
        </w:rPr>
        <w:t>Adjunct Professor at Columbia Business School, where he teaches courses on entrepreneurship and innovation</w:t>
      </w:r>
    </w:p>
    <w:p>
      <w:pPr>
        <w:spacing w:after="0" w:line="1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Other Public Board Directorships</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Previous (during the past 5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100"/>
        <w:spacing w:after="0"/>
        <w:rPr>
          <w:sz w:val="20"/>
          <w:szCs w:val="20"/>
          <w:color w:val="auto"/>
        </w:rPr>
      </w:pPr>
      <w:r>
        <w:rPr>
          <w:rFonts w:ascii="Arial" w:cs="Arial" w:eastAsia="Arial" w:hAnsi="Arial"/>
          <w:sz w:val="21"/>
          <w:szCs w:val="21"/>
          <w:b w:val="1"/>
          <w:bCs w:val="1"/>
          <w:color w:val="345988"/>
        </w:rPr>
        <w:t>Andrew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8058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5815" cy="17145"/>
                    </a:xfrm>
                    <a:prstGeom prst="rect">
                      <a:avLst/>
                    </a:prstGeom>
                    <a:noFill/>
                  </pic:spPr>
                </pic:pic>
              </a:graphicData>
            </a:graphic>
          </wp:anchor>
        </w:drawing>
      </w:r>
    </w:p>
    <w:p>
      <w:pPr>
        <w:spacing w:after="0" w:line="8"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345988"/>
        </w:rPr>
        <w:t>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74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581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05" w:right="5600" w:firstLine="205"/>
        <w:spacing w:after="0" w:line="704" w:lineRule="auto"/>
        <w:tabs>
          <w:tab w:leader="none" w:pos="241" w:val="left"/>
        </w:tabs>
        <w:numPr>
          <w:ilvl w:val="0"/>
          <w:numId w:val="33"/>
        </w:numPr>
        <w:rPr>
          <w:rFonts w:ascii="Arial" w:cs="Arial" w:eastAsia="Arial" w:hAnsi="Arial"/>
          <w:sz w:val="17"/>
          <w:szCs w:val="17"/>
          <w:color w:val="345988"/>
        </w:rPr>
      </w:pPr>
      <w:r>
        <w:rPr>
          <w:rFonts w:ascii="Arial" w:cs="Arial" w:eastAsia="Arial" w:hAnsi="Arial"/>
          <w:sz w:val="18"/>
          <w:szCs w:val="18"/>
          <w:color w:val="auto"/>
        </w:rPr>
        <w:t xml:space="preserve">Taubman Centers, Inc. from 2004 to January 2019 Director Since: </w:t>
      </w:r>
      <w:r>
        <w:rPr>
          <w:rFonts w:ascii="Arial" w:cs="Arial" w:eastAsia="Arial" w:hAnsi="Arial"/>
          <w:sz w:val="18"/>
          <w:szCs w:val="18"/>
          <w:b w:val="1"/>
          <w:bCs w:val="1"/>
          <w:color w:val="auto"/>
        </w:rPr>
        <w:t>April 2014</w:t>
      </w:r>
      <w:r>
        <w:rPr>
          <w:rFonts w:ascii="Arial" w:cs="Arial" w:eastAsia="Arial" w:hAnsi="Arial"/>
          <w:sz w:val="18"/>
          <w:szCs w:val="18"/>
          <w:color w:val="auto"/>
        </w:rPr>
        <w:t xml:space="preserve"> Age: </w:t>
      </w:r>
      <w:r>
        <w:rPr>
          <w:rFonts w:ascii="Arial" w:cs="Arial" w:eastAsia="Arial" w:hAnsi="Arial"/>
          <w:sz w:val="18"/>
          <w:szCs w:val="18"/>
          <w:b w:val="1"/>
          <w:bCs w:val="1"/>
          <w:color w:val="auto"/>
        </w:rPr>
        <w:t>45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-489585</wp:posOffset>
            </wp:positionV>
            <wp:extent cx="6371590" cy="420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7159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200" w:space="465"/>
            <w:col w:w="9755"/>
          </w:cols>
          <w:pgMar w:left="240" w:top="121" w:right="239" w:bottom="1440" w:gutter="0" w:footer="0" w:header="0"/>
          <w:type w:val="continuous"/>
        </w:sectPr>
      </w:pPr>
    </w:p>
    <w:p>
      <w:pPr>
        <w:ind w:left="1380" w:right="240"/>
        <w:spacing w:after="0" w:line="237" w:lineRule="auto"/>
        <w:rPr>
          <w:sz w:val="20"/>
          <w:szCs w:val="20"/>
          <w:color w:val="auto"/>
        </w:rPr>
      </w:pPr>
      <w:r>
        <w:rPr>
          <w:rFonts w:ascii="Arial" w:cs="Arial" w:eastAsia="Arial" w:hAnsi="Arial"/>
          <w:sz w:val="18"/>
          <w:szCs w:val="18"/>
          <w:color w:val="auto"/>
        </w:rPr>
        <w:t>Mr. Mathias’ extensive experience in real estate, including commercial real estate investment, and in-depth knowledge of the New York City real estate market, as well as his role as President of the Company, provide him with valuable knowledge of our business and industry. Furthermore, Mr. Mathias’ presence on the Board facilitates communication between the Board and the Company’s senior management.</w:t>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President of the Company since 2007</w:t>
      </w:r>
    </w:p>
    <w:p>
      <w:pPr>
        <w:spacing w:after="0" w:line="103"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Joined the Company in March 1999 as Vice President and was promoted to Director of Investments in 2002</w:t>
      </w:r>
    </w:p>
    <w:p>
      <w:pPr>
        <w:spacing w:after="0" w:line="103"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Chief Investment Officer of the Company from January 2004 until January 2011</w:t>
      </w:r>
    </w:p>
    <w:p>
      <w:pPr>
        <w:spacing w:after="0" w:line="103"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Chief Investment Officer of Gramercy Capital Corp. from August 2004 to October 2008</w:t>
      </w:r>
    </w:p>
    <w:p>
      <w:pPr>
        <w:spacing w:after="0" w:line="103"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Worked at Capital Trust, Inc. and its predecessor, Victor Capital Group, L.P.</w:t>
      </w:r>
    </w:p>
    <w:p>
      <w:pPr>
        <w:spacing w:after="0" w:line="103"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Worked on the high yield and restructuring desk at Bear Stearns and Co.</w:t>
      </w:r>
    </w:p>
    <w:p>
      <w:pPr>
        <w:spacing w:after="0" w:line="103" w:lineRule="exact"/>
        <w:rPr>
          <w:rFonts w:ascii="Arial" w:cs="Arial" w:eastAsia="Arial" w:hAnsi="Arial"/>
          <w:sz w:val="17"/>
          <w:szCs w:val="17"/>
          <w:color w:val="345988"/>
        </w:rPr>
      </w:pPr>
    </w:p>
    <w:p>
      <w:pPr>
        <w:ind w:left="1920" w:right="100" w:hanging="255"/>
        <w:spacing w:after="0" w:line="239" w:lineRule="auto"/>
        <w:tabs>
          <w:tab w:leader="none" w:pos="1897"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Member of the Board of Directors for the Regional Plan Association, which works to improve the prosperity, infrastructure, sustainability and quality of life of the New York-New Jersey-Connecticut metropolitan region</w:t>
      </w:r>
    </w:p>
    <w:p>
      <w:pPr>
        <w:spacing w:after="0" w:line="100" w:lineRule="exact"/>
        <w:rPr>
          <w:rFonts w:ascii="Arial" w:cs="Arial" w:eastAsia="Arial" w:hAnsi="Arial"/>
          <w:sz w:val="17"/>
          <w:szCs w:val="17"/>
          <w:color w:val="345988"/>
        </w:rPr>
      </w:pPr>
    </w:p>
    <w:p>
      <w:pPr>
        <w:ind w:left="1900" w:hanging="235"/>
        <w:spacing w:after="0"/>
        <w:tabs>
          <w:tab w:leader="none" w:pos="1900" w:val="left"/>
        </w:tabs>
        <w:numPr>
          <w:ilvl w:val="0"/>
          <w:numId w:val="34"/>
        </w:numPr>
        <w:rPr>
          <w:rFonts w:ascii="Arial" w:cs="Arial" w:eastAsia="Arial" w:hAnsi="Arial"/>
          <w:sz w:val="17"/>
          <w:szCs w:val="17"/>
          <w:color w:val="345988"/>
        </w:rPr>
      </w:pPr>
      <w:r>
        <w:rPr>
          <w:rFonts w:ascii="Arial" w:cs="Arial" w:eastAsia="Arial" w:hAnsi="Arial"/>
          <w:sz w:val="18"/>
          <w:szCs w:val="18"/>
          <w:color w:val="auto"/>
        </w:rPr>
        <w:t>B.S. degree in Economics from the Wharton School at the University of Pennsylvania</w:t>
      </w:r>
    </w:p>
    <w:p>
      <w:pPr>
        <w:spacing w:after="0" w:line="1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1900" w:hanging="235"/>
        <w:spacing w:after="0"/>
        <w:tabs>
          <w:tab w:leader="none" w:pos="1900" w:val="left"/>
        </w:tabs>
        <w:numPr>
          <w:ilvl w:val="0"/>
          <w:numId w:val="35"/>
        </w:numPr>
        <w:rPr>
          <w:rFonts w:ascii="Arial" w:cs="Arial" w:eastAsia="Arial" w:hAnsi="Arial"/>
          <w:sz w:val="17"/>
          <w:szCs w:val="17"/>
          <w:color w:val="345988"/>
        </w:rPr>
      </w:pPr>
      <w:r>
        <w:rPr>
          <w:rFonts w:ascii="Arial" w:cs="Arial" w:eastAsia="Arial" w:hAnsi="Arial"/>
          <w:sz w:val="18"/>
          <w:szCs w:val="18"/>
          <w:color w:val="auto"/>
        </w:rPr>
        <w:t>None</w:t>
      </w:r>
    </w:p>
    <w:p>
      <w:pPr>
        <w:spacing w:after="0" w:line="211" w:lineRule="exact"/>
        <w:rPr>
          <w:rFonts w:ascii="Arial" w:cs="Arial" w:eastAsia="Arial" w:hAnsi="Arial"/>
          <w:sz w:val="17"/>
          <w:szCs w:val="17"/>
          <w:color w:val="345988"/>
        </w:rPr>
      </w:pPr>
    </w:p>
    <w:p>
      <w:pPr>
        <w:spacing w:after="0"/>
        <w:rPr>
          <w:rFonts w:ascii="Arial" w:cs="Arial" w:eastAsia="Arial" w:hAnsi="Arial"/>
          <w:sz w:val="17"/>
          <w:szCs w:val="17"/>
          <w:color w:val="345988"/>
        </w:rPr>
      </w:pPr>
      <w:r>
        <w:rPr>
          <w:rFonts w:ascii="Arial" w:cs="Arial" w:eastAsia="Arial" w:hAnsi="Arial"/>
          <w:sz w:val="18"/>
          <w:szCs w:val="18"/>
          <w:color w:val="345988"/>
        </w:rPr>
        <w:t xml:space="preserve">12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Continuing Directors—Terms Will Expire in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40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45988"/>
              </w:rPr>
              <w:t>Betsy</w:t>
            </w:r>
          </w:p>
        </w:tc>
        <w:tc>
          <w:tcPr>
            <w:tcW w:w="100" w:type="dxa"/>
            <w:vAlign w:val="bottom"/>
          </w:tcPr>
          <w:p>
            <w:pPr>
              <w:spacing w:after="0"/>
              <w:rPr>
                <w:sz w:val="24"/>
                <w:szCs w:val="24"/>
                <w:color w:val="auto"/>
              </w:rPr>
            </w:pPr>
          </w:p>
        </w:tc>
        <w:tc>
          <w:tcPr>
            <w:tcW w:w="992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2015</w:t>
            </w:r>
            <w:r>
              <w:rPr>
                <w:rFonts w:ascii="Arial" w:cs="Arial" w:eastAsia="Arial" w:hAnsi="Arial"/>
                <w:sz w:val="18"/>
                <w:szCs w:val="18"/>
                <w:color w:val="auto"/>
              </w:rPr>
              <w:t xml:space="preserve"> Age: </w:t>
            </w:r>
            <w:r>
              <w:rPr>
                <w:rFonts w:ascii="Arial" w:cs="Arial" w:eastAsia="Arial" w:hAnsi="Arial"/>
                <w:sz w:val="18"/>
                <w:szCs w:val="18"/>
                <w:b w:val="1"/>
                <w:bCs w:val="1"/>
                <w:color w:val="auto"/>
              </w:rPr>
              <w:t>65 Independent Director</w:t>
            </w:r>
          </w:p>
        </w:tc>
        <w:tc>
          <w:tcPr>
            <w:tcW w:w="0" w:type="dxa"/>
            <w:vAlign w:val="bottom"/>
          </w:tcPr>
          <w:p>
            <w:pPr>
              <w:spacing w:after="0"/>
              <w:rPr>
                <w:sz w:val="1"/>
                <w:szCs w:val="1"/>
                <w:color w:val="auto"/>
              </w:rPr>
            </w:pPr>
          </w:p>
        </w:tc>
      </w:tr>
      <w:tr>
        <w:trPr>
          <w:trHeight w:val="152"/>
        </w:trPr>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345988"/>
                <w:w w:val="98"/>
              </w:rPr>
              <w:t>Atkins</w:t>
            </w:r>
          </w:p>
        </w:tc>
        <w:tc>
          <w:tcPr>
            <w:tcW w:w="100" w:type="dxa"/>
            <w:vAlign w:val="bottom"/>
          </w:tcPr>
          <w:p>
            <w:pPr>
              <w:spacing w:after="0"/>
              <w:rPr>
                <w:sz w:val="13"/>
                <w:szCs w:val="13"/>
                <w:color w:val="auto"/>
              </w:rPr>
            </w:pPr>
          </w:p>
        </w:tc>
        <w:tc>
          <w:tcPr>
            <w:tcW w:w="9920" w:type="dxa"/>
            <w:vAlign w:val="bottom"/>
            <w:vMerge w:val="continue"/>
            <w:shd w:val="clear" w:color="auto" w:fill="ECEFF2"/>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92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40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9920" w:type="dxa"/>
            <w:vAlign w:val="bottom"/>
            <w:tcBorders>
              <w:bottom w:val="single" w:sz="8" w:color="ECEFF2"/>
            </w:tcBorders>
            <w:shd w:val="clear" w:color="auto" w:fill="ECEF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68580</wp:posOffset>
            </wp:positionV>
            <wp:extent cx="805815" cy="1080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5815" cy="10807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b w:val="1"/>
          <w:bCs w:val="1"/>
          <w:color w:val="auto"/>
        </w:rPr>
        <w:t>SL Green Board Service:</w:t>
      </w:r>
    </w:p>
    <w:p>
      <w:pPr>
        <w:spacing w:after="0" w:line="140" w:lineRule="exact"/>
        <w:rPr>
          <w:sz w:val="20"/>
          <w:szCs w:val="20"/>
          <w:color w:val="auto"/>
        </w:rPr>
      </w:pPr>
    </w:p>
    <w:p>
      <w:pPr>
        <w:ind w:left="280" w:right="280" w:hanging="263"/>
        <w:spacing w:after="0" w:line="316" w:lineRule="auto"/>
        <w:tabs>
          <w:tab w:leader="none" w:pos="257" w:val="left"/>
        </w:tabs>
        <w:numPr>
          <w:ilvl w:val="0"/>
          <w:numId w:val="36"/>
        </w:numPr>
        <w:rPr>
          <w:rFonts w:ascii="Arial" w:cs="Arial" w:eastAsia="Arial" w:hAnsi="Arial"/>
          <w:sz w:val="16"/>
          <w:szCs w:val="16"/>
          <w:color w:val="345988"/>
        </w:rPr>
      </w:pPr>
      <w:r>
        <w:rPr>
          <w:rFonts w:ascii="Arial" w:cs="Arial" w:eastAsia="Arial" w:hAnsi="Arial"/>
          <w:sz w:val="16"/>
          <w:szCs w:val="16"/>
          <w:color w:val="auto"/>
        </w:rPr>
        <w:t>Audit Committee</w:t>
      </w:r>
    </w:p>
    <w:p>
      <w:pPr>
        <w:spacing w:after="0" w:line="42" w:lineRule="exact"/>
        <w:rPr>
          <w:rFonts w:ascii="Arial" w:cs="Arial" w:eastAsia="Arial" w:hAnsi="Arial"/>
          <w:sz w:val="16"/>
          <w:szCs w:val="16"/>
          <w:color w:val="345988"/>
        </w:rPr>
      </w:pPr>
    </w:p>
    <w:p>
      <w:pPr>
        <w:ind w:left="280" w:hanging="263"/>
        <w:spacing w:after="0" w:line="281" w:lineRule="auto"/>
        <w:tabs>
          <w:tab w:leader="none" w:pos="257" w:val="left"/>
        </w:tabs>
        <w:numPr>
          <w:ilvl w:val="0"/>
          <w:numId w:val="36"/>
        </w:numPr>
        <w:rPr>
          <w:rFonts w:ascii="Arial" w:cs="Arial" w:eastAsia="Arial" w:hAnsi="Arial"/>
          <w:sz w:val="16"/>
          <w:szCs w:val="16"/>
          <w:color w:val="345988"/>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120" w:hanging="254"/>
        <w:spacing w:after="0" w:line="239" w:lineRule="auto"/>
        <w:tabs>
          <w:tab w:leader="none" w:pos="517" w:val="left"/>
        </w:tabs>
        <w:numPr>
          <w:ilvl w:val="0"/>
          <w:numId w:val="37"/>
        </w:numPr>
        <w:rPr>
          <w:rFonts w:ascii="Arial" w:cs="Arial" w:eastAsia="Arial" w:hAnsi="Arial"/>
          <w:sz w:val="17"/>
          <w:szCs w:val="17"/>
          <w:color w:val="345988"/>
        </w:rPr>
      </w:pPr>
      <w:r>
        <w:rPr>
          <w:rFonts w:ascii="Arial" w:cs="Arial" w:eastAsia="Arial" w:hAnsi="Arial"/>
          <w:sz w:val="18"/>
          <w:szCs w:val="18"/>
          <w:color w:val="auto"/>
        </w:rPr>
        <w:t>Chief Executive Officer of Baja Corp, an independent venture capital firm focused on technology, renewable energy and life sciences industries, since 1994</w:t>
      </w:r>
    </w:p>
    <w:p>
      <w:pPr>
        <w:spacing w:after="0" w:line="100" w:lineRule="exact"/>
        <w:rPr>
          <w:rFonts w:ascii="Arial" w:cs="Arial" w:eastAsia="Arial" w:hAnsi="Arial"/>
          <w:sz w:val="17"/>
          <w:szCs w:val="17"/>
          <w:color w:val="345988"/>
        </w:rPr>
      </w:pPr>
    </w:p>
    <w:p>
      <w:pPr>
        <w:ind w:left="540" w:right="680" w:hanging="254"/>
        <w:spacing w:after="0" w:line="238" w:lineRule="auto"/>
        <w:tabs>
          <w:tab w:leader="none" w:pos="517" w:val="left"/>
        </w:tabs>
        <w:numPr>
          <w:ilvl w:val="0"/>
          <w:numId w:val="37"/>
        </w:numPr>
        <w:rPr>
          <w:rFonts w:ascii="Arial" w:cs="Arial" w:eastAsia="Arial" w:hAnsi="Arial"/>
          <w:sz w:val="17"/>
          <w:szCs w:val="17"/>
          <w:color w:val="345988"/>
        </w:rPr>
      </w:pPr>
      <w:r>
        <w:rPr>
          <w:rFonts w:ascii="Arial" w:cs="Arial" w:eastAsia="Arial" w:hAnsi="Arial"/>
          <w:sz w:val="18"/>
          <w:szCs w:val="18"/>
          <w:color w:val="auto"/>
        </w:rPr>
        <w:t>Chief Executive Officer and Chairman of the Board of Directors of Clear Standards, Inc., a provider of energy management solutions, from February 2009 to August 2009, when Clear Standards was acquired by SAP AG, a business software company</w:t>
      </w:r>
    </w:p>
    <w:p>
      <w:pPr>
        <w:spacing w:after="0" w:line="100" w:lineRule="exact"/>
        <w:rPr>
          <w:rFonts w:ascii="Arial" w:cs="Arial" w:eastAsia="Arial" w:hAnsi="Arial"/>
          <w:sz w:val="17"/>
          <w:szCs w:val="17"/>
          <w:color w:val="345988"/>
        </w:rPr>
      </w:pPr>
    </w:p>
    <w:p>
      <w:pPr>
        <w:ind w:left="520" w:hanging="234"/>
        <w:spacing w:after="0"/>
        <w:tabs>
          <w:tab w:leader="none" w:pos="520" w:val="left"/>
        </w:tabs>
        <w:numPr>
          <w:ilvl w:val="0"/>
          <w:numId w:val="37"/>
        </w:numPr>
        <w:rPr>
          <w:rFonts w:ascii="Arial" w:cs="Arial" w:eastAsia="Arial" w:hAnsi="Arial"/>
          <w:sz w:val="17"/>
          <w:szCs w:val="17"/>
          <w:color w:val="345988"/>
        </w:rPr>
      </w:pPr>
      <w:r>
        <w:rPr>
          <w:rFonts w:ascii="Arial" w:cs="Arial" w:eastAsia="Arial" w:hAnsi="Arial"/>
          <w:sz w:val="18"/>
          <w:szCs w:val="18"/>
          <w:color w:val="auto"/>
        </w:rPr>
        <w:t>Chairman and Chief Executive Officer of NCI, Inc., a functional food/nutraceutical company, from 1991 through 1993</w:t>
      </w:r>
    </w:p>
    <w:p>
      <w:pPr>
        <w:spacing w:after="0" w:line="103" w:lineRule="exact"/>
        <w:rPr>
          <w:rFonts w:ascii="Arial" w:cs="Arial" w:eastAsia="Arial" w:hAnsi="Arial"/>
          <w:sz w:val="17"/>
          <w:szCs w:val="17"/>
          <w:color w:val="345988"/>
        </w:rPr>
      </w:pPr>
    </w:p>
    <w:p>
      <w:pPr>
        <w:ind w:left="540" w:right="340" w:hanging="254"/>
        <w:spacing w:after="0" w:line="299" w:lineRule="auto"/>
        <w:tabs>
          <w:tab w:leader="none" w:pos="517" w:val="left"/>
        </w:tabs>
        <w:numPr>
          <w:ilvl w:val="0"/>
          <w:numId w:val="37"/>
        </w:numPr>
        <w:rPr>
          <w:rFonts w:ascii="Arial" w:cs="Arial" w:eastAsia="Arial" w:hAnsi="Arial"/>
          <w:sz w:val="16"/>
          <w:szCs w:val="16"/>
          <w:color w:val="345988"/>
        </w:rPr>
      </w:pPr>
      <w:r>
        <w:rPr>
          <w:rFonts w:ascii="Arial" w:cs="Arial" w:eastAsia="Arial" w:hAnsi="Arial"/>
          <w:sz w:val="16"/>
          <w:szCs w:val="16"/>
          <w:color w:val="auto"/>
        </w:rPr>
        <w:t>Co-founded Ascend Communications, Inc. in 1989, member of its Board of Directors and Executive Vice President of sales, marketing, professional services and international operations prior to its acquisition by Lucent Technologies</w:t>
      </w:r>
    </w:p>
    <w:p>
      <w:pPr>
        <w:spacing w:after="0" w:line="54" w:lineRule="exact"/>
        <w:rPr>
          <w:rFonts w:ascii="Arial" w:cs="Arial" w:eastAsia="Arial" w:hAnsi="Arial"/>
          <w:sz w:val="16"/>
          <w:szCs w:val="16"/>
          <w:color w:val="345988"/>
        </w:rPr>
      </w:pPr>
    </w:p>
    <w:p>
      <w:pPr>
        <w:ind w:left="540" w:right="600" w:hanging="254"/>
        <w:spacing w:after="0" w:line="239" w:lineRule="auto"/>
        <w:tabs>
          <w:tab w:leader="none" w:pos="517" w:val="left"/>
        </w:tabs>
        <w:numPr>
          <w:ilvl w:val="0"/>
          <w:numId w:val="37"/>
        </w:numPr>
        <w:rPr>
          <w:rFonts w:ascii="Arial" w:cs="Arial" w:eastAsia="Arial" w:hAnsi="Arial"/>
          <w:sz w:val="17"/>
          <w:szCs w:val="17"/>
          <w:color w:val="345988"/>
        </w:rPr>
      </w:pPr>
      <w:r>
        <w:rPr>
          <w:rFonts w:ascii="Arial" w:cs="Arial" w:eastAsia="Arial" w:hAnsi="Arial"/>
          <w:sz w:val="18"/>
          <w:szCs w:val="18"/>
          <w:color w:val="auto"/>
        </w:rPr>
        <w:t>Formerly an advisor to SAP SE, an advisor to British Telecom and a presidential-appointee to the Pension Benefit Guaranty Corporation advisory committee</w:t>
      </w:r>
    </w:p>
    <w:p>
      <w:pPr>
        <w:spacing w:after="0" w:line="100" w:lineRule="exact"/>
        <w:rPr>
          <w:rFonts w:ascii="Arial" w:cs="Arial" w:eastAsia="Arial" w:hAnsi="Arial"/>
          <w:sz w:val="17"/>
          <w:szCs w:val="17"/>
          <w:color w:val="345988"/>
        </w:rPr>
      </w:pPr>
    </w:p>
    <w:p>
      <w:pPr>
        <w:ind w:left="520" w:hanging="234"/>
        <w:spacing w:after="0"/>
        <w:tabs>
          <w:tab w:leader="none" w:pos="520" w:val="left"/>
        </w:tabs>
        <w:numPr>
          <w:ilvl w:val="0"/>
          <w:numId w:val="37"/>
        </w:numPr>
        <w:rPr>
          <w:rFonts w:ascii="Arial" w:cs="Arial" w:eastAsia="Arial" w:hAnsi="Arial"/>
          <w:sz w:val="17"/>
          <w:szCs w:val="17"/>
          <w:color w:val="345988"/>
        </w:rPr>
      </w:pPr>
      <w:r>
        <w:rPr>
          <w:rFonts w:ascii="Arial" w:cs="Arial" w:eastAsia="Arial" w:hAnsi="Arial"/>
          <w:sz w:val="18"/>
          <w:szCs w:val="18"/>
          <w:color w:val="auto"/>
        </w:rPr>
        <w:t>B.A. from the University of Massachusetts</w:t>
      </w:r>
    </w:p>
    <w:p>
      <w:pPr>
        <w:spacing w:after="0" w:line="190" w:lineRule="exact"/>
        <w:rPr>
          <w:sz w:val="20"/>
          <w:szCs w:val="20"/>
          <w:color w:val="auto"/>
        </w:rPr>
      </w:pPr>
    </w:p>
    <w:p>
      <w:pPr>
        <w:sectPr>
          <w:pgSz w:w="11900" w:h="16838" w:orient="portrait"/>
          <w:cols w:equalWidth="0" w:num="2">
            <w:col w:w="1400" w:space="100"/>
            <w:col w:w="9920"/>
          </w:cols>
          <w:pgMar w:left="240" w:top="121" w:right="239" w:bottom="1440" w:gutter="0" w:footer="0" w:header="0"/>
          <w:type w:val="continuous"/>
        </w:sectPr>
      </w:pPr>
    </w:p>
    <w:p>
      <w:pPr>
        <w:ind w:left="1500"/>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2020" w:hanging="234"/>
        <w:spacing w:after="0"/>
        <w:tabs>
          <w:tab w:leader="none" w:pos="2020"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Schneider Electric, SA since April 2011</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Wynn Resorts Ltd. since April 2018</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8"/>
        </w:numPr>
        <w:rPr>
          <w:rFonts w:ascii="Arial" w:cs="Arial" w:eastAsia="Arial" w:hAnsi="Arial"/>
          <w:sz w:val="17"/>
          <w:szCs w:val="17"/>
          <w:color w:val="345988"/>
        </w:rPr>
      </w:pPr>
      <w:r>
        <w:rPr>
          <w:rFonts w:ascii="Arial" w:cs="Arial" w:eastAsia="Arial" w:hAnsi="Arial"/>
          <w:sz w:val="18"/>
          <w:szCs w:val="18"/>
          <w:color w:val="auto"/>
        </w:rPr>
        <w:t>Covetrus, Inc. since February 2019</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Previous (during the past 5 years):</w:t>
      </w:r>
    </w:p>
    <w:p>
      <w:pPr>
        <w:spacing w:after="0" w:line="230" w:lineRule="exact"/>
        <w:rPr>
          <w:sz w:val="20"/>
          <w:szCs w:val="20"/>
          <w:color w:val="auto"/>
        </w:rPr>
      </w:pPr>
    </w:p>
    <w:p>
      <w:pPr>
        <w:ind w:left="2020" w:hanging="234"/>
        <w:spacing w:after="0"/>
        <w:tabs>
          <w:tab w:leader="none" w:pos="202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Cognizant Technology Solutions Corporation from April 2017 to October 2018</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HD Supply, Inc. from September 2013 to April 2018</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Polycom, Inc. from 1999 to April 2016</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Darden Restaurants, Inc. from October 2014 to September 2015</w:t>
      </w:r>
    </w:p>
    <w:p>
      <w:pPr>
        <w:spacing w:after="0" w:line="103" w:lineRule="exact"/>
        <w:rPr>
          <w:rFonts w:ascii="Arial" w:cs="Arial" w:eastAsia="Arial" w:hAnsi="Arial"/>
          <w:sz w:val="17"/>
          <w:szCs w:val="17"/>
          <w:color w:val="345988"/>
        </w:rPr>
      </w:pPr>
    </w:p>
    <w:p>
      <w:pPr>
        <w:ind w:left="2020" w:hanging="234"/>
        <w:spacing w:after="0"/>
        <w:tabs>
          <w:tab w:leader="none" w:pos="2020" w:val="left"/>
        </w:tabs>
        <w:numPr>
          <w:ilvl w:val="0"/>
          <w:numId w:val="39"/>
        </w:numPr>
        <w:rPr>
          <w:rFonts w:ascii="Arial" w:cs="Arial" w:eastAsia="Arial" w:hAnsi="Arial"/>
          <w:sz w:val="17"/>
          <w:szCs w:val="17"/>
          <w:color w:val="345988"/>
        </w:rPr>
      </w:pPr>
      <w:r>
        <w:rPr>
          <w:rFonts w:ascii="Arial" w:cs="Arial" w:eastAsia="Arial" w:hAnsi="Arial"/>
          <w:sz w:val="18"/>
          <w:szCs w:val="18"/>
          <w:color w:val="auto"/>
        </w:rPr>
        <w:t>Ciber, Inc. from July 2014 to October 2014</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420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294"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45988"/>
        </w:rPr>
        <w:t>Marc</w:t>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45988"/>
        </w:rPr>
        <w:t>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97560" cy="1149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97560" cy="1149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97560" cy="1149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756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SL Green Board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December 2001</w:t>
      </w:r>
      <w:r>
        <w:rPr>
          <w:rFonts w:ascii="Arial" w:cs="Arial" w:eastAsia="Arial" w:hAnsi="Arial"/>
          <w:sz w:val="18"/>
          <w:szCs w:val="18"/>
          <w:color w:val="auto"/>
        </w:rPr>
        <w:t xml:space="preserve"> Age: </w:t>
      </w:r>
      <w:r>
        <w:rPr>
          <w:rFonts w:ascii="Arial" w:cs="Arial" w:eastAsia="Arial" w:hAnsi="Arial"/>
          <w:sz w:val="18"/>
          <w:szCs w:val="18"/>
          <w:b w:val="1"/>
          <w:bCs w:val="1"/>
          <w:color w:val="auto"/>
        </w:rPr>
        <w:t>52 Chief Executive Officer and Chairman of the Board</w:t>
      </w:r>
    </w:p>
    <w:p>
      <w:pPr>
        <w:spacing w:after="0" w:line="34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00" w:hanging="229"/>
        <w:spacing w:after="0"/>
        <w:tabs>
          <w:tab w:leader="none" w:pos="500"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Chief Executive Officer of the Company since January 2004; Chairman of the Board since January 2019</w:t>
      </w:r>
    </w:p>
    <w:p>
      <w:pPr>
        <w:spacing w:after="0" w:line="103" w:lineRule="exact"/>
        <w:rPr>
          <w:rFonts w:ascii="Arial" w:cs="Arial" w:eastAsia="Arial" w:hAnsi="Arial"/>
          <w:sz w:val="17"/>
          <w:szCs w:val="17"/>
          <w:color w:val="345988"/>
        </w:rPr>
      </w:pPr>
    </w:p>
    <w:p>
      <w:pPr>
        <w:ind w:left="540" w:right="120" w:hanging="269"/>
        <w:spacing w:after="0" w:line="239" w:lineRule="auto"/>
        <w:tabs>
          <w:tab w:leader="none" w:pos="517"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Joined the Company as Chief Investment Officer July 1998; stepped down as President in April 2007 following promotion of Andrew Mathias, current President, to that position</w:t>
      </w:r>
    </w:p>
    <w:p>
      <w:pPr>
        <w:spacing w:after="0" w:line="100" w:lineRule="exact"/>
        <w:rPr>
          <w:rFonts w:ascii="Arial" w:cs="Arial" w:eastAsia="Arial" w:hAnsi="Arial"/>
          <w:sz w:val="17"/>
          <w:szCs w:val="17"/>
          <w:color w:val="345988"/>
        </w:rPr>
      </w:pPr>
    </w:p>
    <w:p>
      <w:pPr>
        <w:ind w:left="540" w:right="220" w:hanging="269"/>
        <w:spacing w:after="0" w:line="239" w:lineRule="auto"/>
        <w:tabs>
          <w:tab w:leader="none" w:pos="517" w:val="left"/>
        </w:tabs>
        <w:numPr>
          <w:ilvl w:val="0"/>
          <w:numId w:val="40"/>
        </w:numPr>
        <w:rPr>
          <w:rFonts w:ascii="Arial" w:cs="Arial" w:eastAsia="Arial" w:hAnsi="Arial"/>
          <w:sz w:val="17"/>
          <w:szCs w:val="17"/>
          <w:color w:val="345988"/>
        </w:rPr>
      </w:pPr>
      <w:r>
        <w:rPr>
          <w:rFonts w:ascii="Arial" w:cs="Arial" w:eastAsia="Arial" w:hAnsi="Arial"/>
          <w:sz w:val="18"/>
          <w:szCs w:val="18"/>
          <w:color w:val="auto"/>
        </w:rPr>
        <w:t>President and Chief Executive Officer of Gramercy Capital Corp., from August 2004 to October 2008, when Mr. Holliday stepped down</w:t>
      </w:r>
    </w:p>
    <w:p>
      <w:pPr>
        <w:spacing w:after="0" w:line="47" w:lineRule="exact"/>
        <w:rPr>
          <w:sz w:val="20"/>
          <w:szCs w:val="20"/>
          <w:color w:val="auto"/>
        </w:rPr>
      </w:pPr>
    </w:p>
    <w:p>
      <w:pPr>
        <w:sectPr>
          <w:pgSz w:w="11900" w:h="16838" w:orient="portrait"/>
          <w:cols w:equalWidth="0" w:num="2">
            <w:col w:w="1240" w:space="140"/>
            <w:col w:w="10000"/>
          </w:cols>
          <w:pgMar w:left="240" w:top="121" w:right="279" w:bottom="1440" w:gutter="0" w:footer="0" w:header="0"/>
          <w:type w:val="continuous"/>
        </w:sectPr>
      </w:pPr>
    </w:p>
    <w:p>
      <w:pPr>
        <w:ind w:left="280" w:hanging="263"/>
        <w:spacing w:after="0" w:line="290" w:lineRule="auto"/>
        <w:tabs>
          <w:tab w:leader="none" w:pos="257" w:val="left"/>
        </w:tabs>
        <w:numPr>
          <w:ilvl w:val="0"/>
          <w:numId w:val="41"/>
        </w:numPr>
        <w:rPr>
          <w:rFonts w:ascii="Arial" w:cs="Arial" w:eastAsia="Arial" w:hAnsi="Arial"/>
          <w:sz w:val="16"/>
          <w:szCs w:val="16"/>
          <w:color w:val="345988"/>
        </w:rPr>
      </w:pPr>
      <w:r>
        <w:rPr>
          <w:rFonts w:ascii="Arial" w:cs="Arial" w:eastAsia="Arial" w:hAnsi="Arial"/>
          <w:sz w:val="16"/>
          <w:szCs w:val="16"/>
          <w:color w:val="auto"/>
        </w:rPr>
        <w:t>Executive Committee, Chair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69" w:right="100" w:hanging="269"/>
        <w:spacing w:after="0" w:line="238" w:lineRule="auto"/>
        <w:tabs>
          <w:tab w:leader="none" w:pos="246" w:val="left"/>
        </w:tabs>
        <w:numPr>
          <w:ilvl w:val="0"/>
          <w:numId w:val="42"/>
        </w:numPr>
        <w:rPr>
          <w:rFonts w:ascii="Arial" w:cs="Arial" w:eastAsia="Arial" w:hAnsi="Arial"/>
          <w:sz w:val="17"/>
          <w:szCs w:val="17"/>
          <w:color w:val="345988"/>
        </w:rPr>
      </w:pPr>
      <w:r>
        <w:rPr>
          <w:rFonts w:ascii="Arial" w:cs="Arial" w:eastAsia="Arial" w:hAnsi="Arial"/>
          <w:sz w:val="18"/>
          <w:szCs w:val="18"/>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99" w:lineRule="exact"/>
        <w:rPr>
          <w:rFonts w:ascii="Arial" w:cs="Arial" w:eastAsia="Arial" w:hAnsi="Arial"/>
          <w:sz w:val="17"/>
          <w:szCs w:val="17"/>
          <w:color w:val="345988"/>
        </w:rPr>
      </w:pPr>
    </w:p>
    <w:p>
      <w:pPr>
        <w:ind w:left="269" w:right="500" w:hanging="269"/>
        <w:spacing w:after="0" w:line="239" w:lineRule="auto"/>
        <w:tabs>
          <w:tab w:leader="none" w:pos="246" w:val="left"/>
        </w:tabs>
        <w:numPr>
          <w:ilvl w:val="0"/>
          <w:numId w:val="42"/>
        </w:numPr>
        <w:rPr>
          <w:rFonts w:ascii="Arial" w:cs="Arial" w:eastAsia="Arial" w:hAnsi="Arial"/>
          <w:sz w:val="17"/>
          <w:szCs w:val="17"/>
          <w:color w:val="345988"/>
        </w:rPr>
      </w:pPr>
      <w:r>
        <w:rPr>
          <w:rFonts w:ascii="Arial" w:cs="Arial" w:eastAsia="Arial" w:hAnsi="Arial"/>
          <w:sz w:val="18"/>
          <w:szCs w:val="18"/>
          <w:color w:val="auto"/>
        </w:rPr>
        <w:t>Served in various management positions, including Senior Vice President at Capital Trust, Inc.’s predecessor, Victor Capital Group, L.P. from 1991 to 1997</w:t>
      </w:r>
    </w:p>
    <w:p>
      <w:pPr>
        <w:spacing w:after="0" w:line="100" w:lineRule="exact"/>
        <w:rPr>
          <w:rFonts w:ascii="Arial" w:cs="Arial" w:eastAsia="Arial" w:hAnsi="Arial"/>
          <w:sz w:val="17"/>
          <w:szCs w:val="17"/>
          <w:color w:val="345988"/>
        </w:rPr>
      </w:pPr>
    </w:p>
    <w:p>
      <w:pPr>
        <w:ind w:left="269" w:hanging="269"/>
        <w:spacing w:after="0" w:line="239" w:lineRule="auto"/>
        <w:tabs>
          <w:tab w:leader="none" w:pos="246" w:val="left"/>
        </w:tabs>
        <w:numPr>
          <w:ilvl w:val="0"/>
          <w:numId w:val="42"/>
        </w:numPr>
        <w:rPr>
          <w:rFonts w:ascii="Arial" w:cs="Arial" w:eastAsia="Arial" w:hAnsi="Arial"/>
          <w:sz w:val="17"/>
          <w:szCs w:val="17"/>
          <w:color w:val="345988"/>
        </w:rPr>
      </w:pPr>
      <w:r>
        <w:rPr>
          <w:rFonts w:ascii="Arial" w:cs="Arial" w:eastAsia="Arial" w:hAnsi="Arial"/>
          <w:sz w:val="18"/>
          <w:szCs w:val="18"/>
          <w:color w:val="auto"/>
        </w:rPr>
        <w:t>Member of the Board of Directors of NYRA and Columbia University, and executive officer and member of the Board of the Real Estate Board of New York</w:t>
      </w:r>
    </w:p>
    <w:p>
      <w:pPr>
        <w:spacing w:after="0" w:line="100" w:lineRule="exact"/>
        <w:rPr>
          <w:rFonts w:ascii="Arial" w:cs="Arial" w:eastAsia="Arial" w:hAnsi="Arial"/>
          <w:sz w:val="17"/>
          <w:szCs w:val="17"/>
          <w:color w:val="345988"/>
        </w:rPr>
      </w:pPr>
    </w:p>
    <w:p>
      <w:pPr>
        <w:ind w:left="269" w:right="220" w:hanging="269"/>
        <w:spacing w:after="0" w:line="239" w:lineRule="auto"/>
        <w:tabs>
          <w:tab w:leader="none" w:pos="246" w:val="left"/>
        </w:tabs>
        <w:numPr>
          <w:ilvl w:val="0"/>
          <w:numId w:val="42"/>
        </w:numPr>
        <w:rPr>
          <w:rFonts w:ascii="Arial" w:cs="Arial" w:eastAsia="Arial" w:hAnsi="Arial"/>
          <w:sz w:val="17"/>
          <w:szCs w:val="17"/>
          <w:color w:val="345988"/>
        </w:rPr>
      </w:pPr>
      <w:r>
        <w:rPr>
          <w:rFonts w:ascii="Arial" w:cs="Arial" w:eastAsia="Arial" w:hAnsi="Arial"/>
          <w:sz w:val="18"/>
          <w:szCs w:val="18"/>
          <w:color w:val="auto"/>
        </w:rPr>
        <w:t>B.S. degree in Business and Finance from Lehigh University in 1988 and M.S. degree in Real Estate Development from Columbia University in 1990</w:t>
      </w:r>
    </w:p>
    <w:p>
      <w:pPr>
        <w:spacing w:after="0" w:line="187" w:lineRule="exact"/>
        <w:rPr>
          <w:sz w:val="20"/>
          <w:szCs w:val="20"/>
          <w:color w:val="auto"/>
        </w:rPr>
      </w:pPr>
    </w:p>
    <w:p>
      <w:pPr>
        <w:sectPr>
          <w:pgSz w:w="11900" w:h="16838" w:orient="portrait"/>
          <w:cols w:equalWidth="0" w:num="2">
            <w:col w:w="1180" w:space="471"/>
            <w:col w:w="9729"/>
          </w:cols>
          <w:pgMar w:left="240" w:top="121" w:right="279" w:bottom="1440" w:gutter="0" w:footer="0" w:header="0"/>
          <w:type w:val="continuous"/>
        </w:sectPr>
      </w:pPr>
    </w:p>
    <w:p>
      <w:pPr>
        <w:ind w:left="1380"/>
        <w:spacing w:after="0"/>
        <w:rPr>
          <w:sz w:val="20"/>
          <w:szCs w:val="20"/>
          <w:color w:val="auto"/>
        </w:rPr>
      </w:pPr>
      <w:r>
        <w:rPr>
          <w:rFonts w:ascii="Arial" w:cs="Arial" w:eastAsia="Arial" w:hAnsi="Arial"/>
          <w:sz w:val="16"/>
          <w:szCs w:val="16"/>
          <w:b w:val="1"/>
          <w:bCs w:val="1"/>
          <w:color w:val="auto"/>
        </w:rPr>
        <w:t>Other Public Board Directorships</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Previous (during the past 5 years):</w:t>
      </w:r>
    </w:p>
    <w:p>
      <w:pPr>
        <w:sectPr>
          <w:pgSz w:w="11900" w:h="16838" w:orient="portrait"/>
          <w:cols w:equalWidth="0" w:num="1">
            <w:col w:w="1138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240"/>
        <w:spacing w:after="0"/>
        <w:rPr>
          <w:sz w:val="20"/>
          <w:szCs w:val="20"/>
          <w:color w:val="auto"/>
        </w:rPr>
      </w:pPr>
      <w:r>
        <w:rPr>
          <w:rFonts w:ascii="Arial" w:cs="Arial" w:eastAsia="Arial" w:hAnsi="Arial"/>
          <w:sz w:val="21"/>
          <w:szCs w:val="21"/>
          <w:b w:val="1"/>
          <w:bCs w:val="1"/>
          <w:color w:val="345988"/>
        </w:rPr>
        <w:t>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975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8" w:lineRule="exact"/>
        <w:rPr>
          <w:sz w:val="20"/>
          <w:szCs w:val="20"/>
          <w:color w:val="auto"/>
        </w:rPr>
      </w:pPr>
    </w:p>
    <w:p>
      <w:pPr>
        <w:jc w:val="center"/>
        <w:ind w:left="240"/>
        <w:spacing w:after="0"/>
        <w:rPr>
          <w:sz w:val="20"/>
          <w:szCs w:val="20"/>
          <w:color w:val="auto"/>
        </w:rPr>
      </w:pPr>
      <w:r>
        <w:rPr>
          <w:rFonts w:ascii="Arial" w:cs="Arial" w:eastAsia="Arial" w:hAnsi="Arial"/>
          <w:sz w:val="22"/>
          <w:szCs w:val="22"/>
          <w:b w:val="1"/>
          <w:bCs w:val="1"/>
          <w:color w:val="345988"/>
        </w:rPr>
        <w:t>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97560" cy="1157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97560" cy="1157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500" w:hanging="229"/>
        <w:spacing w:after="0"/>
        <w:tabs>
          <w:tab w:leader="none" w:pos="500" w:val="left"/>
        </w:tabs>
        <w:numPr>
          <w:ilvl w:val="0"/>
          <w:numId w:val="43"/>
        </w:numPr>
        <w:rPr>
          <w:rFonts w:ascii="Arial" w:cs="Arial" w:eastAsia="Arial" w:hAnsi="Arial"/>
          <w:sz w:val="17"/>
          <w:szCs w:val="17"/>
          <w:color w:val="345988"/>
        </w:rPr>
      </w:pPr>
      <w:r>
        <w:rPr>
          <w:rFonts w:ascii="Arial" w:cs="Arial" w:eastAsia="Arial" w:hAnsi="Arial"/>
          <w:sz w:val="18"/>
          <w:szCs w:val="18"/>
          <w:color w:val="auto"/>
        </w:rPr>
        <w:t>Gramercy Capital Corp. from 2004 to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6380480" cy="420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0480" cy="4203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83 Independent Director</w:t>
      </w:r>
    </w:p>
    <w:p>
      <w:pPr>
        <w:spacing w:after="0" w:line="34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00" w:lineRule="exact"/>
        <w:rPr>
          <w:sz w:val="20"/>
          <w:szCs w:val="20"/>
          <w:color w:val="auto"/>
        </w:rPr>
      </w:pPr>
    </w:p>
    <w:p>
      <w:pPr>
        <w:sectPr>
          <w:pgSz w:w="11900" w:h="16838" w:orient="portrait"/>
          <w:cols w:equalWidth="0" w:num="2">
            <w:col w:w="1020" w:space="360"/>
            <w:col w:w="10000"/>
          </w:cols>
          <w:pgMar w:left="240" w:top="121" w:right="279" w:bottom="1440" w:gutter="0" w:footer="0" w:header="0"/>
          <w:type w:val="continuous"/>
        </w:sectPr>
      </w:pPr>
    </w:p>
    <w:p>
      <w:pPr>
        <w:spacing w:after="0" w:line="34" w:lineRule="exact"/>
        <w:rPr>
          <w:sz w:val="20"/>
          <w:szCs w:val="20"/>
          <w:color w:val="auto"/>
        </w:rPr>
      </w:pPr>
    </w:p>
    <w:p>
      <w:pPr>
        <w:ind w:left="1920" w:right="280" w:hanging="269"/>
        <w:spacing w:after="0" w:line="281" w:lineRule="auto"/>
        <w:tabs>
          <w:tab w:leader="none" w:pos="1897" w:val="left"/>
        </w:tabs>
        <w:numPr>
          <w:ilvl w:val="0"/>
          <w:numId w:val="44"/>
        </w:numPr>
        <w:rPr>
          <w:rFonts w:ascii="Arial" w:cs="Arial" w:eastAsia="Arial" w:hAnsi="Arial"/>
          <w:sz w:val="16"/>
          <w:szCs w:val="16"/>
          <w:color w:val="345988"/>
        </w:rPr>
      </w:pPr>
      <w:r>
        <w:rPr>
          <w:rFonts w:ascii="Arial" w:cs="Arial" w:eastAsia="Arial" w:hAnsi="Arial"/>
          <w:sz w:val="16"/>
          <w:szCs w:val="16"/>
          <w:color w:val="auto"/>
        </w:rPr>
        <w:t>Retired from Lehman Brothers Inc. in 1995; from 1983 to 1995, served as Managing Director and Chief Administrative Officer of the Financial Services Division, Senior Executive Vice President and Co-Director of the International Division and Managing Partner of the Equity Securities Division at Lehman Brothers (or its predecessors)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00" w:type="dxa"/>
            <w:vAlign w:val="bottom"/>
          </w:tcPr>
          <w:p>
            <w:pPr>
              <w:spacing w:after="0"/>
              <w:rPr>
                <w:sz w:val="20"/>
                <w:szCs w:val="20"/>
                <w:color w:val="auto"/>
              </w:rPr>
            </w:pPr>
            <w:r>
              <w:rPr>
                <w:rFonts w:ascii="Arial" w:cs="Arial" w:eastAsia="Arial" w:hAnsi="Arial"/>
                <w:sz w:val="18"/>
                <w:szCs w:val="18"/>
                <w:b w:val="1"/>
                <w:bCs w:val="1"/>
                <w:color w:val="auto"/>
              </w:rPr>
              <w:t>SL Green</w:t>
            </w:r>
          </w:p>
        </w:tc>
        <w:tc>
          <w:tcPr>
            <w:tcW w:w="220" w:type="dxa"/>
            <w:vAlign w:val="bottom"/>
          </w:tcPr>
          <w:p>
            <w:pPr>
              <w:spacing w:after="0"/>
              <w:rPr>
                <w:sz w:val="19"/>
                <w:szCs w:val="19"/>
                <w:color w:val="auto"/>
              </w:rPr>
            </w:pPr>
          </w:p>
        </w:tc>
        <w:tc>
          <w:tcPr>
            <w:tcW w:w="9660" w:type="dxa"/>
            <w:vAlign w:val="bottom"/>
          </w:tcPr>
          <w:p>
            <w:pPr>
              <w:ind w:left="14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Associated with A.G. Becker Incorporated (or its predecessors) from 1960 to 1983, where Mr. Levy served as Managing</w:t>
            </w: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0"/>
                <w:szCs w:val="20"/>
                <w:color w:val="auto"/>
              </w:rPr>
            </w:pPr>
            <w:r>
              <w:rPr>
                <w:rFonts w:ascii="Arial" w:cs="Arial" w:eastAsia="Arial" w:hAnsi="Arial"/>
                <w:sz w:val="18"/>
                <w:szCs w:val="18"/>
                <w:b w:val="1"/>
                <w:bCs w:val="1"/>
                <w:color w:val="auto"/>
              </w:rPr>
              <w:t>Board Service:</w:t>
            </w:r>
          </w:p>
        </w:tc>
        <w:tc>
          <w:tcPr>
            <w:tcW w:w="220" w:type="dxa"/>
            <w:vAlign w:val="bottom"/>
          </w:tcPr>
          <w:p>
            <w:pPr>
              <w:spacing w:after="0"/>
              <w:rPr>
                <w:sz w:val="21"/>
                <w:szCs w:val="21"/>
                <w:color w:val="auto"/>
              </w:rPr>
            </w:pPr>
          </w:p>
        </w:tc>
        <w:tc>
          <w:tcPr>
            <w:tcW w:w="9660" w:type="dxa"/>
            <w:vAlign w:val="bottom"/>
          </w:tcPr>
          <w:p>
            <w:pPr>
              <w:ind w:left="400"/>
              <w:spacing w:after="0"/>
              <w:rPr>
                <w:sz w:val="20"/>
                <w:szCs w:val="20"/>
                <w:color w:val="auto"/>
              </w:rPr>
            </w:pPr>
            <w:r>
              <w:rPr>
                <w:rFonts w:ascii="Arial" w:cs="Arial" w:eastAsia="Arial" w:hAnsi="Arial"/>
                <w:sz w:val="18"/>
                <w:szCs w:val="18"/>
                <w:color w:val="auto"/>
                <w:w w:val="99"/>
              </w:rPr>
              <w:t>Director of the Execution Services Division, Vice President-Manager of Institutional and Retail Sales, Manager of the</w:t>
            </w:r>
          </w:p>
        </w:tc>
        <w:tc>
          <w:tcPr>
            <w:tcW w:w="0" w:type="dxa"/>
            <w:vAlign w:val="bottom"/>
          </w:tcPr>
          <w:p>
            <w:pPr>
              <w:spacing w:after="0"/>
              <w:rPr>
                <w:sz w:val="1"/>
                <w:szCs w:val="1"/>
                <w:color w:val="auto"/>
              </w:rPr>
            </w:pPr>
          </w:p>
        </w:tc>
      </w:tr>
      <w:tr>
        <w:trPr>
          <w:trHeight w:val="211"/>
        </w:trPr>
        <w:tc>
          <w:tcPr>
            <w:tcW w:w="1300" w:type="dxa"/>
            <w:vAlign w:val="bottom"/>
            <w:vMerge w:val="restart"/>
          </w:tcPr>
          <w:p>
            <w:pPr>
              <w:ind w:left="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Nominating</w:t>
            </w:r>
          </w:p>
        </w:tc>
        <w:tc>
          <w:tcPr>
            <w:tcW w:w="220" w:type="dxa"/>
            <w:vAlign w:val="bottom"/>
          </w:tcPr>
          <w:p>
            <w:pPr>
              <w:spacing w:after="0"/>
              <w:rPr>
                <w:sz w:val="18"/>
                <w:szCs w:val="18"/>
                <w:color w:val="auto"/>
              </w:rPr>
            </w:pPr>
          </w:p>
        </w:tc>
        <w:tc>
          <w:tcPr>
            <w:tcW w:w="9660" w:type="dxa"/>
            <w:vAlign w:val="bottom"/>
          </w:tcPr>
          <w:p>
            <w:pPr>
              <w:ind w:left="400"/>
              <w:spacing w:after="0"/>
              <w:rPr>
                <w:sz w:val="20"/>
                <w:szCs w:val="20"/>
                <w:color w:val="auto"/>
              </w:rPr>
            </w:pPr>
            <w:r>
              <w:rPr>
                <w:rFonts w:ascii="Arial" w:cs="Arial" w:eastAsia="Arial" w:hAnsi="Arial"/>
                <w:sz w:val="18"/>
                <w:szCs w:val="18"/>
                <w:color w:val="auto"/>
              </w:rPr>
              <w:t>Institutional Sales Division, Manager of the New York Retail Office and a Registered Representative</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vMerge w:val="restart"/>
          </w:tcPr>
          <w:p>
            <w:pPr>
              <w:ind w:left="14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B.A. degree from Dartmouth College.</w:t>
            </w:r>
          </w:p>
        </w:tc>
        <w:tc>
          <w:tcPr>
            <w:tcW w:w="0" w:type="dxa"/>
            <w:vAlign w:val="bottom"/>
          </w:tcPr>
          <w:p>
            <w:pPr>
              <w:spacing w:after="0"/>
              <w:rPr>
                <w:sz w:val="1"/>
                <w:szCs w:val="1"/>
                <w:color w:val="auto"/>
              </w:rPr>
            </w:pPr>
          </w:p>
        </w:tc>
      </w:tr>
      <w:tr>
        <w:trPr>
          <w:trHeight w:val="135"/>
        </w:trPr>
        <w:tc>
          <w:tcPr>
            <w:tcW w:w="1520" w:type="dxa"/>
            <w:vAlign w:val="bottom"/>
            <w:gridSpan w:val="2"/>
            <w:vMerge w:val="restart"/>
          </w:tcPr>
          <w:p>
            <w:pPr>
              <w:ind w:left="280"/>
              <w:spacing w:after="0"/>
              <w:rPr>
                <w:sz w:val="20"/>
                <w:szCs w:val="20"/>
                <w:color w:val="auto"/>
              </w:rPr>
            </w:pPr>
            <w:r>
              <w:rPr>
                <w:rFonts w:ascii="Arial" w:cs="Arial" w:eastAsia="Arial" w:hAnsi="Arial"/>
                <w:sz w:val="18"/>
                <w:szCs w:val="18"/>
                <w:color w:val="auto"/>
              </w:rPr>
              <w:t>and Corporate</w:t>
            </w: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520" w:type="dxa"/>
            <w:vAlign w:val="bottom"/>
            <w:gridSpan w:val="2"/>
            <w:vMerge w:val="continue"/>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1300" w:type="dxa"/>
            <w:vAlign w:val="bottom"/>
          </w:tcPr>
          <w:p>
            <w:pPr>
              <w:ind w:left="280"/>
              <w:spacing w:after="0"/>
              <w:rPr>
                <w:sz w:val="20"/>
                <w:szCs w:val="20"/>
                <w:color w:val="auto"/>
              </w:rPr>
            </w:pPr>
            <w:r>
              <w:rPr>
                <w:rFonts w:ascii="Arial" w:cs="Arial" w:eastAsia="Arial" w:hAnsi="Arial"/>
                <w:sz w:val="18"/>
                <w:szCs w:val="18"/>
                <w:color w:val="auto"/>
              </w:rPr>
              <w:t>Governance</w:t>
            </w:r>
          </w:p>
        </w:tc>
        <w:tc>
          <w:tcPr>
            <w:tcW w:w="988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Public Board Directorships</w:t>
            </w:r>
          </w:p>
        </w:tc>
        <w:tc>
          <w:tcPr>
            <w:tcW w:w="0" w:type="dxa"/>
            <w:vAlign w:val="bottom"/>
          </w:tcPr>
          <w:p>
            <w:pPr>
              <w:spacing w:after="0"/>
              <w:rPr>
                <w:sz w:val="1"/>
                <w:szCs w:val="1"/>
                <w:color w:val="auto"/>
              </w:rPr>
            </w:pPr>
          </w:p>
        </w:tc>
      </w:tr>
      <w:tr>
        <w:trPr>
          <w:trHeight w:val="211"/>
        </w:trPr>
        <w:tc>
          <w:tcPr>
            <w:tcW w:w="1300" w:type="dxa"/>
            <w:vAlign w:val="bottom"/>
          </w:tcPr>
          <w:p>
            <w:pPr>
              <w:ind w:left="280"/>
              <w:spacing w:after="0"/>
              <w:rPr>
                <w:sz w:val="20"/>
                <w:szCs w:val="20"/>
                <w:color w:val="auto"/>
              </w:rPr>
            </w:pPr>
            <w:r>
              <w:rPr>
                <w:rFonts w:ascii="Arial" w:cs="Arial" w:eastAsia="Arial" w:hAnsi="Arial"/>
                <w:sz w:val="18"/>
                <w:szCs w:val="18"/>
                <w:color w:val="auto"/>
              </w:rPr>
              <w:t>Committee</w:t>
            </w:r>
          </w:p>
        </w:tc>
        <w:tc>
          <w:tcPr>
            <w:tcW w:w="22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0" w:right="9080" w:hanging="263"/>
        <w:spacing w:after="0" w:line="181" w:lineRule="auto"/>
        <w:tabs>
          <w:tab w:leader="none" w:pos="257" w:val="left"/>
        </w:tabs>
        <w:numPr>
          <w:ilvl w:val="0"/>
          <w:numId w:val="45"/>
        </w:numPr>
        <w:rPr>
          <w:rFonts w:ascii="Arial" w:cs="Arial" w:eastAsia="Arial" w:hAnsi="Arial"/>
          <w:sz w:val="16"/>
          <w:szCs w:val="16"/>
          <w:color w:val="345988"/>
        </w:rPr>
      </w:pPr>
      <w:r>
        <w:rPr>
          <w:rFonts w:ascii="Arial" w:cs="Arial" w:eastAsia="Arial" w:hAnsi="Arial"/>
          <w:sz w:val="17"/>
          <w:szCs w:val="17"/>
          <w:color w:val="auto"/>
        </w:rPr>
        <w:t xml:space="preserve">Compensation </w:t>
      </w:r>
      <w:r>
        <w:rPr>
          <w:rFonts w:ascii="Arial" w:cs="Arial" w:eastAsia="Arial" w:hAnsi="Arial"/>
          <w:sz w:val="32"/>
          <w:szCs w:val="32"/>
          <w:color w:val="345988"/>
          <w:vertAlign w:val="subscript"/>
        </w:rPr>
        <w:t>●</w:t>
      </w:r>
      <w:r>
        <w:rPr>
          <w:rFonts w:ascii="Arial" w:cs="Arial" w:eastAsia="Arial" w:hAnsi="Arial"/>
          <w:sz w:val="17"/>
          <w:szCs w:val="17"/>
          <w:color w:val="auto"/>
        </w:rPr>
        <w:t xml:space="preserve"> </w:t>
      </w:r>
      <w:r>
        <w:rPr>
          <w:rFonts w:ascii="Arial" w:cs="Arial" w:eastAsia="Arial" w:hAnsi="Arial"/>
          <w:sz w:val="33"/>
          <w:szCs w:val="33"/>
          <w:color w:val="auto"/>
          <w:vertAlign w:val="subscript"/>
        </w:rPr>
        <w:t>None</w:t>
      </w:r>
      <w:r>
        <w:rPr>
          <w:rFonts w:ascii="Arial" w:cs="Arial" w:eastAsia="Arial" w:hAnsi="Arial"/>
          <w:sz w:val="17"/>
          <w:szCs w:val="17"/>
          <w:color w:val="auto"/>
        </w:rPr>
        <w:t xml:space="preserve"> Committee</w:t>
      </w:r>
    </w:p>
    <w:p>
      <w:pPr>
        <w:spacing w:after="0" w:line="21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6120"/>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Refreshment</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Led by our Nominating and Corporate Governance Committee, the Board engages in ongoing director succession planning, including a focus on refreshing the membership and leadership of the Board and its Committees and enhancing the level of diversity. Most recently, in January 2019, the leadership of the Board was transitioned from Stephen L. Green, our founder and long-time Chairman of the Board, to Marc Holliday, who also serves as our Chief Executive Officer. Mr. Green stepped down as Chairman of the Board nearly 40 years after he founded our predecessor and following his more than 20 years of distinguished service in this role. Mr. Green continues to serve as a director and as our Chairman Emeritus. The Board also rotated Committee chairs in 2018, with Lauren Dillard replacing John Alschuler as chair of our Compensation Committee and Craig Hatkoff replacing John Levy as chair of our Nominating and Corporate Governance Committee.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Over the longer term, we have added three new independent directors since 2011, including two women – Betsy Atkins, who joined our Board in 2015, and Lauren Dillard, who joined our Board in 2016. For our commitment to board diversity, we were recognized as a 2020 Women on Boards Winning ‘W’ Company for 2017. Together with the addition of Craig Hatkoff in 2011, these additions have provided new perspectives and enhanced the quality of the Board while also reducing the average age and tenure of our independent directors. Following these additions, one-third of our independent directors are women.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10" w:type="dxa"/>
            <w:vAlign w:val="bottom"/>
            <w:shd w:val="clear" w:color="auto" w:fill="9CA5B9"/>
          </w:tcPr>
          <w:p>
            <w:pPr>
              <w:ind w:left="80"/>
              <w:spacing w:after="0"/>
              <w:rPr>
                <w:sz w:val="20"/>
                <w:szCs w:val="20"/>
                <w:color w:val="auto"/>
              </w:rPr>
            </w:pPr>
            <w:r>
              <w:rPr>
                <w:rFonts w:ascii="Arial" w:cs="Arial" w:eastAsia="Arial" w:hAnsi="Arial"/>
                <w:sz w:val="18"/>
                <w:szCs w:val="18"/>
                <w:b w:val="1"/>
                <w:bCs w:val="1"/>
                <w:color w:val="345988"/>
              </w:rPr>
              <w:t>Diversity</w:t>
            </w:r>
          </w:p>
        </w:tc>
        <w:tc>
          <w:tcPr>
            <w:tcW w:w="3770" w:type="dxa"/>
            <w:vAlign w:val="bottom"/>
            <w:shd w:val="clear" w:color="auto" w:fill="9CA5B9"/>
          </w:tcPr>
          <w:p>
            <w:pPr>
              <w:ind w:left="110"/>
              <w:spacing w:after="0"/>
              <w:rPr>
                <w:sz w:val="20"/>
                <w:szCs w:val="20"/>
                <w:color w:val="auto"/>
              </w:rPr>
            </w:pPr>
            <w:r>
              <w:rPr>
                <w:rFonts w:ascii="Arial" w:cs="Arial" w:eastAsia="Arial" w:hAnsi="Arial"/>
                <w:sz w:val="18"/>
                <w:szCs w:val="18"/>
                <w:b w:val="1"/>
                <w:bCs w:val="1"/>
                <w:color w:val="345988"/>
              </w:rPr>
              <w:t>Experience</w:t>
            </w:r>
          </w:p>
        </w:tc>
        <w:tc>
          <w:tcPr>
            <w:tcW w:w="3840" w:type="dxa"/>
            <w:vAlign w:val="bottom"/>
            <w:shd w:val="clear" w:color="auto" w:fill="9CA5B9"/>
          </w:tcPr>
          <w:p>
            <w:pPr>
              <w:ind w:left="220"/>
              <w:spacing w:after="0"/>
              <w:rPr>
                <w:sz w:val="20"/>
                <w:szCs w:val="20"/>
                <w:color w:val="auto"/>
              </w:rPr>
            </w:pPr>
            <w:r>
              <w:rPr>
                <w:rFonts w:ascii="Arial" w:cs="Arial" w:eastAsia="Arial" w:hAnsi="Arial"/>
                <w:sz w:val="18"/>
                <w:szCs w:val="18"/>
                <w:b w:val="1"/>
                <w:bCs w:val="1"/>
                <w:color w:val="345988"/>
              </w:rPr>
              <w:t>Leadership</w:t>
            </w:r>
          </w:p>
        </w:tc>
      </w:tr>
      <w:tr>
        <w:trPr>
          <w:trHeight w:val="246"/>
        </w:trPr>
        <w:tc>
          <w:tcPr>
            <w:tcW w:w="3810" w:type="dxa"/>
            <w:vAlign w:val="bottom"/>
            <w:shd w:val="clear" w:color="auto" w:fill="9CA5B9"/>
          </w:tcPr>
          <w:p>
            <w:pPr>
              <w:ind w:left="80"/>
              <w:spacing w:after="0"/>
              <w:rPr>
                <w:sz w:val="20"/>
                <w:szCs w:val="20"/>
                <w:color w:val="auto"/>
              </w:rPr>
            </w:pPr>
            <w:r>
              <w:rPr>
                <w:rFonts w:ascii="Arial" w:cs="Arial" w:eastAsia="Arial" w:hAnsi="Arial"/>
                <w:sz w:val="18"/>
                <w:szCs w:val="18"/>
                <w:color w:val="345988"/>
              </w:rPr>
              <w:t>Our Board has a diversity of knowledge, skills</w:t>
            </w:r>
          </w:p>
        </w:tc>
        <w:tc>
          <w:tcPr>
            <w:tcW w:w="3770" w:type="dxa"/>
            <w:vAlign w:val="bottom"/>
            <w:shd w:val="clear" w:color="auto" w:fill="9CA5B9"/>
          </w:tcPr>
          <w:p>
            <w:pPr>
              <w:ind w:left="110"/>
              <w:spacing w:after="0"/>
              <w:rPr>
                <w:sz w:val="20"/>
                <w:szCs w:val="20"/>
                <w:color w:val="auto"/>
              </w:rPr>
            </w:pPr>
            <w:r>
              <w:rPr>
                <w:rFonts w:ascii="Arial" w:cs="Arial" w:eastAsia="Arial" w:hAnsi="Arial"/>
                <w:sz w:val="18"/>
                <w:szCs w:val="18"/>
                <w:color w:val="345988"/>
              </w:rPr>
              <w:t>Our Board members have broad experience</w:t>
            </w:r>
          </w:p>
        </w:tc>
        <w:tc>
          <w:tcPr>
            <w:tcW w:w="3840" w:type="dxa"/>
            <w:vAlign w:val="bottom"/>
            <w:shd w:val="clear" w:color="auto" w:fill="9CA5B9"/>
          </w:tcPr>
          <w:p>
            <w:pPr>
              <w:ind w:left="220"/>
              <w:spacing w:after="0"/>
              <w:rPr>
                <w:sz w:val="20"/>
                <w:szCs w:val="20"/>
                <w:color w:val="auto"/>
              </w:rPr>
            </w:pPr>
            <w:r>
              <w:rPr>
                <w:rFonts w:ascii="Arial" w:cs="Arial" w:eastAsia="Arial" w:hAnsi="Arial"/>
                <w:sz w:val="18"/>
                <w:szCs w:val="18"/>
                <w:color w:val="345988"/>
              </w:rPr>
              <w:t>Our Board members have strong corporate</w:t>
            </w:r>
          </w:p>
        </w:tc>
      </w:tr>
      <w:tr>
        <w:trPr>
          <w:trHeight w:val="203"/>
        </w:trPr>
        <w:tc>
          <w:tcPr>
            <w:tcW w:w="3810" w:type="dxa"/>
            <w:vAlign w:val="bottom"/>
            <w:shd w:val="clear" w:color="auto" w:fill="9CA5B9"/>
          </w:tcPr>
          <w:p>
            <w:pPr>
              <w:ind w:left="80"/>
              <w:spacing w:after="0" w:line="202" w:lineRule="exact"/>
              <w:rPr>
                <w:sz w:val="20"/>
                <w:szCs w:val="20"/>
                <w:color w:val="auto"/>
              </w:rPr>
            </w:pPr>
            <w:r>
              <w:rPr>
                <w:rFonts w:ascii="Arial" w:cs="Arial" w:eastAsia="Arial" w:hAnsi="Arial"/>
                <w:sz w:val="18"/>
                <w:szCs w:val="18"/>
                <w:color w:val="345988"/>
              </w:rPr>
              <w:t>and education, as well as diversity of age,</w:t>
            </w:r>
          </w:p>
        </w:tc>
        <w:tc>
          <w:tcPr>
            <w:tcW w:w="3770" w:type="dxa"/>
            <w:vAlign w:val="bottom"/>
            <w:shd w:val="clear" w:color="auto" w:fill="9CA5B9"/>
          </w:tcPr>
          <w:p>
            <w:pPr>
              <w:ind w:left="110"/>
              <w:spacing w:after="0" w:line="202" w:lineRule="exact"/>
              <w:rPr>
                <w:sz w:val="20"/>
                <w:szCs w:val="20"/>
                <w:color w:val="auto"/>
              </w:rPr>
            </w:pPr>
            <w:r>
              <w:rPr>
                <w:rFonts w:ascii="Arial" w:cs="Arial" w:eastAsia="Arial" w:hAnsi="Arial"/>
                <w:sz w:val="18"/>
                <w:szCs w:val="18"/>
                <w:color w:val="345988"/>
                <w:w w:val="99"/>
              </w:rPr>
              <w:t>serving on public boards in industries relevant</w:t>
            </w:r>
          </w:p>
        </w:tc>
        <w:tc>
          <w:tcPr>
            <w:tcW w:w="3840" w:type="dxa"/>
            <w:vAlign w:val="bottom"/>
            <w:shd w:val="clear" w:color="auto" w:fill="9CA5B9"/>
          </w:tcPr>
          <w:p>
            <w:pPr>
              <w:ind w:left="220"/>
              <w:spacing w:after="0" w:line="202" w:lineRule="exact"/>
              <w:rPr>
                <w:sz w:val="20"/>
                <w:szCs w:val="20"/>
                <w:color w:val="auto"/>
              </w:rPr>
            </w:pPr>
            <w:r>
              <w:rPr>
                <w:rFonts w:ascii="Arial" w:cs="Arial" w:eastAsia="Arial" w:hAnsi="Arial"/>
                <w:sz w:val="18"/>
                <w:szCs w:val="18"/>
                <w:color w:val="345988"/>
              </w:rPr>
              <w:t>leadership backgrounds such as being a</w:t>
            </w:r>
          </w:p>
        </w:tc>
      </w:tr>
      <w:tr>
        <w:trPr>
          <w:trHeight w:val="203"/>
        </w:trPr>
        <w:tc>
          <w:tcPr>
            <w:tcW w:w="3810" w:type="dxa"/>
            <w:vAlign w:val="bottom"/>
            <w:shd w:val="clear" w:color="auto" w:fill="9CA5B9"/>
          </w:tcPr>
          <w:p>
            <w:pPr>
              <w:ind w:left="80"/>
              <w:spacing w:after="0" w:line="202" w:lineRule="exact"/>
              <w:rPr>
                <w:sz w:val="20"/>
                <w:szCs w:val="20"/>
                <w:color w:val="auto"/>
              </w:rPr>
            </w:pPr>
            <w:r>
              <w:rPr>
                <w:rFonts w:ascii="Arial" w:cs="Arial" w:eastAsia="Arial" w:hAnsi="Arial"/>
                <w:sz w:val="18"/>
                <w:szCs w:val="18"/>
                <w:color w:val="345988"/>
              </w:rPr>
              <w:t>gender and outlook</w:t>
            </w:r>
          </w:p>
        </w:tc>
        <w:tc>
          <w:tcPr>
            <w:tcW w:w="3770" w:type="dxa"/>
            <w:vAlign w:val="bottom"/>
            <w:shd w:val="clear" w:color="auto" w:fill="9CA5B9"/>
          </w:tcPr>
          <w:p>
            <w:pPr>
              <w:ind w:left="110"/>
              <w:spacing w:after="0" w:line="202" w:lineRule="exact"/>
              <w:rPr>
                <w:sz w:val="20"/>
                <w:szCs w:val="20"/>
                <w:color w:val="auto"/>
              </w:rPr>
            </w:pPr>
            <w:r>
              <w:rPr>
                <w:rFonts w:ascii="Arial" w:cs="Arial" w:eastAsia="Arial" w:hAnsi="Arial"/>
                <w:sz w:val="18"/>
                <w:szCs w:val="18"/>
                <w:color w:val="345988"/>
              </w:rPr>
              <w:t>to the Company</w:t>
            </w:r>
          </w:p>
        </w:tc>
        <w:tc>
          <w:tcPr>
            <w:tcW w:w="3840" w:type="dxa"/>
            <w:vAlign w:val="bottom"/>
            <w:shd w:val="clear" w:color="auto" w:fill="9CA5B9"/>
          </w:tcPr>
          <w:p>
            <w:pPr>
              <w:ind w:left="220"/>
              <w:spacing w:after="0" w:line="202" w:lineRule="exact"/>
              <w:rPr>
                <w:sz w:val="20"/>
                <w:szCs w:val="20"/>
                <w:color w:val="auto"/>
              </w:rPr>
            </w:pPr>
            <w:r>
              <w:rPr>
                <w:rFonts w:ascii="Arial" w:cs="Arial" w:eastAsia="Arial" w:hAnsi="Arial"/>
                <w:sz w:val="18"/>
                <w:szCs w:val="18"/>
                <w:color w:val="345988"/>
              </w:rPr>
              <w:t>CEO, CFO or holding other Executive</w:t>
            </w:r>
          </w:p>
        </w:tc>
      </w:tr>
      <w:tr>
        <w:trPr>
          <w:trHeight w:val="211"/>
        </w:trPr>
        <w:tc>
          <w:tcPr>
            <w:tcW w:w="3810" w:type="dxa"/>
            <w:vAlign w:val="bottom"/>
            <w:shd w:val="clear" w:color="auto" w:fill="9CA5B9"/>
          </w:tcPr>
          <w:p>
            <w:pPr>
              <w:spacing w:after="0"/>
              <w:rPr>
                <w:sz w:val="18"/>
                <w:szCs w:val="18"/>
                <w:color w:val="auto"/>
              </w:rPr>
            </w:pPr>
          </w:p>
        </w:tc>
        <w:tc>
          <w:tcPr>
            <w:tcW w:w="3770" w:type="dxa"/>
            <w:vAlign w:val="bottom"/>
            <w:shd w:val="clear" w:color="auto" w:fill="9CA5B9"/>
          </w:tcPr>
          <w:p>
            <w:pPr>
              <w:spacing w:after="0"/>
              <w:rPr>
                <w:sz w:val="18"/>
                <w:szCs w:val="18"/>
                <w:color w:val="auto"/>
              </w:rPr>
            </w:pPr>
          </w:p>
        </w:tc>
        <w:tc>
          <w:tcPr>
            <w:tcW w:w="3840" w:type="dxa"/>
            <w:vAlign w:val="bottom"/>
            <w:shd w:val="clear" w:color="auto" w:fill="9CA5B9"/>
          </w:tcPr>
          <w:p>
            <w:pPr>
              <w:ind w:left="220"/>
              <w:spacing w:after="0"/>
              <w:rPr>
                <w:sz w:val="20"/>
                <w:szCs w:val="20"/>
                <w:color w:val="auto"/>
              </w:rPr>
            </w:pPr>
            <w:r>
              <w:rPr>
                <w:rFonts w:ascii="Arial" w:cs="Arial" w:eastAsia="Arial" w:hAnsi="Arial"/>
                <w:sz w:val="18"/>
                <w:szCs w:val="18"/>
                <w:color w:val="345988"/>
              </w:rPr>
              <w:t>positions</w:t>
            </w:r>
          </w:p>
        </w:tc>
      </w:tr>
      <w:tr>
        <w:trPr>
          <w:trHeight w:val="1531"/>
        </w:trPr>
        <w:tc>
          <w:tcPr>
            <w:tcW w:w="3810" w:type="dxa"/>
            <w:vAlign w:val="bottom"/>
            <w:shd w:val="clear" w:color="auto" w:fill="9CA5B9"/>
          </w:tcPr>
          <w:p>
            <w:pPr>
              <w:ind w:left="80"/>
              <w:spacing w:after="0"/>
              <w:rPr>
                <w:sz w:val="20"/>
                <w:szCs w:val="20"/>
                <w:color w:val="auto"/>
              </w:rPr>
            </w:pPr>
            <w:r>
              <w:rPr>
                <w:rFonts w:ascii="Arial" w:cs="Arial" w:eastAsia="Arial" w:hAnsi="Arial"/>
                <w:sz w:val="18"/>
                <w:szCs w:val="18"/>
                <w:b w:val="1"/>
                <w:bCs w:val="1"/>
                <w:color w:val="345988"/>
              </w:rPr>
              <w:t xml:space="preserve">33% </w:t>
            </w:r>
            <w:r>
              <w:rPr>
                <w:rFonts w:ascii="Arial" w:cs="Arial" w:eastAsia="Arial" w:hAnsi="Arial"/>
                <w:sz w:val="18"/>
                <w:szCs w:val="18"/>
                <w:color w:val="345988"/>
              </w:rPr>
              <w:t>of our independent Board members are</w:t>
            </w:r>
          </w:p>
        </w:tc>
        <w:tc>
          <w:tcPr>
            <w:tcW w:w="3770" w:type="dxa"/>
            <w:vAlign w:val="bottom"/>
            <w:shd w:val="clear" w:color="auto" w:fill="9CA5B9"/>
          </w:tcPr>
          <w:p>
            <w:pPr>
              <w:ind w:left="110"/>
              <w:spacing w:after="0"/>
              <w:rPr>
                <w:sz w:val="20"/>
                <w:szCs w:val="20"/>
                <w:color w:val="auto"/>
              </w:rPr>
            </w:pPr>
            <w:r>
              <w:rPr>
                <w:rFonts w:ascii="Arial" w:cs="Arial" w:eastAsia="Arial" w:hAnsi="Arial"/>
                <w:sz w:val="18"/>
                <w:szCs w:val="18"/>
                <w:b w:val="1"/>
                <w:bCs w:val="1"/>
                <w:color w:val="345988"/>
              </w:rPr>
              <w:t xml:space="preserve">78% </w:t>
            </w:r>
            <w:r>
              <w:rPr>
                <w:rFonts w:ascii="Arial" w:cs="Arial" w:eastAsia="Arial" w:hAnsi="Arial"/>
                <w:sz w:val="18"/>
                <w:szCs w:val="18"/>
                <w:color w:val="345988"/>
              </w:rPr>
              <w:t>of our Board currently serve or have</w:t>
            </w:r>
          </w:p>
        </w:tc>
        <w:tc>
          <w:tcPr>
            <w:tcW w:w="3840" w:type="dxa"/>
            <w:vAlign w:val="bottom"/>
            <w:shd w:val="clear" w:color="auto" w:fill="9CA5B9"/>
          </w:tcPr>
          <w:p>
            <w:pPr>
              <w:ind w:left="220"/>
              <w:spacing w:after="0"/>
              <w:rPr>
                <w:sz w:val="20"/>
                <w:szCs w:val="20"/>
                <w:color w:val="auto"/>
              </w:rPr>
            </w:pPr>
            <w:r>
              <w:rPr>
                <w:rFonts w:ascii="Arial" w:cs="Arial" w:eastAsia="Arial" w:hAnsi="Arial"/>
                <w:sz w:val="18"/>
                <w:szCs w:val="18"/>
                <w:b w:val="1"/>
                <w:bCs w:val="1"/>
                <w:color w:val="345988"/>
              </w:rPr>
              <w:t xml:space="preserve">89% </w:t>
            </w:r>
            <w:r>
              <w:rPr>
                <w:rFonts w:ascii="Arial" w:cs="Arial" w:eastAsia="Arial" w:hAnsi="Arial"/>
                <w:sz w:val="18"/>
                <w:szCs w:val="18"/>
                <w:color w:val="345988"/>
              </w:rPr>
              <w:t>of our Board currently serve or have</w:t>
            </w:r>
          </w:p>
        </w:tc>
      </w:tr>
      <w:tr>
        <w:trPr>
          <w:trHeight w:val="203"/>
        </w:trPr>
        <w:tc>
          <w:tcPr>
            <w:tcW w:w="3810" w:type="dxa"/>
            <w:vAlign w:val="bottom"/>
            <w:shd w:val="clear" w:color="auto" w:fill="9CA5B9"/>
          </w:tcPr>
          <w:p>
            <w:pPr>
              <w:ind w:left="80"/>
              <w:spacing w:after="0" w:line="202" w:lineRule="exact"/>
              <w:rPr>
                <w:sz w:val="20"/>
                <w:szCs w:val="20"/>
                <w:color w:val="auto"/>
              </w:rPr>
            </w:pPr>
            <w:r>
              <w:rPr>
                <w:rFonts w:ascii="Arial" w:cs="Arial" w:eastAsia="Arial" w:hAnsi="Arial"/>
                <w:sz w:val="18"/>
                <w:szCs w:val="18"/>
                <w:color w:val="345988"/>
              </w:rPr>
              <w:t>women</w:t>
            </w:r>
          </w:p>
        </w:tc>
        <w:tc>
          <w:tcPr>
            <w:tcW w:w="3770" w:type="dxa"/>
            <w:vAlign w:val="bottom"/>
            <w:shd w:val="clear" w:color="auto" w:fill="9CA5B9"/>
          </w:tcPr>
          <w:p>
            <w:pPr>
              <w:ind w:left="110"/>
              <w:spacing w:after="0" w:line="202" w:lineRule="exact"/>
              <w:rPr>
                <w:sz w:val="20"/>
                <w:szCs w:val="20"/>
                <w:color w:val="auto"/>
              </w:rPr>
            </w:pPr>
            <w:r>
              <w:rPr>
                <w:rFonts w:ascii="Arial" w:cs="Arial" w:eastAsia="Arial" w:hAnsi="Arial"/>
                <w:sz w:val="18"/>
                <w:szCs w:val="18"/>
                <w:color w:val="345988"/>
              </w:rPr>
              <w:t>served on the Boards of other publicly traded</w:t>
            </w:r>
          </w:p>
        </w:tc>
        <w:tc>
          <w:tcPr>
            <w:tcW w:w="3840" w:type="dxa"/>
            <w:vAlign w:val="bottom"/>
            <w:shd w:val="clear" w:color="auto" w:fill="9CA5B9"/>
          </w:tcPr>
          <w:p>
            <w:pPr>
              <w:ind w:left="220"/>
              <w:spacing w:after="0" w:line="202" w:lineRule="exact"/>
              <w:rPr>
                <w:sz w:val="20"/>
                <w:szCs w:val="20"/>
                <w:color w:val="auto"/>
              </w:rPr>
            </w:pPr>
            <w:r>
              <w:rPr>
                <w:rFonts w:ascii="Arial" w:cs="Arial" w:eastAsia="Arial" w:hAnsi="Arial"/>
                <w:sz w:val="18"/>
                <w:szCs w:val="18"/>
                <w:color w:val="345988"/>
              </w:rPr>
              <w:t>served as CEO or in senior leadership</w:t>
            </w:r>
          </w:p>
        </w:tc>
      </w:tr>
      <w:tr>
        <w:trPr>
          <w:trHeight w:val="211"/>
        </w:trPr>
        <w:tc>
          <w:tcPr>
            <w:tcW w:w="3810" w:type="dxa"/>
            <w:vAlign w:val="bottom"/>
            <w:shd w:val="clear" w:color="auto" w:fill="9CA5B9"/>
          </w:tcPr>
          <w:p>
            <w:pPr>
              <w:spacing w:after="0"/>
              <w:rPr>
                <w:sz w:val="18"/>
                <w:szCs w:val="18"/>
                <w:color w:val="auto"/>
              </w:rPr>
            </w:pPr>
          </w:p>
        </w:tc>
        <w:tc>
          <w:tcPr>
            <w:tcW w:w="3770" w:type="dxa"/>
            <w:vAlign w:val="bottom"/>
            <w:shd w:val="clear" w:color="auto" w:fill="9CA5B9"/>
          </w:tcPr>
          <w:p>
            <w:pPr>
              <w:ind w:left="110"/>
              <w:spacing w:after="0"/>
              <w:rPr>
                <w:sz w:val="20"/>
                <w:szCs w:val="20"/>
                <w:color w:val="auto"/>
              </w:rPr>
            </w:pPr>
            <w:r>
              <w:rPr>
                <w:rFonts w:ascii="Arial" w:cs="Arial" w:eastAsia="Arial" w:hAnsi="Arial"/>
                <w:sz w:val="18"/>
                <w:szCs w:val="18"/>
                <w:color w:val="345988"/>
              </w:rPr>
              <w:t>companies</w:t>
            </w:r>
          </w:p>
        </w:tc>
        <w:tc>
          <w:tcPr>
            <w:tcW w:w="3840" w:type="dxa"/>
            <w:vAlign w:val="bottom"/>
            <w:shd w:val="clear" w:color="auto" w:fill="9CA5B9"/>
          </w:tcPr>
          <w:p>
            <w:pPr>
              <w:ind w:left="220"/>
              <w:spacing w:after="0"/>
              <w:rPr>
                <w:sz w:val="20"/>
                <w:szCs w:val="20"/>
                <w:color w:val="auto"/>
              </w:rPr>
            </w:pPr>
            <w:r>
              <w:rPr>
                <w:rFonts w:ascii="Arial" w:cs="Arial" w:eastAsia="Arial" w:hAnsi="Arial"/>
                <w:sz w:val="18"/>
                <w:szCs w:val="18"/>
                <w:color w:val="345988"/>
              </w:rPr>
              <w:t>positions</w:t>
            </w:r>
          </w:p>
        </w:tc>
      </w:tr>
      <w:tr>
        <w:trPr>
          <w:trHeight w:val="97"/>
        </w:trPr>
        <w:tc>
          <w:tcPr>
            <w:tcW w:w="3810" w:type="dxa"/>
            <w:vAlign w:val="bottom"/>
            <w:shd w:val="clear" w:color="auto" w:fill="9CA5B9"/>
          </w:tcPr>
          <w:p>
            <w:pPr>
              <w:spacing w:after="0"/>
              <w:rPr>
                <w:sz w:val="8"/>
                <w:szCs w:val="8"/>
                <w:color w:val="auto"/>
              </w:rPr>
            </w:pPr>
          </w:p>
        </w:tc>
        <w:tc>
          <w:tcPr>
            <w:tcW w:w="3770" w:type="dxa"/>
            <w:vAlign w:val="bottom"/>
            <w:shd w:val="clear" w:color="auto" w:fill="9CA5B9"/>
          </w:tcPr>
          <w:p>
            <w:pPr>
              <w:spacing w:after="0"/>
              <w:rPr>
                <w:sz w:val="8"/>
                <w:szCs w:val="8"/>
                <w:color w:val="auto"/>
              </w:rPr>
            </w:pPr>
          </w:p>
        </w:tc>
        <w:tc>
          <w:tcPr>
            <w:tcW w:w="3840" w:type="dxa"/>
            <w:vAlign w:val="bottom"/>
            <w:shd w:val="clear" w:color="auto" w:fill="9CA5B9"/>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-1843405</wp:posOffset>
            </wp:positionV>
            <wp:extent cx="71520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-1268730</wp:posOffset>
            </wp:positionV>
            <wp:extent cx="771525" cy="780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78041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-1268730</wp:posOffset>
            </wp:positionV>
            <wp:extent cx="1080770" cy="746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0770" cy="74612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-1268730</wp:posOffset>
            </wp:positionV>
            <wp:extent cx="737235" cy="771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7235" cy="77152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Identification of Director Candidates</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Each director candidate must have:</w:t>
      </w:r>
    </w:p>
    <w:p>
      <w:pPr>
        <w:spacing w:after="0" w:line="212" w:lineRule="exact"/>
        <w:rPr>
          <w:sz w:val="20"/>
          <w:szCs w:val="20"/>
          <w:color w:val="auto"/>
        </w:rPr>
      </w:pPr>
    </w:p>
    <w:p>
      <w:pPr>
        <w:ind w:left="300" w:right="340" w:hanging="292"/>
        <w:spacing w:after="0" w:line="239" w:lineRule="auto"/>
        <w:tabs>
          <w:tab w:leader="none" w:pos="300" w:val="left"/>
        </w:tabs>
        <w:numPr>
          <w:ilvl w:val="0"/>
          <w:numId w:val="47"/>
        </w:numPr>
        <w:rPr>
          <w:rFonts w:ascii="Arial" w:cs="Arial" w:eastAsia="Arial" w:hAnsi="Arial"/>
          <w:sz w:val="18"/>
          <w:szCs w:val="18"/>
          <w:color w:val="345988"/>
        </w:rPr>
      </w:pPr>
      <w:r>
        <w:rPr>
          <w:rFonts w:ascii="Arial" w:cs="Arial" w:eastAsia="Arial" w:hAnsi="Arial"/>
          <w:sz w:val="18"/>
          <w:szCs w:val="18"/>
          <w:color w:val="auto"/>
        </w:rPr>
        <w:t>education and experience that provides knowledge of business, financial, governmental or legal matters that are relevant to the Company’s business or to its status as a publicly owned company;</w:t>
      </w:r>
    </w:p>
    <w:p>
      <w:pPr>
        <w:spacing w:after="0" w:line="195" w:lineRule="exact"/>
        <w:rPr>
          <w:rFonts w:ascii="Arial" w:cs="Arial" w:eastAsia="Arial" w:hAnsi="Arial"/>
          <w:sz w:val="18"/>
          <w:szCs w:val="18"/>
          <w:color w:val="345988"/>
        </w:rPr>
      </w:pPr>
    </w:p>
    <w:p>
      <w:pPr>
        <w:ind w:left="300" w:hanging="292"/>
        <w:spacing w:after="0"/>
        <w:tabs>
          <w:tab w:leader="none" w:pos="300" w:val="left"/>
        </w:tabs>
        <w:numPr>
          <w:ilvl w:val="0"/>
          <w:numId w:val="47"/>
        </w:numPr>
        <w:rPr>
          <w:rFonts w:ascii="Arial" w:cs="Arial" w:eastAsia="Arial" w:hAnsi="Arial"/>
          <w:sz w:val="18"/>
          <w:szCs w:val="18"/>
          <w:color w:val="345988"/>
        </w:rPr>
      </w:pPr>
      <w:r>
        <w:rPr>
          <w:rFonts w:ascii="Arial" w:cs="Arial" w:eastAsia="Arial" w:hAnsi="Arial"/>
          <w:sz w:val="18"/>
          <w:szCs w:val="18"/>
          <w:color w:val="auto"/>
        </w:rPr>
        <w:t>an unblemished reputation for integrity;</w:t>
      </w:r>
    </w:p>
    <w:p>
      <w:pPr>
        <w:spacing w:after="0" w:line="198" w:lineRule="exact"/>
        <w:rPr>
          <w:rFonts w:ascii="Arial" w:cs="Arial" w:eastAsia="Arial" w:hAnsi="Arial"/>
          <w:sz w:val="18"/>
          <w:szCs w:val="18"/>
          <w:color w:val="345988"/>
        </w:rPr>
      </w:pPr>
    </w:p>
    <w:p>
      <w:pPr>
        <w:ind w:left="300" w:hanging="292"/>
        <w:spacing w:after="0"/>
        <w:tabs>
          <w:tab w:leader="none" w:pos="300" w:val="left"/>
        </w:tabs>
        <w:numPr>
          <w:ilvl w:val="0"/>
          <w:numId w:val="47"/>
        </w:numPr>
        <w:rPr>
          <w:rFonts w:ascii="Arial" w:cs="Arial" w:eastAsia="Arial" w:hAnsi="Arial"/>
          <w:sz w:val="18"/>
          <w:szCs w:val="18"/>
          <w:color w:val="345988"/>
        </w:rPr>
      </w:pPr>
      <w:r>
        <w:rPr>
          <w:rFonts w:ascii="Arial" w:cs="Arial" w:eastAsia="Arial" w:hAnsi="Arial"/>
          <w:sz w:val="18"/>
          <w:szCs w:val="18"/>
          <w:color w:val="auto"/>
        </w:rPr>
        <w:t>a reputation for exercising good business judgment; and</w:t>
      </w:r>
    </w:p>
    <w:p>
      <w:pPr>
        <w:spacing w:after="0" w:line="198" w:lineRule="exact"/>
        <w:rPr>
          <w:rFonts w:ascii="Arial" w:cs="Arial" w:eastAsia="Arial" w:hAnsi="Arial"/>
          <w:sz w:val="18"/>
          <w:szCs w:val="18"/>
          <w:color w:val="345988"/>
        </w:rPr>
      </w:pPr>
    </w:p>
    <w:p>
      <w:pPr>
        <w:ind w:left="300" w:right="160" w:hanging="292"/>
        <w:spacing w:after="0" w:line="239" w:lineRule="auto"/>
        <w:tabs>
          <w:tab w:leader="none" w:pos="300" w:val="left"/>
        </w:tabs>
        <w:numPr>
          <w:ilvl w:val="0"/>
          <w:numId w:val="47"/>
        </w:numPr>
        <w:rPr>
          <w:rFonts w:ascii="Arial" w:cs="Arial" w:eastAsia="Arial" w:hAnsi="Arial"/>
          <w:sz w:val="18"/>
          <w:szCs w:val="18"/>
          <w:color w:val="345988"/>
        </w:rPr>
      </w:pPr>
      <w:r>
        <w:rPr>
          <w:rFonts w:ascii="Arial" w:cs="Arial" w:eastAsia="Arial" w:hAnsi="Arial"/>
          <w:sz w:val="18"/>
          <w:szCs w:val="18"/>
          <w:color w:val="auto"/>
        </w:rPr>
        <w:t>sufficient available time to be able to fulfill his or her responsibilities as a member of the Board and of any committees to which he or she may be appointed.</w:t>
      </w:r>
    </w:p>
    <w:p>
      <w:pPr>
        <w:spacing w:after="0" w:line="2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208"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3379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37945"/>
                    </a:xfrm>
                    <a:prstGeom prst="rect">
                      <a:avLst/>
                    </a:prstGeom>
                    <a:noFill/>
                  </pic:spPr>
                </pic:pic>
              </a:graphicData>
            </a:graphic>
          </wp:anchor>
        </w:drawing>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5988"/>
        </w:rPr>
        <w:t>Director Recruitment Process</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20" w:type="dxa"/>
            <w:vAlign w:val="bottom"/>
            <w:vMerge w:val="restart"/>
            <w:shd w:val="clear" w:color="auto" w:fill="9CA5B9"/>
          </w:tcPr>
          <w:p>
            <w:pPr>
              <w:spacing w:after="0"/>
              <w:rPr>
                <w:sz w:val="20"/>
                <w:szCs w:val="20"/>
                <w:color w:val="auto"/>
              </w:rPr>
            </w:pPr>
            <w:r>
              <w:rPr>
                <w:rFonts w:ascii="Arial" w:cs="Arial" w:eastAsia="Arial" w:hAnsi="Arial"/>
                <w:sz w:val="36"/>
                <w:szCs w:val="36"/>
                <w:color w:val="FFFFFF"/>
                <w:w w:val="99"/>
              </w:rPr>
              <w:t>1</w:t>
            </w:r>
          </w:p>
        </w:tc>
        <w:tc>
          <w:tcPr>
            <w:tcW w:w="2380" w:type="dxa"/>
            <w:vAlign w:val="bottom"/>
            <w:shd w:val="clear" w:color="auto" w:fill="9CA5B9"/>
          </w:tcPr>
          <w:p>
            <w:pPr>
              <w:ind w:left="120"/>
              <w:spacing w:after="0"/>
              <w:rPr>
                <w:sz w:val="20"/>
                <w:szCs w:val="20"/>
                <w:color w:val="auto"/>
              </w:rPr>
            </w:pPr>
            <w:r>
              <w:rPr>
                <w:rFonts w:ascii="Arial" w:cs="Arial" w:eastAsia="Arial" w:hAnsi="Arial"/>
                <w:sz w:val="18"/>
                <w:szCs w:val="18"/>
                <w:b w:val="1"/>
                <w:bCs w:val="1"/>
                <w:color w:val="FFFFFF"/>
              </w:rPr>
              <w:t>Identify Potential</w:t>
            </w:r>
          </w:p>
        </w:tc>
        <w:tc>
          <w:tcPr>
            <w:tcW w:w="440" w:type="dxa"/>
            <w:vAlign w:val="bottom"/>
            <w:vMerge w:val="restart"/>
          </w:tcPr>
          <w:p>
            <w:pPr>
              <w:ind w:left="220"/>
              <w:spacing w:after="0"/>
              <w:rPr>
                <w:sz w:val="20"/>
                <w:szCs w:val="20"/>
                <w:color w:val="auto"/>
              </w:rPr>
            </w:pPr>
            <w:r>
              <w:rPr>
                <w:rFonts w:ascii="Arial" w:cs="Arial" w:eastAsia="Arial" w:hAnsi="Arial"/>
                <w:sz w:val="36"/>
                <w:szCs w:val="36"/>
                <w:color w:val="FFFFFF"/>
                <w:w w:val="99"/>
              </w:rPr>
              <w:t>2</w:t>
            </w:r>
          </w:p>
        </w:tc>
        <w:tc>
          <w:tcPr>
            <w:tcW w:w="2400" w:type="dxa"/>
            <w:vAlign w:val="bottom"/>
          </w:tcPr>
          <w:p>
            <w:pPr>
              <w:ind w:left="120"/>
              <w:spacing w:after="0"/>
              <w:rPr>
                <w:sz w:val="20"/>
                <w:szCs w:val="20"/>
                <w:color w:val="auto"/>
              </w:rPr>
            </w:pPr>
            <w:r>
              <w:rPr>
                <w:rFonts w:ascii="Arial" w:cs="Arial" w:eastAsia="Arial" w:hAnsi="Arial"/>
                <w:sz w:val="18"/>
                <w:szCs w:val="18"/>
                <w:b w:val="1"/>
                <w:bCs w:val="1"/>
                <w:color w:val="FFFFFF"/>
              </w:rPr>
              <w:t>In-Depth Committee</w:t>
            </w:r>
          </w:p>
        </w:tc>
        <w:tc>
          <w:tcPr>
            <w:tcW w:w="460" w:type="dxa"/>
            <w:vAlign w:val="bottom"/>
            <w:vMerge w:val="restart"/>
          </w:tcPr>
          <w:p>
            <w:pPr>
              <w:ind w:left="240"/>
              <w:spacing w:after="0"/>
              <w:rPr>
                <w:sz w:val="20"/>
                <w:szCs w:val="20"/>
                <w:color w:val="auto"/>
              </w:rPr>
            </w:pPr>
            <w:r>
              <w:rPr>
                <w:rFonts w:ascii="Arial" w:cs="Arial" w:eastAsia="Arial" w:hAnsi="Arial"/>
                <w:sz w:val="36"/>
                <w:szCs w:val="36"/>
                <w:color w:val="FFFFFF"/>
                <w:w w:val="99"/>
              </w:rPr>
              <w:t>3</w:t>
            </w:r>
          </w:p>
        </w:tc>
        <w:tc>
          <w:tcPr>
            <w:tcW w:w="2520" w:type="dxa"/>
            <w:vAlign w:val="bottom"/>
          </w:tcPr>
          <w:p>
            <w:pPr>
              <w:ind w:left="140"/>
              <w:spacing w:after="0"/>
              <w:rPr>
                <w:sz w:val="20"/>
                <w:szCs w:val="20"/>
                <w:color w:val="auto"/>
              </w:rPr>
            </w:pPr>
            <w:r>
              <w:rPr>
                <w:rFonts w:ascii="Arial" w:cs="Arial" w:eastAsia="Arial" w:hAnsi="Arial"/>
                <w:sz w:val="18"/>
                <w:szCs w:val="18"/>
                <w:b w:val="1"/>
                <w:bCs w:val="1"/>
                <w:color w:val="FFFFFF"/>
              </w:rPr>
              <w:t>Recommend Candidates to</w:t>
            </w:r>
          </w:p>
        </w:tc>
        <w:tc>
          <w:tcPr>
            <w:tcW w:w="360" w:type="dxa"/>
            <w:vAlign w:val="bottom"/>
            <w:vMerge w:val="restart"/>
          </w:tcPr>
          <w:p>
            <w:pPr>
              <w:ind w:left="120"/>
              <w:spacing w:after="0"/>
              <w:rPr>
                <w:sz w:val="20"/>
                <w:szCs w:val="20"/>
                <w:color w:val="auto"/>
              </w:rPr>
            </w:pPr>
            <w:r>
              <w:rPr>
                <w:rFonts w:ascii="Arial" w:cs="Arial" w:eastAsia="Arial" w:hAnsi="Arial"/>
                <w:sz w:val="36"/>
                <w:szCs w:val="36"/>
                <w:color w:val="FFFFFF"/>
              </w:rPr>
              <w:t>4</w:t>
            </w:r>
          </w:p>
        </w:tc>
        <w:tc>
          <w:tcPr>
            <w:tcW w:w="2480" w:type="dxa"/>
            <w:vAlign w:val="bottom"/>
          </w:tcPr>
          <w:p>
            <w:pPr>
              <w:ind w:left="100"/>
              <w:spacing w:after="0"/>
              <w:rPr>
                <w:sz w:val="20"/>
                <w:szCs w:val="20"/>
                <w:color w:val="auto"/>
              </w:rPr>
            </w:pPr>
            <w:r>
              <w:rPr>
                <w:rFonts w:ascii="Arial" w:cs="Arial" w:eastAsia="Arial" w:hAnsi="Arial"/>
                <w:sz w:val="18"/>
                <w:szCs w:val="18"/>
                <w:b w:val="1"/>
                <w:bCs w:val="1"/>
                <w:color w:val="FFFFFF"/>
              </w:rPr>
              <w:t>Review by Full Board</w:t>
            </w:r>
          </w:p>
        </w:tc>
        <w:tc>
          <w:tcPr>
            <w:tcW w:w="0" w:type="dxa"/>
            <w:vAlign w:val="bottom"/>
          </w:tcPr>
          <w:p>
            <w:pPr>
              <w:spacing w:after="0"/>
              <w:rPr>
                <w:sz w:val="1"/>
                <w:szCs w:val="1"/>
                <w:color w:val="auto"/>
              </w:rPr>
            </w:pPr>
          </w:p>
        </w:tc>
      </w:tr>
      <w:tr>
        <w:trPr>
          <w:trHeight w:val="233"/>
        </w:trPr>
        <w:tc>
          <w:tcPr>
            <w:tcW w:w="220" w:type="dxa"/>
            <w:vAlign w:val="bottom"/>
            <w:vMerge w:val="continue"/>
            <w:shd w:val="clear" w:color="auto" w:fill="9CA5B9"/>
          </w:tcPr>
          <w:p>
            <w:pPr>
              <w:spacing w:after="0"/>
              <w:rPr>
                <w:sz w:val="20"/>
                <w:szCs w:val="20"/>
                <w:color w:val="auto"/>
              </w:rPr>
            </w:pPr>
          </w:p>
        </w:tc>
        <w:tc>
          <w:tcPr>
            <w:tcW w:w="2380" w:type="dxa"/>
            <w:vAlign w:val="bottom"/>
            <w:shd w:val="clear" w:color="auto" w:fill="9CA5B9"/>
          </w:tcPr>
          <w:p>
            <w:pPr>
              <w:ind w:left="120"/>
              <w:spacing w:after="0"/>
              <w:rPr>
                <w:sz w:val="20"/>
                <w:szCs w:val="20"/>
                <w:color w:val="auto"/>
              </w:rPr>
            </w:pPr>
            <w:r>
              <w:rPr>
                <w:rFonts w:ascii="Arial" w:cs="Arial" w:eastAsia="Arial" w:hAnsi="Arial"/>
                <w:sz w:val="18"/>
                <w:szCs w:val="18"/>
                <w:b w:val="1"/>
                <w:bCs w:val="1"/>
                <w:color w:val="FFFFFF"/>
              </w:rPr>
              <w:t>Candidates</w:t>
            </w:r>
          </w:p>
        </w:tc>
        <w:tc>
          <w:tcPr>
            <w:tcW w:w="440" w:type="dxa"/>
            <w:vAlign w:val="bottom"/>
            <w:vMerge w:val="continue"/>
          </w:tcPr>
          <w:p>
            <w:pPr>
              <w:spacing w:after="0"/>
              <w:rPr>
                <w:sz w:val="20"/>
                <w:szCs w:val="20"/>
                <w:color w:val="auto"/>
              </w:rPr>
            </w:pPr>
          </w:p>
        </w:tc>
        <w:tc>
          <w:tcPr>
            <w:tcW w:w="2400" w:type="dxa"/>
            <w:vAlign w:val="bottom"/>
          </w:tcPr>
          <w:p>
            <w:pPr>
              <w:ind w:left="120"/>
              <w:spacing w:after="0"/>
              <w:rPr>
                <w:sz w:val="20"/>
                <w:szCs w:val="20"/>
                <w:color w:val="auto"/>
              </w:rPr>
            </w:pPr>
            <w:r>
              <w:rPr>
                <w:rFonts w:ascii="Arial" w:cs="Arial" w:eastAsia="Arial" w:hAnsi="Arial"/>
                <w:sz w:val="18"/>
                <w:szCs w:val="18"/>
                <w:b w:val="1"/>
                <w:bCs w:val="1"/>
                <w:color w:val="FFFFFF"/>
              </w:rPr>
              <w:t>Review</w:t>
            </w:r>
          </w:p>
        </w:tc>
        <w:tc>
          <w:tcPr>
            <w:tcW w:w="460" w:type="dxa"/>
            <w:vAlign w:val="bottom"/>
            <w:vMerge w:val="continue"/>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8"/>
                <w:szCs w:val="18"/>
                <w:b w:val="1"/>
                <w:bCs w:val="1"/>
                <w:color w:val="FFFFFF"/>
              </w:rPr>
              <w:t>Full Board</w:t>
            </w:r>
          </w:p>
        </w:tc>
        <w:tc>
          <w:tcPr>
            <w:tcW w:w="36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600" w:type="dxa"/>
            <w:vAlign w:val="bottom"/>
            <w:gridSpan w:val="2"/>
            <w:shd w:val="clear" w:color="auto" w:fill="9CA5B9"/>
          </w:tcPr>
          <w:p>
            <w:pPr>
              <w:spacing w:after="0"/>
              <w:rPr>
                <w:sz w:val="20"/>
                <w:szCs w:val="20"/>
                <w:color w:val="auto"/>
              </w:rPr>
            </w:pPr>
            <w:r>
              <w:rPr>
                <w:rFonts w:ascii="Arial" w:cs="Arial" w:eastAsia="Arial" w:hAnsi="Arial"/>
                <w:sz w:val="18"/>
                <w:szCs w:val="18"/>
                <w:color w:val="345988"/>
              </w:rPr>
              <w:t>Identified by:</w:t>
            </w:r>
          </w:p>
        </w:tc>
        <w:tc>
          <w:tcPr>
            <w:tcW w:w="440" w:type="dxa"/>
            <w:vAlign w:val="bottom"/>
            <w:shd w:val="clear" w:color="auto" w:fill="9CA5B9"/>
          </w:tcPr>
          <w:p>
            <w:pPr>
              <w:ind w:left="240"/>
              <w:spacing w:after="0"/>
              <w:rPr>
                <w:sz w:val="20"/>
                <w:szCs w:val="20"/>
                <w:color w:val="auto"/>
              </w:rPr>
            </w:pPr>
            <w:r>
              <w:rPr>
                <w:rFonts w:ascii="Arial" w:cs="Arial" w:eastAsia="Arial" w:hAnsi="Arial"/>
                <w:sz w:val="17"/>
                <w:szCs w:val="17"/>
                <w:color w:val="345988"/>
              </w:rPr>
              <w:t>●</w:t>
            </w:r>
          </w:p>
        </w:tc>
        <w:tc>
          <w:tcPr>
            <w:tcW w:w="2400" w:type="dxa"/>
            <w:vAlign w:val="bottom"/>
            <w:shd w:val="clear" w:color="auto" w:fill="9CA5B9"/>
          </w:tcPr>
          <w:p>
            <w:pPr>
              <w:ind w:left="40"/>
              <w:spacing w:after="0"/>
              <w:rPr>
                <w:sz w:val="20"/>
                <w:szCs w:val="20"/>
                <w:color w:val="auto"/>
              </w:rPr>
            </w:pPr>
            <w:r>
              <w:rPr>
                <w:rFonts w:ascii="Arial" w:cs="Arial" w:eastAsia="Arial" w:hAnsi="Arial"/>
                <w:sz w:val="18"/>
                <w:szCs w:val="18"/>
                <w:color w:val="345988"/>
              </w:rPr>
              <w:t>Consider experience,</w:t>
            </w:r>
          </w:p>
        </w:tc>
        <w:tc>
          <w:tcPr>
            <w:tcW w:w="460" w:type="dxa"/>
            <w:vAlign w:val="bottom"/>
            <w:shd w:val="clear" w:color="auto" w:fill="9CA5B9"/>
          </w:tcPr>
          <w:p>
            <w:pPr>
              <w:ind w:left="260"/>
              <w:spacing w:after="0"/>
              <w:rPr>
                <w:sz w:val="20"/>
                <w:szCs w:val="20"/>
                <w:color w:val="auto"/>
              </w:rPr>
            </w:pPr>
            <w:r>
              <w:rPr>
                <w:rFonts w:ascii="Arial" w:cs="Arial" w:eastAsia="Arial" w:hAnsi="Arial"/>
                <w:sz w:val="17"/>
                <w:szCs w:val="17"/>
                <w:color w:val="345988"/>
              </w:rPr>
              <w:t>●</w:t>
            </w:r>
          </w:p>
        </w:tc>
        <w:tc>
          <w:tcPr>
            <w:tcW w:w="2520" w:type="dxa"/>
            <w:vAlign w:val="bottom"/>
            <w:shd w:val="clear" w:color="auto" w:fill="9CA5B9"/>
          </w:tcPr>
          <w:p>
            <w:pPr>
              <w:ind w:left="40"/>
              <w:spacing w:after="0"/>
              <w:rPr>
                <w:sz w:val="20"/>
                <w:szCs w:val="20"/>
                <w:color w:val="auto"/>
              </w:rPr>
            </w:pPr>
            <w:r>
              <w:rPr>
                <w:rFonts w:ascii="Arial" w:cs="Arial" w:eastAsia="Arial" w:hAnsi="Arial"/>
                <w:sz w:val="18"/>
                <w:szCs w:val="18"/>
                <w:color w:val="345988"/>
              </w:rPr>
              <w:t>NCGC presents potential</w:t>
            </w:r>
          </w:p>
        </w:tc>
        <w:tc>
          <w:tcPr>
            <w:tcW w:w="2840" w:type="dxa"/>
            <w:vAlign w:val="bottom"/>
            <w:gridSpan w:val="2"/>
            <w:shd w:val="clear" w:color="auto" w:fill="9CA5B9"/>
          </w:tcPr>
          <w:p>
            <w:pPr>
              <w:ind w:left="120"/>
              <w:spacing w:after="0"/>
              <w:rPr>
                <w:sz w:val="20"/>
                <w:szCs w:val="20"/>
                <w:color w:val="auto"/>
              </w:rPr>
            </w:pPr>
            <w:r>
              <w:rPr>
                <w:rFonts w:ascii="Arial" w:cs="Arial" w:eastAsia="Arial" w:hAnsi="Arial"/>
                <w:sz w:val="17"/>
                <w:szCs w:val="17"/>
                <w:color w:val="345988"/>
              </w:rPr>
              <w:t>●  The full Board is responsible for</w:t>
            </w:r>
          </w:p>
        </w:tc>
        <w:tc>
          <w:tcPr>
            <w:tcW w:w="0" w:type="dxa"/>
            <w:vAlign w:val="bottom"/>
          </w:tcPr>
          <w:p>
            <w:pPr>
              <w:spacing w:after="0"/>
              <w:rPr>
                <w:sz w:val="1"/>
                <w:szCs w:val="1"/>
                <w:color w:val="auto"/>
              </w:rPr>
            </w:pPr>
          </w:p>
        </w:tc>
      </w:tr>
      <w:tr>
        <w:trPr>
          <w:trHeight w:val="216"/>
        </w:trPr>
        <w:tc>
          <w:tcPr>
            <w:tcW w:w="220" w:type="dxa"/>
            <w:vAlign w:val="bottom"/>
            <w:shd w:val="clear" w:color="auto" w:fill="9CA5B9"/>
          </w:tcPr>
          <w:p>
            <w:pPr>
              <w:spacing w:after="0"/>
              <w:rPr>
                <w:sz w:val="20"/>
                <w:szCs w:val="20"/>
                <w:color w:val="auto"/>
              </w:rPr>
            </w:pPr>
            <w:r>
              <w:rPr>
                <w:rFonts w:ascii="Arial" w:cs="Arial" w:eastAsia="Arial" w:hAnsi="Arial"/>
                <w:sz w:val="17"/>
                <w:szCs w:val="17"/>
                <w:color w:val="345988"/>
              </w:rPr>
              <w:t>●</w:t>
            </w:r>
          </w:p>
        </w:tc>
        <w:tc>
          <w:tcPr>
            <w:tcW w:w="2380" w:type="dxa"/>
            <w:vAlign w:val="bottom"/>
            <w:shd w:val="clear" w:color="auto" w:fill="9CA5B9"/>
          </w:tcPr>
          <w:p>
            <w:pPr>
              <w:ind w:left="20"/>
              <w:spacing w:after="0"/>
              <w:rPr>
                <w:sz w:val="20"/>
                <w:szCs w:val="20"/>
                <w:color w:val="auto"/>
              </w:rPr>
            </w:pPr>
            <w:r>
              <w:rPr>
                <w:rFonts w:ascii="Arial" w:cs="Arial" w:eastAsia="Arial" w:hAnsi="Arial"/>
                <w:sz w:val="18"/>
                <w:szCs w:val="18"/>
                <w:color w:val="345988"/>
              </w:rPr>
              <w:t>Independent Directors</w:t>
            </w:r>
          </w:p>
        </w:tc>
        <w:tc>
          <w:tcPr>
            <w:tcW w:w="440" w:type="dxa"/>
            <w:vAlign w:val="bottom"/>
            <w:shd w:val="clear" w:color="auto" w:fill="9CA5B9"/>
          </w:tcPr>
          <w:p>
            <w:pPr>
              <w:spacing w:after="0"/>
              <w:rPr>
                <w:sz w:val="18"/>
                <w:szCs w:val="18"/>
                <w:color w:val="auto"/>
              </w:rPr>
            </w:pPr>
          </w:p>
        </w:tc>
        <w:tc>
          <w:tcPr>
            <w:tcW w:w="2400" w:type="dxa"/>
            <w:vAlign w:val="bottom"/>
            <w:shd w:val="clear" w:color="auto" w:fill="9CA5B9"/>
          </w:tcPr>
          <w:p>
            <w:pPr>
              <w:ind w:left="60"/>
              <w:spacing w:after="0"/>
              <w:rPr>
                <w:sz w:val="20"/>
                <w:szCs w:val="20"/>
                <w:color w:val="auto"/>
              </w:rPr>
            </w:pPr>
            <w:r>
              <w:rPr>
                <w:rFonts w:ascii="Arial" w:cs="Arial" w:eastAsia="Arial" w:hAnsi="Arial"/>
                <w:sz w:val="18"/>
                <w:szCs w:val="18"/>
                <w:color w:val="345988"/>
              </w:rPr>
              <w:t>qualifications, and diversity</w:t>
            </w:r>
          </w:p>
        </w:tc>
        <w:tc>
          <w:tcPr>
            <w:tcW w:w="460" w:type="dxa"/>
            <w:vAlign w:val="bottom"/>
            <w:shd w:val="clear" w:color="auto" w:fill="9CA5B9"/>
          </w:tcPr>
          <w:p>
            <w:pPr>
              <w:spacing w:after="0"/>
              <w:rPr>
                <w:sz w:val="18"/>
                <w:szCs w:val="18"/>
                <w:color w:val="auto"/>
              </w:rPr>
            </w:pPr>
          </w:p>
        </w:tc>
        <w:tc>
          <w:tcPr>
            <w:tcW w:w="2520" w:type="dxa"/>
            <w:vAlign w:val="bottom"/>
            <w:shd w:val="clear" w:color="auto" w:fill="9CA5B9"/>
          </w:tcPr>
          <w:p>
            <w:pPr>
              <w:ind w:left="60"/>
              <w:spacing w:after="0"/>
              <w:rPr>
                <w:sz w:val="20"/>
                <w:szCs w:val="20"/>
                <w:color w:val="auto"/>
              </w:rPr>
            </w:pPr>
            <w:r>
              <w:rPr>
                <w:rFonts w:ascii="Arial" w:cs="Arial" w:eastAsia="Arial" w:hAnsi="Arial"/>
                <w:sz w:val="18"/>
                <w:szCs w:val="18"/>
                <w:color w:val="345988"/>
              </w:rPr>
              <w:t>candidates to full Board for</w:t>
            </w:r>
          </w:p>
        </w:tc>
        <w:tc>
          <w:tcPr>
            <w:tcW w:w="360" w:type="dxa"/>
            <w:vAlign w:val="bottom"/>
            <w:shd w:val="clear" w:color="auto" w:fill="9CA5B9"/>
          </w:tcPr>
          <w:p>
            <w:pPr>
              <w:spacing w:after="0"/>
              <w:rPr>
                <w:sz w:val="18"/>
                <w:szCs w:val="18"/>
                <w:color w:val="auto"/>
              </w:rPr>
            </w:pPr>
          </w:p>
        </w:tc>
        <w:tc>
          <w:tcPr>
            <w:tcW w:w="2480" w:type="dxa"/>
            <w:vAlign w:val="bottom"/>
            <w:shd w:val="clear" w:color="auto" w:fill="9CA5B9"/>
          </w:tcPr>
          <w:p>
            <w:pPr>
              <w:ind w:left="20"/>
              <w:spacing w:after="0"/>
              <w:rPr>
                <w:sz w:val="20"/>
                <w:szCs w:val="20"/>
                <w:color w:val="auto"/>
              </w:rPr>
            </w:pPr>
            <w:r>
              <w:rPr>
                <w:rFonts w:ascii="Arial" w:cs="Arial" w:eastAsia="Arial" w:hAnsi="Arial"/>
                <w:sz w:val="18"/>
                <w:szCs w:val="18"/>
                <w:color w:val="345988"/>
                <w:w w:val="99"/>
              </w:rPr>
              <w:t>approving potential candidates</w:t>
            </w:r>
          </w:p>
        </w:tc>
        <w:tc>
          <w:tcPr>
            <w:tcW w:w="0" w:type="dxa"/>
            <w:vAlign w:val="bottom"/>
          </w:tcPr>
          <w:p>
            <w:pPr>
              <w:spacing w:after="0"/>
              <w:rPr>
                <w:sz w:val="1"/>
                <w:szCs w:val="1"/>
                <w:color w:val="auto"/>
              </w:rPr>
            </w:pPr>
          </w:p>
        </w:tc>
      </w:tr>
      <w:tr>
        <w:trPr>
          <w:trHeight w:val="216"/>
        </w:trPr>
        <w:tc>
          <w:tcPr>
            <w:tcW w:w="220" w:type="dxa"/>
            <w:vAlign w:val="bottom"/>
            <w:shd w:val="clear" w:color="auto" w:fill="9CA5B9"/>
          </w:tcPr>
          <w:p>
            <w:pPr>
              <w:spacing w:after="0"/>
              <w:rPr>
                <w:sz w:val="20"/>
                <w:szCs w:val="20"/>
                <w:color w:val="auto"/>
              </w:rPr>
            </w:pPr>
            <w:r>
              <w:rPr>
                <w:rFonts w:ascii="Arial" w:cs="Arial" w:eastAsia="Arial" w:hAnsi="Arial"/>
                <w:sz w:val="17"/>
                <w:szCs w:val="17"/>
                <w:color w:val="345988"/>
              </w:rPr>
              <w:t>●</w:t>
            </w:r>
          </w:p>
        </w:tc>
        <w:tc>
          <w:tcPr>
            <w:tcW w:w="2380" w:type="dxa"/>
            <w:vAlign w:val="bottom"/>
            <w:shd w:val="clear" w:color="auto" w:fill="9CA5B9"/>
          </w:tcPr>
          <w:p>
            <w:pPr>
              <w:ind w:left="20"/>
              <w:spacing w:after="0"/>
              <w:rPr>
                <w:sz w:val="20"/>
                <w:szCs w:val="20"/>
                <w:color w:val="auto"/>
              </w:rPr>
            </w:pPr>
            <w:r>
              <w:rPr>
                <w:rFonts w:ascii="Arial" w:cs="Arial" w:eastAsia="Arial" w:hAnsi="Arial"/>
                <w:sz w:val="18"/>
                <w:szCs w:val="18"/>
                <w:color w:val="345988"/>
              </w:rPr>
              <w:t>Executive Officers</w:t>
            </w:r>
          </w:p>
        </w:tc>
        <w:tc>
          <w:tcPr>
            <w:tcW w:w="2840" w:type="dxa"/>
            <w:vAlign w:val="bottom"/>
            <w:gridSpan w:val="2"/>
            <w:shd w:val="clear" w:color="auto" w:fill="9CA5B9"/>
          </w:tcPr>
          <w:p>
            <w:pPr>
              <w:ind w:left="240"/>
              <w:spacing w:after="0"/>
              <w:rPr>
                <w:sz w:val="20"/>
                <w:szCs w:val="20"/>
                <w:color w:val="auto"/>
              </w:rPr>
            </w:pPr>
            <w:r>
              <w:rPr>
                <w:rFonts w:ascii="Arial" w:cs="Arial" w:eastAsia="Arial" w:hAnsi="Arial"/>
                <w:sz w:val="17"/>
                <w:szCs w:val="17"/>
                <w:color w:val="345988"/>
              </w:rPr>
              <w:t>●  Meet with candidates and</w:t>
            </w:r>
          </w:p>
        </w:tc>
        <w:tc>
          <w:tcPr>
            <w:tcW w:w="460" w:type="dxa"/>
            <w:vAlign w:val="bottom"/>
            <w:shd w:val="clear" w:color="auto" w:fill="9CA5B9"/>
          </w:tcPr>
          <w:p>
            <w:pPr>
              <w:spacing w:after="0"/>
              <w:rPr>
                <w:sz w:val="18"/>
                <w:szCs w:val="18"/>
                <w:color w:val="auto"/>
              </w:rPr>
            </w:pPr>
          </w:p>
        </w:tc>
        <w:tc>
          <w:tcPr>
            <w:tcW w:w="2520" w:type="dxa"/>
            <w:vAlign w:val="bottom"/>
            <w:shd w:val="clear" w:color="auto" w:fill="9CA5B9"/>
          </w:tcPr>
          <w:p>
            <w:pPr>
              <w:ind w:left="60"/>
              <w:spacing w:after="0"/>
              <w:rPr>
                <w:sz w:val="20"/>
                <w:szCs w:val="20"/>
                <w:color w:val="auto"/>
              </w:rPr>
            </w:pPr>
            <w:r>
              <w:rPr>
                <w:rFonts w:ascii="Arial" w:cs="Arial" w:eastAsia="Arial" w:hAnsi="Arial"/>
                <w:sz w:val="18"/>
                <w:szCs w:val="18"/>
                <w:color w:val="345988"/>
              </w:rPr>
              <w:t>open discussion</w:t>
            </w:r>
          </w:p>
        </w:tc>
        <w:tc>
          <w:tcPr>
            <w:tcW w:w="360" w:type="dxa"/>
            <w:vAlign w:val="bottom"/>
            <w:shd w:val="clear" w:color="auto" w:fill="9CA5B9"/>
          </w:tcPr>
          <w:p>
            <w:pPr>
              <w:spacing w:after="0"/>
              <w:rPr>
                <w:sz w:val="18"/>
                <w:szCs w:val="18"/>
                <w:color w:val="auto"/>
              </w:rPr>
            </w:pPr>
          </w:p>
        </w:tc>
        <w:tc>
          <w:tcPr>
            <w:tcW w:w="2480" w:type="dxa"/>
            <w:vAlign w:val="bottom"/>
            <w:shd w:val="clear" w:color="auto" w:fill="9CA5B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gridSpan w:val="2"/>
            <w:shd w:val="clear" w:color="auto" w:fill="9CA5B9"/>
          </w:tcPr>
          <w:p>
            <w:pPr>
              <w:spacing w:after="0"/>
              <w:rPr>
                <w:sz w:val="20"/>
                <w:szCs w:val="20"/>
                <w:color w:val="auto"/>
              </w:rPr>
            </w:pPr>
            <w:r>
              <w:rPr>
                <w:rFonts w:ascii="Arial" w:cs="Arial" w:eastAsia="Arial" w:hAnsi="Arial"/>
                <w:sz w:val="17"/>
                <w:szCs w:val="17"/>
                <w:color w:val="345988"/>
              </w:rPr>
              <w:t>●  Third Party Search Firms</w:t>
            </w:r>
          </w:p>
        </w:tc>
        <w:tc>
          <w:tcPr>
            <w:tcW w:w="440" w:type="dxa"/>
            <w:vAlign w:val="bottom"/>
            <w:vMerge w:val="restart"/>
            <w:shd w:val="clear" w:color="auto" w:fill="9CA5B9"/>
          </w:tcPr>
          <w:p>
            <w:pPr>
              <w:ind w:left="240"/>
              <w:spacing w:after="0"/>
              <w:rPr>
                <w:sz w:val="20"/>
                <w:szCs w:val="20"/>
                <w:color w:val="auto"/>
              </w:rPr>
            </w:pPr>
            <w:r>
              <w:rPr>
                <w:rFonts w:ascii="Arial" w:cs="Arial" w:eastAsia="Arial" w:hAnsi="Arial"/>
                <w:sz w:val="17"/>
                <w:szCs w:val="17"/>
                <w:color w:val="345988"/>
              </w:rPr>
              <w:t>●</w:t>
            </w:r>
          </w:p>
        </w:tc>
        <w:tc>
          <w:tcPr>
            <w:tcW w:w="2400" w:type="dxa"/>
            <w:vAlign w:val="bottom"/>
            <w:shd w:val="clear" w:color="auto" w:fill="9CA5B9"/>
          </w:tcPr>
          <w:p>
            <w:pPr>
              <w:ind w:left="60"/>
              <w:spacing w:after="0"/>
              <w:rPr>
                <w:sz w:val="20"/>
                <w:szCs w:val="20"/>
                <w:color w:val="auto"/>
              </w:rPr>
            </w:pPr>
            <w:r>
              <w:rPr>
                <w:rFonts w:ascii="Arial" w:cs="Arial" w:eastAsia="Arial" w:hAnsi="Arial"/>
                <w:sz w:val="18"/>
                <w:szCs w:val="18"/>
                <w:color w:val="345988"/>
              </w:rPr>
              <w:t>conduct interviews</w:t>
            </w:r>
          </w:p>
        </w:tc>
        <w:tc>
          <w:tcPr>
            <w:tcW w:w="460" w:type="dxa"/>
            <w:vAlign w:val="bottom"/>
            <w:shd w:val="clear" w:color="auto" w:fill="9CA5B9"/>
          </w:tcPr>
          <w:p>
            <w:pPr>
              <w:spacing w:after="0"/>
              <w:rPr>
                <w:sz w:val="18"/>
                <w:szCs w:val="18"/>
                <w:color w:val="auto"/>
              </w:rPr>
            </w:pPr>
          </w:p>
        </w:tc>
        <w:tc>
          <w:tcPr>
            <w:tcW w:w="2520" w:type="dxa"/>
            <w:vAlign w:val="bottom"/>
            <w:shd w:val="clear" w:color="auto" w:fill="9CA5B9"/>
          </w:tcPr>
          <w:p>
            <w:pPr>
              <w:spacing w:after="0"/>
              <w:rPr>
                <w:sz w:val="18"/>
                <w:szCs w:val="18"/>
                <w:color w:val="auto"/>
              </w:rPr>
            </w:pPr>
          </w:p>
        </w:tc>
        <w:tc>
          <w:tcPr>
            <w:tcW w:w="360" w:type="dxa"/>
            <w:vAlign w:val="bottom"/>
            <w:shd w:val="clear" w:color="auto" w:fill="9CA5B9"/>
          </w:tcPr>
          <w:p>
            <w:pPr>
              <w:spacing w:after="0"/>
              <w:rPr>
                <w:sz w:val="18"/>
                <w:szCs w:val="18"/>
                <w:color w:val="auto"/>
              </w:rPr>
            </w:pPr>
          </w:p>
        </w:tc>
        <w:tc>
          <w:tcPr>
            <w:tcW w:w="2480" w:type="dxa"/>
            <w:vAlign w:val="bottom"/>
            <w:shd w:val="clear" w:color="auto" w:fill="9CA5B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9CA5B9"/>
          </w:tcPr>
          <w:p>
            <w:pPr>
              <w:spacing w:after="0"/>
              <w:rPr>
                <w:sz w:val="20"/>
                <w:szCs w:val="20"/>
                <w:color w:val="auto"/>
              </w:rPr>
            </w:pPr>
            <w:r>
              <w:rPr>
                <w:rFonts w:ascii="Arial" w:cs="Arial" w:eastAsia="Arial" w:hAnsi="Arial"/>
                <w:sz w:val="17"/>
                <w:szCs w:val="17"/>
                <w:color w:val="345988"/>
              </w:rPr>
              <w:t>●</w:t>
            </w:r>
          </w:p>
        </w:tc>
        <w:tc>
          <w:tcPr>
            <w:tcW w:w="2380" w:type="dxa"/>
            <w:vAlign w:val="bottom"/>
            <w:shd w:val="clear" w:color="auto" w:fill="9CA5B9"/>
          </w:tcPr>
          <w:p>
            <w:pPr>
              <w:ind w:left="20"/>
              <w:spacing w:after="0"/>
              <w:rPr>
                <w:sz w:val="20"/>
                <w:szCs w:val="20"/>
                <w:color w:val="auto"/>
              </w:rPr>
            </w:pPr>
            <w:r>
              <w:rPr>
                <w:rFonts w:ascii="Arial" w:cs="Arial" w:eastAsia="Arial" w:hAnsi="Arial"/>
                <w:sz w:val="18"/>
                <w:szCs w:val="18"/>
                <w:color w:val="345988"/>
              </w:rPr>
              <w:t>Stockholders</w:t>
            </w:r>
          </w:p>
        </w:tc>
        <w:tc>
          <w:tcPr>
            <w:tcW w:w="440" w:type="dxa"/>
            <w:vAlign w:val="bottom"/>
            <w:vMerge w:val="continue"/>
            <w:shd w:val="clear" w:color="auto" w:fill="9CA5B9"/>
          </w:tcPr>
          <w:p>
            <w:pPr>
              <w:spacing w:after="0"/>
              <w:rPr>
                <w:sz w:val="18"/>
                <w:szCs w:val="18"/>
                <w:color w:val="auto"/>
              </w:rPr>
            </w:pPr>
          </w:p>
        </w:tc>
        <w:tc>
          <w:tcPr>
            <w:tcW w:w="2400" w:type="dxa"/>
            <w:vAlign w:val="bottom"/>
            <w:shd w:val="clear" w:color="auto" w:fill="9CA5B9"/>
          </w:tcPr>
          <w:p>
            <w:pPr>
              <w:ind w:left="40"/>
              <w:spacing w:after="0"/>
              <w:rPr>
                <w:sz w:val="20"/>
                <w:szCs w:val="20"/>
                <w:color w:val="auto"/>
              </w:rPr>
            </w:pPr>
            <w:r>
              <w:rPr>
                <w:rFonts w:ascii="Arial" w:cs="Arial" w:eastAsia="Arial" w:hAnsi="Arial"/>
                <w:sz w:val="18"/>
                <w:szCs w:val="18"/>
                <w:color w:val="345988"/>
              </w:rPr>
              <w:t>Review independence and</w:t>
            </w:r>
          </w:p>
        </w:tc>
        <w:tc>
          <w:tcPr>
            <w:tcW w:w="460" w:type="dxa"/>
            <w:vAlign w:val="bottom"/>
            <w:shd w:val="clear" w:color="auto" w:fill="9CA5B9"/>
          </w:tcPr>
          <w:p>
            <w:pPr>
              <w:spacing w:after="0"/>
              <w:rPr>
                <w:sz w:val="18"/>
                <w:szCs w:val="18"/>
                <w:color w:val="auto"/>
              </w:rPr>
            </w:pPr>
          </w:p>
        </w:tc>
        <w:tc>
          <w:tcPr>
            <w:tcW w:w="2520" w:type="dxa"/>
            <w:vAlign w:val="bottom"/>
            <w:shd w:val="clear" w:color="auto" w:fill="9CA5B9"/>
          </w:tcPr>
          <w:p>
            <w:pPr>
              <w:spacing w:after="0"/>
              <w:rPr>
                <w:sz w:val="18"/>
                <w:szCs w:val="18"/>
                <w:color w:val="auto"/>
              </w:rPr>
            </w:pPr>
          </w:p>
        </w:tc>
        <w:tc>
          <w:tcPr>
            <w:tcW w:w="360" w:type="dxa"/>
            <w:vAlign w:val="bottom"/>
            <w:shd w:val="clear" w:color="auto" w:fill="9CA5B9"/>
          </w:tcPr>
          <w:p>
            <w:pPr>
              <w:spacing w:after="0"/>
              <w:rPr>
                <w:sz w:val="18"/>
                <w:szCs w:val="18"/>
                <w:color w:val="auto"/>
              </w:rPr>
            </w:pPr>
          </w:p>
        </w:tc>
        <w:tc>
          <w:tcPr>
            <w:tcW w:w="2480" w:type="dxa"/>
            <w:vAlign w:val="bottom"/>
            <w:shd w:val="clear" w:color="auto" w:fill="9CA5B9"/>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shd w:val="clear" w:color="auto" w:fill="9CA5B9"/>
          </w:tcPr>
          <w:p>
            <w:pPr>
              <w:spacing w:after="0"/>
              <w:rPr>
                <w:sz w:val="17"/>
                <w:szCs w:val="17"/>
                <w:color w:val="auto"/>
              </w:rPr>
            </w:pPr>
          </w:p>
        </w:tc>
        <w:tc>
          <w:tcPr>
            <w:tcW w:w="2380" w:type="dxa"/>
            <w:vAlign w:val="bottom"/>
            <w:shd w:val="clear" w:color="auto" w:fill="9CA5B9"/>
          </w:tcPr>
          <w:p>
            <w:pPr>
              <w:spacing w:after="0"/>
              <w:rPr>
                <w:sz w:val="17"/>
                <w:szCs w:val="17"/>
                <w:color w:val="auto"/>
              </w:rPr>
            </w:pPr>
          </w:p>
        </w:tc>
        <w:tc>
          <w:tcPr>
            <w:tcW w:w="440" w:type="dxa"/>
            <w:vAlign w:val="bottom"/>
            <w:shd w:val="clear" w:color="auto" w:fill="9CA5B9"/>
          </w:tcPr>
          <w:p>
            <w:pPr>
              <w:spacing w:after="0"/>
              <w:rPr>
                <w:sz w:val="17"/>
                <w:szCs w:val="17"/>
                <w:color w:val="auto"/>
              </w:rPr>
            </w:pPr>
          </w:p>
        </w:tc>
        <w:tc>
          <w:tcPr>
            <w:tcW w:w="2400" w:type="dxa"/>
            <w:vAlign w:val="bottom"/>
            <w:shd w:val="clear" w:color="auto" w:fill="9CA5B9"/>
          </w:tcPr>
          <w:p>
            <w:pPr>
              <w:ind w:left="60"/>
              <w:spacing w:after="0" w:line="200" w:lineRule="exact"/>
              <w:rPr>
                <w:sz w:val="20"/>
                <w:szCs w:val="20"/>
                <w:color w:val="auto"/>
              </w:rPr>
            </w:pPr>
            <w:r>
              <w:rPr>
                <w:rFonts w:ascii="Arial" w:cs="Arial" w:eastAsia="Arial" w:hAnsi="Arial"/>
                <w:sz w:val="18"/>
                <w:szCs w:val="18"/>
                <w:color w:val="345988"/>
              </w:rPr>
              <w:t>potential conflicts</w:t>
            </w:r>
          </w:p>
        </w:tc>
        <w:tc>
          <w:tcPr>
            <w:tcW w:w="460" w:type="dxa"/>
            <w:vAlign w:val="bottom"/>
            <w:shd w:val="clear" w:color="auto" w:fill="9CA5B9"/>
          </w:tcPr>
          <w:p>
            <w:pPr>
              <w:spacing w:after="0"/>
              <w:rPr>
                <w:sz w:val="17"/>
                <w:szCs w:val="17"/>
                <w:color w:val="auto"/>
              </w:rPr>
            </w:pPr>
          </w:p>
        </w:tc>
        <w:tc>
          <w:tcPr>
            <w:tcW w:w="2520" w:type="dxa"/>
            <w:vAlign w:val="bottom"/>
            <w:shd w:val="clear" w:color="auto" w:fill="9CA5B9"/>
          </w:tcPr>
          <w:p>
            <w:pPr>
              <w:spacing w:after="0"/>
              <w:rPr>
                <w:sz w:val="17"/>
                <w:szCs w:val="17"/>
                <w:color w:val="auto"/>
              </w:rPr>
            </w:pPr>
          </w:p>
        </w:tc>
        <w:tc>
          <w:tcPr>
            <w:tcW w:w="360" w:type="dxa"/>
            <w:vAlign w:val="bottom"/>
            <w:shd w:val="clear" w:color="auto" w:fill="9CA5B9"/>
          </w:tcPr>
          <w:p>
            <w:pPr>
              <w:spacing w:after="0"/>
              <w:rPr>
                <w:sz w:val="17"/>
                <w:szCs w:val="17"/>
                <w:color w:val="auto"/>
              </w:rPr>
            </w:pPr>
          </w:p>
        </w:tc>
        <w:tc>
          <w:tcPr>
            <w:tcW w:w="2480" w:type="dxa"/>
            <w:vAlign w:val="bottom"/>
            <w:shd w:val="clear" w:color="auto" w:fill="9CA5B9"/>
          </w:tcPr>
          <w:p>
            <w:pPr>
              <w:spacing w:after="0"/>
              <w:rPr>
                <w:sz w:val="17"/>
                <w:szCs w:val="17"/>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345988"/>
        </w:rPr>
        <w:t>NCGC Director Recruitment Process</w:t>
      </w:r>
    </w:p>
    <w:p>
      <w:pPr>
        <w:spacing w:after="0" w:line="2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in light of the skills, qualifications and diversity of the other members of the Board. Such factors include diversity with respect to gender and ethnicity. The Nominating and Corporate Governance Committee may also consider the following:</w:t>
      </w:r>
    </w:p>
    <w:p>
      <w:pPr>
        <w:spacing w:after="0" w:line="208" w:lineRule="exact"/>
        <w:rPr>
          <w:sz w:val="20"/>
          <w:szCs w:val="20"/>
          <w:color w:val="auto"/>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ability to bring new perspectives and add to Board discussion and consideration</w:t>
      </w:r>
    </w:p>
    <w:p>
      <w:pPr>
        <w:spacing w:after="0" w:line="103" w:lineRule="exact"/>
        <w:rPr>
          <w:rFonts w:ascii="Arial" w:cs="Arial" w:eastAsia="Arial" w:hAnsi="Arial"/>
          <w:sz w:val="17"/>
          <w:szCs w:val="17"/>
          <w:color w:val="345988"/>
        </w:rPr>
      </w:pPr>
    </w:p>
    <w:p>
      <w:pPr>
        <w:ind w:left="540" w:right="560" w:hanging="262"/>
        <w:spacing w:after="0" w:line="239" w:lineRule="auto"/>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experience with businesses and other organizations comparable to the Company (including experience managing public companies, marketing experience or experience determining compensation of officers of public companies)</w:t>
      </w:r>
    </w:p>
    <w:p>
      <w:pPr>
        <w:spacing w:after="0" w:line="100"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the interplay of the candidate’s experience with the experience of other Board members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the candidate’s industry knowledge and experience</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the ability of a nominee to devote sufficient time to the affairs of the Company</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any actual or potential conflicts of interest and whether the candidate meets the NYSE independence criteria</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the extent to which the candidate generally would be a desirable addition to the Board and any committees of the Board</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qualifications to serve on appropriate Board committees (including financial acumen)</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technological literacy</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strategic insight</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ability to introduce the Company to business or other opportunities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reputation in the corporate governance community</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48"/>
        </w:numPr>
        <w:rPr>
          <w:rFonts w:ascii="Arial" w:cs="Arial" w:eastAsia="Arial" w:hAnsi="Arial"/>
          <w:sz w:val="17"/>
          <w:szCs w:val="17"/>
          <w:color w:val="345988"/>
        </w:rPr>
      </w:pPr>
      <w:r>
        <w:rPr>
          <w:rFonts w:ascii="Arial" w:cs="Arial" w:eastAsia="Arial" w:hAnsi="Arial"/>
          <w:sz w:val="18"/>
          <w:szCs w:val="18"/>
          <w:color w:val="auto"/>
        </w:rPr>
        <w:t>risk management skills</w:t>
      </w:r>
    </w:p>
    <w:p>
      <w:pPr>
        <w:spacing w:after="0" w:line="306"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considering a potential nominee, each member of the Nominating and Corporate Governance Committee has the opportunity to interview potential nominees in person or by telephone and to submit questions to such potential candidate.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Nominating and Corporate Governance Committee solicits and considers suggestions of our directors and management regarding possible nominees. Our Nominating and Corporate Governance Committee also may procure the services of outside sources or third parties to assist in the identification of director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45988"/>
        </w:rPr>
        <w:t>Role of Third Party Advisors in Director Recruitment Process</w:t>
      </w:r>
    </w:p>
    <w:p>
      <w:pPr>
        <w:spacing w:after="0" w:line="2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FTI Consulting, Inc., or FTI Consulting, assists us in the initial search, screening, interviewing and vetting of potential new directors and worked closely with our Nominating and Corporate Governance Committee in connection with the additions of Craig Hatkoff in 2011, Betsy Atkins in 2015 and Lauren Dillard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345988"/>
        </w:rPr>
        <w:t>Stockholder Recommendations of Director Candidates</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 Stockholder Proposals and Nominations” in this proxy statement and should provide the reasons supporting a candidate’s recommendation, the candidate’s qualifications and the candidate’s written consent to being considered as a director nominee.</w:t>
      </w:r>
    </w:p>
    <w:p>
      <w:pPr>
        <w:spacing w:after="0" w:line="21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Structure</w:t>
      </w:r>
    </w:p>
    <w:p>
      <w:pPr>
        <w:spacing w:after="0" w:line="233"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The Board currently consists of nine members. At the annual meeting of stockholders in 2017, stockholders approved a proposal to declassify our board. Accordingly, our board classes are being phased out, and directors elected at the annual meeting of stockholders in 2019 will serve for one-year terms and until their successors are duly elected and qualify. Our Board of Directors will be fully declassified by our 2020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Leadership Structure; Lead Independent Director</w:t>
      </w:r>
    </w:p>
    <w:p>
      <w:pPr>
        <w:spacing w:after="0" w:line="23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current leadership structure of the Board consists of Marc Holliday, who serves as the Chairman of the Board and our Chief Executive Officer, John Alschuler, who serves as our Lead Independent Director, and the independent directors who serve as Chairs for the Audit Committee, Compensation Committee and Nominating and Corporate Governance Committee of the Board. Overall, the Board believes that the participation of members of management and independent directors in its leadership structure helps promote unified leadership and direction for the Company and the Board while also ensuring appropriate independent oversight of management by the Board.</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After more than 20 years under the leadership of Stephen L. Green, in January 2019, the leadership of the Board was transitioned to Marc Holliday, who also serves as our Chief Executive Officer. Mr. Green stepped down as Chairman of the Board nearly 40 years after he founded our predecessor and following his more than 20 years of distinguished service in this role. The Board believes that it has been well served by Mr. Green’s leadership over the years and that it will continue to be well served with Mr. Holliday serving in the role as Chairman of the Board. With over 15 years of experience leading the Company, Mr. Holliday is uniquely qualified to serve as the Chairman of the Board, and the Board believes that Mr. Holliday’s combined role as Chairman of the Board and Chief Executive Officer will promote unified leadership and direction for the Company and the Board.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which is currently comprised of six independent directors and three non-independent directors, established the role of Lead Independent Director beginning in 2010. 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 John Alschuler currently serves as our Lead Independent Director.</w:t>
      </w:r>
    </w:p>
    <w:p>
      <w:pPr>
        <w:spacing w:after="0" w:line="209"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4352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4352290"/>
                    </a:xfrm>
                    <a:prstGeom prst="rect">
                      <a:avLst/>
                    </a:prstGeom>
                    <a:noFill/>
                  </pic:spPr>
                </pic:pic>
              </a:graphicData>
            </a:graphic>
          </wp:anchor>
        </w:drawing>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435F8C"/>
        </w:rPr>
        <w:t>Role of the Lead Independent Director</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presiding at executive sessions of independent directors, the Lead Independent Director has the responsibility to:</w:t>
      </w:r>
    </w:p>
    <w:p>
      <w:pPr>
        <w:spacing w:after="0" w:line="212" w:lineRule="exact"/>
        <w:rPr>
          <w:sz w:val="20"/>
          <w:szCs w:val="20"/>
          <w:color w:val="auto"/>
        </w:rPr>
      </w:pPr>
    </w:p>
    <w:p>
      <w:pPr>
        <w:ind w:left="600" w:right="520" w:hanging="394"/>
        <w:spacing w:after="0" w:line="239" w:lineRule="auto"/>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consult with the Chief Executive Officer and Chairman as to an appropriate schedule and agenda for each Board meeting, seeking to ensure that the independent directors can perform their duties effectively and responsibly;</w:t>
      </w:r>
    </w:p>
    <w:p>
      <w:pPr>
        <w:spacing w:after="0" w:line="195" w:lineRule="exact"/>
        <w:rPr>
          <w:rFonts w:ascii="Arial" w:cs="Arial" w:eastAsia="Arial" w:hAnsi="Arial"/>
          <w:sz w:val="18"/>
          <w:szCs w:val="18"/>
          <w:color w:val="345988"/>
        </w:rPr>
      </w:pPr>
    </w:p>
    <w:p>
      <w:pPr>
        <w:ind w:left="600" w:right="240" w:hanging="394"/>
        <w:spacing w:after="0" w:line="239" w:lineRule="auto"/>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ensure that the independent directors have adequate resources, especially by way of full, timely and relevant information to support their decision making;</w:t>
      </w:r>
    </w:p>
    <w:p>
      <w:pPr>
        <w:spacing w:after="0" w:line="195" w:lineRule="exact"/>
        <w:rPr>
          <w:rFonts w:ascii="Arial" w:cs="Arial" w:eastAsia="Arial" w:hAnsi="Arial"/>
          <w:sz w:val="18"/>
          <w:szCs w:val="18"/>
          <w:color w:val="345988"/>
        </w:rPr>
      </w:pPr>
    </w:p>
    <w:p>
      <w:pPr>
        <w:ind w:left="600" w:right="220" w:hanging="394"/>
        <w:spacing w:after="0" w:line="299" w:lineRule="auto"/>
        <w:tabs>
          <w:tab w:leader="none" w:pos="600" w:val="left"/>
        </w:tabs>
        <w:numPr>
          <w:ilvl w:val="0"/>
          <w:numId w:val="50"/>
        </w:numPr>
        <w:rPr>
          <w:rFonts w:ascii="Arial" w:cs="Arial" w:eastAsia="Arial" w:hAnsi="Arial"/>
          <w:sz w:val="16"/>
          <w:szCs w:val="16"/>
          <w:color w:val="345988"/>
        </w:rPr>
      </w:pPr>
      <w:r>
        <w:rPr>
          <w:rFonts w:ascii="Arial" w:cs="Arial" w:eastAsia="Arial" w:hAnsi="Arial"/>
          <w:sz w:val="16"/>
          <w:szCs w:val="16"/>
          <w:color w:val="auto"/>
        </w:rPr>
        <w:t>advise the Chief Executive Officer and Chairman as to the quality, quantity and timeliness of the information submitted by the Company’s management that is necessary or appropriate for the independent directors to effectively and responsibly perform their duties;</w:t>
      </w:r>
    </w:p>
    <w:p>
      <w:pPr>
        <w:spacing w:after="0" w:line="149" w:lineRule="exact"/>
        <w:rPr>
          <w:rFonts w:ascii="Arial" w:cs="Arial" w:eastAsia="Arial" w:hAnsi="Arial"/>
          <w:sz w:val="16"/>
          <w:szCs w:val="16"/>
          <w:color w:val="345988"/>
        </w:rPr>
      </w:pPr>
    </w:p>
    <w:p>
      <w:pPr>
        <w:ind w:left="600" w:hanging="394"/>
        <w:spacing w:after="0"/>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198" w:lineRule="exact"/>
        <w:rPr>
          <w:rFonts w:ascii="Arial" w:cs="Arial" w:eastAsia="Arial" w:hAnsi="Arial"/>
          <w:sz w:val="18"/>
          <w:szCs w:val="18"/>
          <w:color w:val="345988"/>
        </w:rPr>
      </w:pPr>
    </w:p>
    <w:p>
      <w:pPr>
        <w:ind w:left="600" w:right="640" w:hanging="394"/>
        <w:spacing w:after="0" w:line="239" w:lineRule="auto"/>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ensure that independent directors have adequate opportunities to meet and discuss issues in sessions of the independent directors without management present and, as appropriate, call meetings of the Independent Directors;</w:t>
      </w:r>
    </w:p>
    <w:p>
      <w:pPr>
        <w:spacing w:after="0" w:line="195" w:lineRule="exact"/>
        <w:rPr>
          <w:rFonts w:ascii="Arial" w:cs="Arial" w:eastAsia="Arial" w:hAnsi="Arial"/>
          <w:sz w:val="18"/>
          <w:szCs w:val="18"/>
          <w:color w:val="345988"/>
        </w:rPr>
      </w:pPr>
    </w:p>
    <w:p>
      <w:pPr>
        <w:ind w:left="600" w:hanging="394"/>
        <w:spacing w:after="0"/>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serve as Chairman of the sessions of the independent directors;</w:t>
      </w:r>
    </w:p>
    <w:p>
      <w:pPr>
        <w:spacing w:after="0" w:line="198" w:lineRule="exact"/>
        <w:rPr>
          <w:rFonts w:ascii="Arial" w:cs="Arial" w:eastAsia="Arial" w:hAnsi="Arial"/>
          <w:sz w:val="18"/>
          <w:szCs w:val="18"/>
          <w:color w:val="345988"/>
        </w:rPr>
      </w:pPr>
    </w:p>
    <w:p>
      <w:pPr>
        <w:ind w:left="600" w:right="200" w:hanging="394"/>
        <w:spacing w:after="0" w:line="239" w:lineRule="auto"/>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serve as principal liaison between the independent directors and the Chief Executive Officer and Chairman of the Company and between the independent directors and senior management;</w:t>
      </w:r>
    </w:p>
    <w:p>
      <w:pPr>
        <w:spacing w:after="0" w:line="195" w:lineRule="exact"/>
        <w:rPr>
          <w:rFonts w:ascii="Arial" w:cs="Arial" w:eastAsia="Arial" w:hAnsi="Arial"/>
          <w:sz w:val="18"/>
          <w:szCs w:val="18"/>
          <w:color w:val="345988"/>
        </w:rPr>
      </w:pPr>
    </w:p>
    <w:p>
      <w:pPr>
        <w:ind w:left="600" w:hanging="394"/>
        <w:spacing w:after="0"/>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communicate to management, as appropriate, the results of private discussions among independent directors;</w:t>
      </w:r>
    </w:p>
    <w:p>
      <w:pPr>
        <w:spacing w:after="0" w:line="198" w:lineRule="exact"/>
        <w:rPr>
          <w:rFonts w:ascii="Arial" w:cs="Arial" w:eastAsia="Arial" w:hAnsi="Arial"/>
          <w:sz w:val="18"/>
          <w:szCs w:val="18"/>
          <w:color w:val="345988"/>
        </w:rPr>
      </w:pPr>
    </w:p>
    <w:p>
      <w:pPr>
        <w:ind w:left="600" w:hanging="394"/>
        <w:spacing w:after="0"/>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chair the meetings of the Board when the Chairman is not present;</w:t>
      </w:r>
    </w:p>
    <w:p>
      <w:pPr>
        <w:spacing w:after="0" w:line="198" w:lineRule="exact"/>
        <w:rPr>
          <w:rFonts w:ascii="Arial" w:cs="Arial" w:eastAsia="Arial" w:hAnsi="Arial"/>
          <w:sz w:val="18"/>
          <w:szCs w:val="18"/>
          <w:color w:val="345988"/>
        </w:rPr>
      </w:pPr>
    </w:p>
    <w:p>
      <w:pPr>
        <w:ind w:left="600" w:right="220" w:hanging="394"/>
        <w:spacing w:after="0" w:line="238" w:lineRule="auto"/>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p>
      <w:pPr>
        <w:spacing w:after="0" w:line="194" w:lineRule="exact"/>
        <w:rPr>
          <w:rFonts w:ascii="Arial" w:cs="Arial" w:eastAsia="Arial" w:hAnsi="Arial"/>
          <w:sz w:val="18"/>
          <w:szCs w:val="18"/>
          <w:color w:val="345988"/>
        </w:rPr>
      </w:pPr>
    </w:p>
    <w:p>
      <w:pPr>
        <w:ind w:left="600" w:hanging="394"/>
        <w:spacing w:after="0"/>
        <w:tabs>
          <w:tab w:leader="none" w:pos="600" w:val="left"/>
        </w:tabs>
        <w:numPr>
          <w:ilvl w:val="0"/>
          <w:numId w:val="50"/>
        </w:numPr>
        <w:rPr>
          <w:rFonts w:ascii="Arial" w:cs="Arial" w:eastAsia="Arial" w:hAnsi="Arial"/>
          <w:sz w:val="18"/>
          <w:szCs w:val="18"/>
          <w:color w:val="345988"/>
        </w:rPr>
      </w:pPr>
      <w:r>
        <w:rPr>
          <w:rFonts w:ascii="Arial" w:cs="Arial" w:eastAsia="Arial" w:hAnsi="Arial"/>
          <w:sz w:val="18"/>
          <w:szCs w:val="18"/>
          <w:color w:val="auto"/>
        </w:rPr>
        <w:t>perform such other duties as the Board from time to time may delegate.</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Board and Committee Self-Evaluations</w:t>
      </w:r>
    </w:p>
    <w:p>
      <w:pPr>
        <w:spacing w:after="0" w:line="2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 The Board then conducts its annual evaluation to determine whether it and its committees function effectively, with independent directors meeting separately with outside counsel. The discussions with stockholders, as well as the evaluations, are the basis for the Board’s annual review of possible changes to the Company’s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995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345988"/>
        </w:rPr>
        <w:t>Board Evaluation Process</w:t>
      </w:r>
    </w:p>
    <w:p>
      <w:pPr>
        <w:spacing w:after="0" w:line="45" w:lineRule="exact"/>
        <w:rPr>
          <w:sz w:val="20"/>
          <w:szCs w:val="20"/>
          <w:color w:val="auto"/>
        </w:rPr>
      </w:pPr>
    </w:p>
    <w:tbl>
      <w:tblPr>
        <w:tblLayout w:type="fixed"/>
        <w:tblInd w:w="180" w:type="dxa"/>
        <w:tblCellMar>
          <w:top w:w="0" w:type="dxa"/>
          <w:left w:w="0" w:type="dxa"/>
          <w:bottom w:w="0" w:type="dxa"/>
          <w:right w:w="0" w:type="dxa"/>
        </w:tblCellMar>
      </w:tblPr>
      <w:tr>
        <w:trPr>
          <w:trHeight w:val="432"/>
        </w:trPr>
        <w:tc>
          <w:tcPr>
            <w:tcW w:w="3420" w:type="dxa"/>
            <w:vAlign w:val="bottom"/>
            <w:shd w:val="clear" w:color="auto" w:fill="9CA5B9"/>
          </w:tcPr>
          <w:p>
            <w:pPr>
              <w:spacing w:after="0"/>
              <w:rPr>
                <w:sz w:val="20"/>
                <w:szCs w:val="20"/>
                <w:color w:val="auto"/>
              </w:rPr>
            </w:pPr>
            <w:r>
              <w:rPr>
                <w:rFonts w:ascii="Arial" w:cs="Arial" w:eastAsia="Arial" w:hAnsi="Arial"/>
                <w:sz w:val="36"/>
                <w:szCs w:val="36"/>
                <w:color w:val="FFFFFF"/>
              </w:rPr>
              <w:t xml:space="preserve">1 </w:t>
            </w:r>
            <w:r>
              <w:rPr>
                <w:rFonts w:ascii="Arial" w:cs="Arial" w:eastAsia="Arial" w:hAnsi="Arial"/>
                <w:sz w:val="17"/>
                <w:szCs w:val="17"/>
                <w:b w:val="1"/>
                <w:bCs w:val="1"/>
                <w:color w:val="FFFFFF"/>
              </w:rPr>
              <w:t>Initiate Process</w:t>
            </w:r>
          </w:p>
        </w:tc>
        <w:tc>
          <w:tcPr>
            <w:tcW w:w="3900" w:type="dxa"/>
            <w:vAlign w:val="bottom"/>
            <w:shd w:val="clear" w:color="auto" w:fill="9CA5B9"/>
          </w:tcPr>
          <w:p>
            <w:pPr>
              <w:ind w:left="280"/>
              <w:spacing w:after="0"/>
              <w:rPr>
                <w:sz w:val="20"/>
                <w:szCs w:val="20"/>
                <w:color w:val="auto"/>
              </w:rPr>
            </w:pPr>
            <w:r>
              <w:rPr>
                <w:rFonts w:ascii="Arial" w:cs="Arial" w:eastAsia="Arial" w:hAnsi="Arial"/>
                <w:sz w:val="36"/>
                <w:szCs w:val="36"/>
                <w:color w:val="FFFFFF"/>
              </w:rPr>
              <w:t xml:space="preserve">2 </w:t>
            </w:r>
            <w:r>
              <w:rPr>
                <w:rFonts w:ascii="Arial" w:cs="Arial" w:eastAsia="Arial" w:hAnsi="Arial"/>
                <w:sz w:val="17"/>
                <w:szCs w:val="17"/>
                <w:b w:val="1"/>
                <w:bCs w:val="1"/>
                <w:color w:val="FFFFFF"/>
              </w:rPr>
              <w:t>Conduct Evaluation</w:t>
            </w:r>
          </w:p>
        </w:tc>
        <w:tc>
          <w:tcPr>
            <w:tcW w:w="3920" w:type="dxa"/>
            <w:vAlign w:val="bottom"/>
            <w:shd w:val="clear" w:color="auto" w:fill="9CA5B9"/>
          </w:tcPr>
          <w:p>
            <w:pPr>
              <w:ind w:left="160"/>
              <w:spacing w:after="0"/>
              <w:rPr>
                <w:sz w:val="20"/>
                <w:szCs w:val="20"/>
                <w:color w:val="auto"/>
              </w:rPr>
            </w:pPr>
            <w:r>
              <w:rPr>
                <w:rFonts w:ascii="Arial" w:cs="Arial" w:eastAsia="Arial" w:hAnsi="Arial"/>
                <w:sz w:val="36"/>
                <w:szCs w:val="36"/>
                <w:color w:val="FFFFFF"/>
              </w:rPr>
              <w:t xml:space="preserve">3 </w:t>
            </w:r>
            <w:r>
              <w:rPr>
                <w:rFonts w:ascii="Arial" w:cs="Arial" w:eastAsia="Arial" w:hAnsi="Arial"/>
                <w:sz w:val="17"/>
                <w:szCs w:val="17"/>
                <w:b w:val="1"/>
                <w:bCs w:val="1"/>
                <w:color w:val="FFFFFF"/>
              </w:rPr>
              <w:t>Implement Conclusions</w:t>
            </w:r>
          </w:p>
        </w:tc>
      </w:tr>
      <w:tr>
        <w:trPr>
          <w:trHeight w:val="206"/>
        </w:trPr>
        <w:tc>
          <w:tcPr>
            <w:tcW w:w="3420" w:type="dxa"/>
            <w:vAlign w:val="bottom"/>
            <w:shd w:val="clear" w:color="auto" w:fill="9CA5B9"/>
          </w:tcPr>
          <w:p>
            <w:pPr>
              <w:spacing w:after="0" w:line="206" w:lineRule="exact"/>
              <w:rPr>
                <w:sz w:val="20"/>
                <w:szCs w:val="20"/>
                <w:color w:val="auto"/>
              </w:rPr>
            </w:pPr>
            <w:r>
              <w:rPr>
                <w:rFonts w:ascii="Arial" w:cs="Arial" w:eastAsia="Arial" w:hAnsi="Arial"/>
                <w:sz w:val="18"/>
                <w:szCs w:val="18"/>
                <w:color w:val="345988"/>
              </w:rPr>
              <w:t>NCGC establishes Board and committee</w:t>
            </w:r>
          </w:p>
        </w:tc>
        <w:tc>
          <w:tcPr>
            <w:tcW w:w="3900" w:type="dxa"/>
            <w:vAlign w:val="bottom"/>
            <w:shd w:val="clear" w:color="auto" w:fill="9CA5B9"/>
          </w:tcPr>
          <w:p>
            <w:pPr>
              <w:ind w:left="280"/>
              <w:spacing w:after="0" w:line="206" w:lineRule="exact"/>
              <w:rPr>
                <w:sz w:val="20"/>
                <w:szCs w:val="20"/>
                <w:color w:val="auto"/>
              </w:rPr>
            </w:pPr>
            <w:r>
              <w:rPr>
                <w:rFonts w:ascii="Arial" w:cs="Arial" w:eastAsia="Arial" w:hAnsi="Arial"/>
                <w:sz w:val="18"/>
                <w:szCs w:val="18"/>
                <w:color w:val="345988"/>
              </w:rPr>
              <w:t>Directors meet to formally discuss the</w:t>
            </w:r>
          </w:p>
        </w:tc>
        <w:tc>
          <w:tcPr>
            <w:tcW w:w="3920" w:type="dxa"/>
            <w:vAlign w:val="bottom"/>
            <w:shd w:val="clear" w:color="auto" w:fill="9CA5B9"/>
          </w:tcPr>
          <w:p>
            <w:pPr>
              <w:ind w:left="160"/>
              <w:spacing w:after="0" w:line="206" w:lineRule="exact"/>
              <w:rPr>
                <w:sz w:val="20"/>
                <w:szCs w:val="20"/>
                <w:color w:val="auto"/>
              </w:rPr>
            </w:pPr>
            <w:r>
              <w:rPr>
                <w:rFonts w:ascii="Arial" w:cs="Arial" w:eastAsia="Arial" w:hAnsi="Arial"/>
                <w:sz w:val="18"/>
                <w:szCs w:val="18"/>
                <w:color w:val="345988"/>
              </w:rPr>
              <w:t>The Board and each committee implement</w:t>
            </w:r>
          </w:p>
        </w:tc>
      </w:tr>
      <w:tr>
        <w:trPr>
          <w:trHeight w:val="203"/>
        </w:trPr>
        <w:tc>
          <w:tcPr>
            <w:tcW w:w="3420" w:type="dxa"/>
            <w:vAlign w:val="bottom"/>
            <w:shd w:val="clear" w:color="auto" w:fill="9CA5B9"/>
          </w:tcPr>
          <w:p>
            <w:pPr>
              <w:spacing w:after="0" w:line="202" w:lineRule="exact"/>
              <w:rPr>
                <w:sz w:val="20"/>
                <w:szCs w:val="20"/>
                <w:color w:val="auto"/>
              </w:rPr>
            </w:pPr>
            <w:r>
              <w:rPr>
                <w:rFonts w:ascii="Arial" w:cs="Arial" w:eastAsia="Arial" w:hAnsi="Arial"/>
                <w:sz w:val="18"/>
                <w:szCs w:val="18"/>
                <w:color w:val="345988"/>
              </w:rPr>
              <w:t>self-evaluation process, including</w:t>
            </w:r>
          </w:p>
        </w:tc>
        <w:tc>
          <w:tcPr>
            <w:tcW w:w="3900" w:type="dxa"/>
            <w:vAlign w:val="bottom"/>
            <w:shd w:val="clear" w:color="auto" w:fill="9CA5B9"/>
          </w:tcPr>
          <w:p>
            <w:pPr>
              <w:ind w:left="280"/>
              <w:spacing w:after="0" w:line="202" w:lineRule="exact"/>
              <w:rPr>
                <w:sz w:val="20"/>
                <w:szCs w:val="20"/>
                <w:color w:val="auto"/>
              </w:rPr>
            </w:pPr>
            <w:r>
              <w:rPr>
                <w:rFonts w:ascii="Arial" w:cs="Arial" w:eastAsia="Arial" w:hAnsi="Arial"/>
                <w:sz w:val="18"/>
                <w:szCs w:val="18"/>
                <w:color w:val="345988"/>
              </w:rPr>
              <w:t>functioning of the Board and any committees</w:t>
            </w:r>
          </w:p>
        </w:tc>
        <w:tc>
          <w:tcPr>
            <w:tcW w:w="3920" w:type="dxa"/>
            <w:vAlign w:val="bottom"/>
            <w:shd w:val="clear" w:color="auto" w:fill="9CA5B9"/>
          </w:tcPr>
          <w:p>
            <w:pPr>
              <w:ind w:left="160"/>
              <w:spacing w:after="0" w:line="202" w:lineRule="exact"/>
              <w:rPr>
                <w:sz w:val="20"/>
                <w:szCs w:val="20"/>
                <w:color w:val="auto"/>
              </w:rPr>
            </w:pPr>
            <w:r>
              <w:rPr>
                <w:rFonts w:ascii="Arial" w:cs="Arial" w:eastAsia="Arial" w:hAnsi="Arial"/>
                <w:sz w:val="18"/>
                <w:szCs w:val="18"/>
                <w:color w:val="345988"/>
              </w:rPr>
              <w:t>proposed governance improvements with</w:t>
            </w:r>
          </w:p>
        </w:tc>
      </w:tr>
      <w:tr>
        <w:trPr>
          <w:trHeight w:val="203"/>
        </w:trPr>
        <w:tc>
          <w:tcPr>
            <w:tcW w:w="3420" w:type="dxa"/>
            <w:vAlign w:val="bottom"/>
            <w:shd w:val="clear" w:color="auto" w:fill="9CA5B9"/>
          </w:tcPr>
          <w:p>
            <w:pPr>
              <w:spacing w:after="0" w:line="202" w:lineRule="exact"/>
              <w:rPr>
                <w:sz w:val="20"/>
                <w:szCs w:val="20"/>
                <w:color w:val="auto"/>
              </w:rPr>
            </w:pPr>
            <w:r>
              <w:rPr>
                <w:rFonts w:ascii="Arial" w:cs="Arial" w:eastAsia="Arial" w:hAnsi="Arial"/>
                <w:sz w:val="18"/>
                <w:szCs w:val="18"/>
                <w:color w:val="345988"/>
                <w:w w:val="96"/>
              </w:rPr>
              <w:t>incorporation of process improvements from</w:t>
            </w:r>
          </w:p>
        </w:tc>
        <w:tc>
          <w:tcPr>
            <w:tcW w:w="3900" w:type="dxa"/>
            <w:vAlign w:val="bottom"/>
            <w:shd w:val="clear" w:color="auto" w:fill="9CA5B9"/>
          </w:tcPr>
          <w:p>
            <w:pPr>
              <w:ind w:left="280"/>
              <w:spacing w:after="0" w:line="202" w:lineRule="exact"/>
              <w:rPr>
                <w:sz w:val="20"/>
                <w:szCs w:val="20"/>
                <w:color w:val="auto"/>
              </w:rPr>
            </w:pPr>
            <w:r>
              <w:rPr>
                <w:rFonts w:ascii="Arial" w:cs="Arial" w:eastAsia="Arial" w:hAnsi="Arial"/>
                <w:sz w:val="18"/>
                <w:szCs w:val="18"/>
                <w:color w:val="345988"/>
              </w:rPr>
              <w:t>on which they serve to identify areas for</w:t>
            </w:r>
          </w:p>
        </w:tc>
        <w:tc>
          <w:tcPr>
            <w:tcW w:w="3920" w:type="dxa"/>
            <w:vAlign w:val="bottom"/>
            <w:shd w:val="clear" w:color="auto" w:fill="9CA5B9"/>
          </w:tcPr>
          <w:p>
            <w:pPr>
              <w:ind w:left="160"/>
              <w:spacing w:after="0" w:line="202" w:lineRule="exact"/>
              <w:rPr>
                <w:sz w:val="20"/>
                <w:szCs w:val="20"/>
                <w:color w:val="auto"/>
              </w:rPr>
            </w:pPr>
            <w:r>
              <w:rPr>
                <w:rFonts w:ascii="Arial" w:cs="Arial" w:eastAsia="Arial" w:hAnsi="Arial"/>
                <w:sz w:val="18"/>
                <w:szCs w:val="18"/>
                <w:color w:val="345988"/>
              </w:rPr>
              <w:t>assistance of management and third party</w:t>
            </w:r>
          </w:p>
        </w:tc>
      </w:tr>
      <w:tr>
        <w:trPr>
          <w:trHeight w:val="211"/>
        </w:trPr>
        <w:tc>
          <w:tcPr>
            <w:tcW w:w="3420" w:type="dxa"/>
            <w:vAlign w:val="bottom"/>
            <w:shd w:val="clear" w:color="auto" w:fill="9CA5B9"/>
          </w:tcPr>
          <w:p>
            <w:pPr>
              <w:spacing w:after="0"/>
              <w:rPr>
                <w:sz w:val="20"/>
                <w:szCs w:val="20"/>
                <w:color w:val="auto"/>
              </w:rPr>
            </w:pPr>
            <w:r>
              <w:rPr>
                <w:rFonts w:ascii="Arial" w:cs="Arial" w:eastAsia="Arial" w:hAnsi="Arial"/>
                <w:sz w:val="18"/>
                <w:szCs w:val="18"/>
                <w:color w:val="345988"/>
              </w:rPr>
              <w:t>previous review cycle</w:t>
            </w:r>
          </w:p>
        </w:tc>
        <w:tc>
          <w:tcPr>
            <w:tcW w:w="3900" w:type="dxa"/>
            <w:vAlign w:val="bottom"/>
            <w:shd w:val="clear" w:color="auto" w:fill="9CA5B9"/>
          </w:tcPr>
          <w:p>
            <w:pPr>
              <w:ind w:left="280"/>
              <w:spacing w:after="0"/>
              <w:rPr>
                <w:sz w:val="20"/>
                <w:szCs w:val="20"/>
                <w:color w:val="auto"/>
              </w:rPr>
            </w:pPr>
            <w:r>
              <w:rPr>
                <w:rFonts w:ascii="Arial" w:cs="Arial" w:eastAsia="Arial" w:hAnsi="Arial"/>
                <w:sz w:val="18"/>
                <w:szCs w:val="18"/>
                <w:color w:val="345988"/>
              </w:rPr>
              <w:t>improvement</w:t>
            </w:r>
          </w:p>
        </w:tc>
        <w:tc>
          <w:tcPr>
            <w:tcW w:w="3920" w:type="dxa"/>
            <w:vAlign w:val="bottom"/>
            <w:shd w:val="clear" w:color="auto" w:fill="9CA5B9"/>
          </w:tcPr>
          <w:p>
            <w:pPr>
              <w:ind w:left="160"/>
              <w:spacing w:after="0"/>
              <w:rPr>
                <w:sz w:val="20"/>
                <w:szCs w:val="20"/>
                <w:color w:val="auto"/>
              </w:rPr>
            </w:pPr>
            <w:r>
              <w:rPr>
                <w:rFonts w:ascii="Arial" w:cs="Arial" w:eastAsia="Arial" w:hAnsi="Arial"/>
                <w:sz w:val="18"/>
                <w:szCs w:val="18"/>
                <w:color w:val="345988"/>
              </w:rPr>
              <w:t>advisors, as needed</w:t>
            </w:r>
          </w:p>
        </w:tc>
      </w:tr>
      <w:tr>
        <w:trPr>
          <w:trHeight w:val="56"/>
        </w:trPr>
        <w:tc>
          <w:tcPr>
            <w:tcW w:w="3420" w:type="dxa"/>
            <w:vAlign w:val="bottom"/>
            <w:shd w:val="clear" w:color="auto" w:fill="9CA5B9"/>
          </w:tcPr>
          <w:p>
            <w:pPr>
              <w:spacing w:after="0"/>
              <w:rPr>
                <w:sz w:val="4"/>
                <w:szCs w:val="4"/>
                <w:color w:val="auto"/>
              </w:rPr>
            </w:pPr>
          </w:p>
        </w:tc>
        <w:tc>
          <w:tcPr>
            <w:tcW w:w="3900" w:type="dxa"/>
            <w:vAlign w:val="bottom"/>
            <w:shd w:val="clear" w:color="auto" w:fill="9CA5B9"/>
          </w:tcPr>
          <w:p>
            <w:pPr>
              <w:spacing w:after="0"/>
              <w:rPr>
                <w:sz w:val="4"/>
                <w:szCs w:val="4"/>
                <w:color w:val="auto"/>
              </w:rPr>
            </w:pPr>
          </w:p>
        </w:tc>
        <w:tc>
          <w:tcPr>
            <w:tcW w:w="3920" w:type="dxa"/>
            <w:vAlign w:val="bottom"/>
            <w:shd w:val="clear" w:color="auto" w:fill="9CA5B9"/>
          </w:tcPr>
          <w:p>
            <w:pPr>
              <w:spacing w:after="0"/>
              <w:rPr>
                <w:sz w:val="4"/>
                <w:szCs w:val="4"/>
                <w:color w:val="auto"/>
              </w:rPr>
            </w:pPr>
          </w:p>
        </w:tc>
      </w:tr>
    </w:tbl>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345988"/>
        </w:rPr>
        <w:t>18</w:t>
      </w:r>
      <w:r>
        <w:rPr>
          <w:sz w:val="20"/>
          <w:szCs w:val="20"/>
          <w:color w:val="auto"/>
        </w:rPr>
        <w:tab/>
      </w: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Director Independence</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the applicable rules promulgated by the SEC and our director independence standards: Mses. Betsy Atkins and Lauren B. Dillard and Messrs. John H. Alschuler, Edwin T. Burton, III, Craig M. Hatkoff and John S. Levy. The Board has determined that Messrs. Stephen L. Green, Marc Holliday and Andrew W. Mathias, our three other directors, are not independent because they are also executive officers of the Company or have been within the last three years.</w:t>
      </w:r>
    </w:p>
    <w:p>
      <w:pPr>
        <w:spacing w:after="0" w:line="18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 determining that Ms. Dillard qualified as an independent director, the Board considered the Company’s relationship with The Carlyle Group, which entered into a lease for office space at One Vanderbilt.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Sessions of Non-Management Directors</w:t>
      </w:r>
    </w:p>
    <w:p>
      <w:pPr>
        <w:spacing w:after="0" w:line="233"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Communications with the Board</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Director Attendance</w:t>
      </w:r>
    </w:p>
    <w:p>
      <w:pPr>
        <w:spacing w:after="0" w:line="23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Board held five meetings and all directors attended 75% or more of the board of directors meetings and meetings of the committees on which they served during the periods they served during fiscal year 2018. In addition to participating in formal meetings, our Board members regularly communicate with each other, members of management and advisors and take action by written consent.</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encourage each member of the Board to attend each annual meeting of stockholders. Four of our directors attended the annual meeting of stockholders held on May 31, 2018.</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 com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210"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 Committee</w:t>
      </w:r>
    </w:p>
    <w:p>
      <w:pPr>
        <w:spacing w:after="0" w:line="23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Audit Committee consists of Edwin T. Burton, III (Chair), Betsy S. Atkins, Lauren B. Dillard and Craig M. Hatkoff,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13 meetings during fiscal year 2018. Additional information regarding the functions performed by our Audit Committee is set forth in the “Audit Committee Report” included in this annual proxy statement.</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Audit Committee Financial Expert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Board determined that Edwin T. Burton, III qualifies as an “audit committee financial expert,” as defined in Item 401(h) of SEC Regulation S-K.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Compensation Committee</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Compensation Committee consists of Lauren B. Dillard (Chair), John H. Alschuler, Edwin T.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three meetings during fiscal year 2018. In addition to participating in formal meetings, our Compensation Committee members regularly communicate with each other, members of management and advisors and take action by written consent.</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Nominating and Corporate Governance Committee</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Nominating and Corporate Governance Committee consists of Craig M. Hatkoff (Chair), John H. Alschuler, Betsy Atkins and John S. Levy,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two meetings during fiscal year 2018. In addition to participating in formal meetings, our Nominating and Corporate Governance Committee members regularly communicate with each other, members of management and advisors and take action by written consent.</w:t>
      </w:r>
    </w:p>
    <w:p>
      <w:pPr>
        <w:spacing w:after="0" w:line="208"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Committee</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Subject to the supervision and oversight of the Board, our Executive Committee, which consists of Marc Holliday (Chair), Stephen L. Green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2018, as all matters within its authority were approved by the Board.</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Board Oversight of Strategy</w:t>
      </w:r>
    </w:p>
    <w:p>
      <w:pPr>
        <w:spacing w:after="0" w:line="23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One of the most important functions of the Board relates to its role in formulating and overseeing the execution of our business strategy. The Board actively participates with management in the formulation and refinement of our business strategy to help ensure that our strategic goals are thoughtfully constructed and well-articulated. To facilitate this process, the Board periodically meets with our management and external advisors in full day or multi-day sessions focused on long-term strategic planning. Additionally, on a more frequent basis, the Board receives updates from management regarding internal progress toward strategic goals and changes in market conditions and external strategic opportunities and challenges, which the Board uses to assist our management in refining its business strategy and reacting to particular opportunities or challenges that arise. While management is charged with executing strategy on a daily basis, the Board monitors and evaluates performance through these regular updates and by actively engaging in dialogues with our senior management team. Aspects of our business strategy are discussed at every meeting, and key elements of our strategy are embedded in the work performed by the committees of the Board. In addition to financial and operational performance, non-financial measures, including sustainability, social and governance goals, are discussed by the Board. The Board believes that, through these ongoing efforts, it is able to focus on our performance over the short, intermediate and long term to secure the continuing health and success of the business for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Stockholder Outreach</w:t>
      </w:r>
    </w:p>
    <w:p>
      <w:pPr>
        <w:spacing w:after="0" w:line="23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Over the past several years, our Lead Independent Director, the chairman of our Compensation Committee and members of our senior management team contacted many of our largest institutional investors. Since the 2018 annual meeting of stockholders, we have reached out to institutional investors representing ownership of over 70% of our outstanding common stock. We held meetings, conducted calls and otherwise engaged with all of these investors who were interested in doing so. We then shared the feedback received during our outreach process with the Board and its committees to make meaningful changes to our corporate governance practices and launch new initiatives. As a result of our stockholder engagement efforts and our commitment to corporate governance, over the last few years, we have undertaken the declassification of our Board, adopted a proxy access bylaw, implemented a majority voting standard for director election, and adopted an amendment to our bylaws to permit our stockholders to amend our bylaws by a majority vote, as discussed in more detail below.</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Stockholder Amendments to Bylaws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December 2018, we amended our bylaws to permit our stockholders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spacing w:after="0" w:line="211"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Declassified Board</w:t>
      </w:r>
    </w:p>
    <w:p>
      <w:pPr>
        <w:spacing w:after="0" w:line="23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directors are now elected for one-year terms following stockholder approval of our proposal to declassify our Board submitted to stockholders at the 2017 annual meeting of stockholders. By our 2020 annual meeting, our Board will be fully declassified.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Proxy Access</w:t>
      </w:r>
    </w:p>
    <w:p>
      <w:pPr>
        <w:spacing w:after="0" w:line="23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Majority Voting Standard and Director Resignation Policy</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Securities and Exchange Commission (SEC) (regardless of whether or not thereafter revised or supplemented).</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Sustainability</w:t>
      </w:r>
    </w:p>
    <w:p>
      <w:pPr>
        <w:spacing w:after="0" w:line="233"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color w:val="auto"/>
        </w:rPr>
        <w:t>With executive-level participation on SL Green’s Sustainability Team and Board oversight of the program, environmental responsibility has top-down support and is a company-wide priority. The Company is committed to environmental, social, and governance initiatives that deliver value and health for our stakeholders. Structured around three key areas, efficiency, tenant experience, and industry leadership, our market-leading program continues to minimize environmental impact and increase resiliency. As New York City’s largest owner of office real estate, we take responsibility for implementing best practices, operating at the highest efficiency standards and strengthening our city’s resiliency.</w:t>
      </w:r>
    </w:p>
    <w:p>
      <w:pPr>
        <w:spacing w:after="0" w:line="18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Our commitment toward efficiency is evidenced by the implementation of energy efficiency investments of $66 million and targeted sustainability programs across 100% of our New York City properties. By implementing cutting edge technologies and modernizing obsolete building systems, we continue to optimize building performance, reduce maintenance costs and provide tenants with a Class A experience.</w:t>
      </w:r>
    </w:p>
    <w:p>
      <w:pPr>
        <w:spacing w:after="0" w:line="20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6120"/>
        <w:spacing w:after="0"/>
        <w:rPr>
          <w:sz w:val="20"/>
          <w:szCs w:val="20"/>
          <w:color w:val="auto"/>
        </w:rPr>
      </w:pPr>
      <w:r>
        <w:rPr>
          <w:rFonts w:ascii="Arial" w:cs="Arial" w:eastAsia="Arial" w:hAnsi="Arial"/>
          <w:sz w:val="16"/>
          <w:szCs w:val="16"/>
          <w:u w:val="single" w:color="auto"/>
          <w:color w:val="345988"/>
        </w:rPr>
        <w:t>OUR BOARD OF DIRECTORS AND CORPORATE GOVERNANCE</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Collaborative opportunities with tenants are integral to our sustainability strategy. Our mission to creating a greener footprint begins with the 10-year participation in the New York City Carbon Challenge, where we work with tenants to realize a 30 percent reduction in greenhouse gas emissions. We have partnered with Viacom at 1515 Broadway, Bloomberg at 919 Third Avenue and Sony at 11 Madison Avenue to make joint investments towards energy efficiency. One Vanderbilt and One Madison represent 3 million square feet of sustainable development in New York City that will achieve LEED certification through efficient design and infrastructure. One Vanderbilt creates a Class-A office experience for tenants, visitors, and the local community. The building is projected to consume 26.3% less energy compared with the LEED version 3 baseline and it will achieve one of the lowest carbon footprints in the city. Some of the building’s features include indoor air quality that will surpass the ASHRAE 62.1 standard by 30% and premier access to daylighting for 85% of tenant floor area.</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industry leadership has been widely recognized. During 2015, 2016, 2018 and 2019, we were recognized by the United States Environmental Protection Agency as an ENERGY STAR Partner for our efforts to strategically manage and improve energy performance across our Manhattan and suburban portfolios, and in 2019 we achieved “Sustained Excellence” for the second consecutive year. In addition to releasing a GRI report for the past 5 consecutive years, in 2017 and 2018 we have been awarded “REIT of the Year – Sustainability” by Real Estate &amp; Investment Finance. We also achieved an “A” rating under Global Real Estate Sustainability Benchmark’s (GRESB) “Public Disclosure Report” and are positioned to respond to the GRESB Real Estate Assessment in 2019, and achieved the highest ESG score, ahead of 33 competitor office REITs evaluated on Bloomberg’s list of the largest 5,000 global companies. In 2018, we submitted our first response to CDP, formerly Carbon Disclosure Project, and achieved a “B,” leading the way among industry peers and over 7,000 participating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675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720" w:right="1240"/>
        <w:spacing w:after="0" w:line="264" w:lineRule="auto"/>
        <w:rPr>
          <w:sz w:val="20"/>
          <w:szCs w:val="20"/>
          <w:color w:val="auto"/>
        </w:rPr>
      </w:pPr>
      <w:r>
        <w:rPr>
          <w:rFonts w:ascii="Arial" w:cs="Arial" w:eastAsia="Arial" w:hAnsi="Arial"/>
          <w:sz w:val="18"/>
          <w:szCs w:val="18"/>
          <w:b w:val="1"/>
          <w:bCs w:val="1"/>
          <w:color w:val="345988"/>
        </w:rPr>
        <w:t>The industry recognition garnered for our market-leading program is a testament to the sustainability commitment embodied by management and our Board.</w:t>
      </w:r>
    </w:p>
    <w:p>
      <w:pPr>
        <w:spacing w:after="0" w:line="16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REIT of the Year – Sustainability (2017 and 2018) – Real Estate &amp; Investment Finance</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2017 Sustainability Award – Business Intelligence Group</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Earth Award: 1515 Broadway – Building Owners and Managers Association (BOMA)</w:t>
      </w:r>
    </w:p>
    <w:p>
      <w:pPr>
        <w:spacing w:after="0" w:line="212" w:lineRule="exact"/>
        <w:rPr>
          <w:sz w:val="20"/>
          <w:szCs w:val="20"/>
          <w:color w:val="auto"/>
        </w:rPr>
      </w:pPr>
    </w:p>
    <w:p>
      <w:pPr>
        <w:ind w:left="1720" w:right="1540"/>
        <w:spacing w:after="0" w:line="264" w:lineRule="auto"/>
        <w:rPr>
          <w:sz w:val="20"/>
          <w:szCs w:val="20"/>
          <w:color w:val="auto"/>
        </w:rPr>
      </w:pPr>
      <w:r>
        <w:rPr>
          <w:rFonts w:ascii="Arial" w:cs="Arial" w:eastAsia="Arial" w:hAnsi="Arial"/>
          <w:sz w:val="18"/>
          <w:szCs w:val="18"/>
          <w:b w:val="1"/>
          <w:bCs w:val="1"/>
          <w:color w:val="FFFFFF"/>
        </w:rPr>
        <w:t>“A” Rating for ESG Performance – Global Real Estate Sustainability Benchmark’s (GRESB) Public Disclosure Report (2017)</w:t>
      </w:r>
    </w:p>
    <w:p>
      <w:pPr>
        <w:spacing w:after="0" w:line="16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ENERGY STAR Partner (2015, 2016, 2018 and 2019) – United States Environmental Protection Agency</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Sustainability Report (2013- 2018) – GRI Adherence</w:t>
      </w:r>
    </w:p>
    <w:p>
      <w:pPr>
        <w:spacing w:after="0" w:line="212" w:lineRule="exact"/>
        <w:rPr>
          <w:sz w:val="20"/>
          <w:szCs w:val="20"/>
          <w:color w:val="auto"/>
        </w:rPr>
      </w:pPr>
    </w:p>
    <w:p>
      <w:pPr>
        <w:ind w:left="1720" w:right="2620"/>
        <w:spacing w:after="0" w:line="264" w:lineRule="auto"/>
        <w:rPr>
          <w:sz w:val="20"/>
          <w:szCs w:val="20"/>
          <w:color w:val="auto"/>
        </w:rPr>
      </w:pPr>
      <w:r>
        <w:rPr>
          <w:rFonts w:ascii="Arial" w:cs="Arial" w:eastAsia="Arial" w:hAnsi="Arial"/>
          <w:sz w:val="18"/>
          <w:szCs w:val="18"/>
          <w:b w:val="1"/>
          <w:bCs w:val="1"/>
          <w:color w:val="345988"/>
        </w:rPr>
        <w:t>Our sustainability strategy, achievements and reports are available on our website at http://www.slgreen.com/sustainability.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Risk Oversight</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The Board delegated to the Audit Committee oversight of the Company’s risk management process. Among its duties, the Audit Committee reviews with management (a) Company policies with respect to risk assessment and management of risks that may be material to the Company,</w:t>
      </w:r>
    </w:p>
    <w:p>
      <w:pPr>
        <w:ind w:right="60" w:firstLine="8"/>
        <w:spacing w:after="0" w:line="236" w:lineRule="auto"/>
        <w:tabs>
          <w:tab w:leader="none" w:pos="2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disclosure controls and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21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addition, our Compensation Committee considers potential risks to the Company in its determinations of the overall structure of our executive compensation program and the specific goals it establishes for our executives.</w:t>
      </w:r>
    </w:p>
    <w:p>
      <w:pPr>
        <w:spacing w:after="0" w:line="209"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the Board leadership structure supports this approach.</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Governance Principles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Code of Ethics</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adopted a Code of Ethics that applies to our directors, executive officers and employees.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Whistleblowing and Whistleblower Protection Policy</w:t>
      </w:r>
    </w:p>
    <w:p>
      <w:pPr>
        <w:spacing w:after="0" w:line="23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Our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420 Lexington Avenue, New York, New York 10170-1881. Any such communications may be made anonymously.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Additional Information</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w:t>
      </w:r>
    </w:p>
    <w:p>
      <w:pPr>
        <w:spacing w:after="0" w:line="21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345988"/>
              </w:rPr>
              <w:t>Fees Earned or</w:t>
            </w:r>
          </w:p>
        </w:tc>
        <w:tc>
          <w:tcPr>
            <w:tcW w:w="2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Stock</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Option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160"/>
              <w:spacing w:after="0" w:line="181" w:lineRule="exact"/>
              <w:rPr>
                <w:sz w:val="20"/>
                <w:szCs w:val="20"/>
                <w:color w:val="auto"/>
              </w:rPr>
            </w:pPr>
            <w:r>
              <w:rPr>
                <w:rFonts w:ascii="Arial" w:cs="Arial" w:eastAsia="Arial" w:hAnsi="Arial"/>
                <w:sz w:val="13"/>
                <w:szCs w:val="13"/>
                <w:b w:val="1"/>
                <w:bCs w:val="1"/>
                <w:color w:val="345988"/>
              </w:rPr>
              <w:t>Paid in Cash</w:t>
            </w:r>
            <w:r>
              <w:rPr>
                <w:rFonts w:ascii="Arial" w:cs="Arial" w:eastAsia="Arial" w:hAnsi="Arial"/>
                <w:sz w:val="20"/>
                <w:szCs w:val="20"/>
                <w:b w:val="1"/>
                <w:bCs w:val="1"/>
                <w:color w:val="345988"/>
                <w:vertAlign w:val="superscript"/>
              </w:rPr>
              <w:t>(1)</w:t>
            </w:r>
          </w:p>
        </w:tc>
        <w:tc>
          <w:tcPr>
            <w:tcW w:w="280" w:type="dxa"/>
            <w:vAlign w:val="bottom"/>
          </w:tcPr>
          <w:p>
            <w:pPr>
              <w:spacing w:after="0"/>
              <w:rPr>
                <w:sz w:val="15"/>
                <w:szCs w:val="15"/>
                <w:color w:val="auto"/>
              </w:rPr>
            </w:pPr>
          </w:p>
        </w:tc>
        <w:tc>
          <w:tcPr>
            <w:tcW w:w="920" w:type="dxa"/>
            <w:vAlign w:val="bottom"/>
            <w:gridSpan w:val="2"/>
          </w:tcPr>
          <w:p>
            <w:pPr>
              <w:jc w:val="right"/>
              <w:ind w:right="160"/>
              <w:spacing w:after="0" w:line="181" w:lineRule="exact"/>
              <w:rPr>
                <w:sz w:val="20"/>
                <w:szCs w:val="20"/>
                <w:color w:val="auto"/>
              </w:rPr>
            </w:pPr>
            <w:r>
              <w:rPr>
                <w:rFonts w:ascii="Arial" w:cs="Arial" w:eastAsia="Arial" w:hAnsi="Arial"/>
                <w:sz w:val="13"/>
                <w:szCs w:val="13"/>
                <w:b w:val="1"/>
                <w:bCs w:val="1"/>
                <w:color w:val="345988"/>
              </w:rPr>
              <w:t>Awards</w:t>
            </w:r>
            <w:r>
              <w:rPr>
                <w:rFonts w:ascii="Arial" w:cs="Arial" w:eastAsia="Arial" w:hAnsi="Arial"/>
                <w:sz w:val="20"/>
                <w:szCs w:val="20"/>
                <w:b w:val="1"/>
                <w:bCs w:val="1"/>
                <w:color w:val="345988"/>
                <w:vertAlign w:val="superscript"/>
              </w:rPr>
              <w:t>(2)</w:t>
            </w:r>
          </w:p>
        </w:tc>
        <w:tc>
          <w:tcPr>
            <w:tcW w:w="800" w:type="dxa"/>
            <w:vAlign w:val="bottom"/>
            <w:gridSpan w:val="2"/>
          </w:tcPr>
          <w:p>
            <w:pPr>
              <w:jc w:val="right"/>
              <w:ind w:right="160"/>
              <w:spacing w:after="0" w:line="181" w:lineRule="exact"/>
              <w:rPr>
                <w:sz w:val="20"/>
                <w:szCs w:val="20"/>
                <w:color w:val="auto"/>
              </w:rPr>
            </w:pPr>
            <w:r>
              <w:rPr>
                <w:rFonts w:ascii="Arial" w:cs="Arial" w:eastAsia="Arial" w:hAnsi="Arial"/>
                <w:sz w:val="13"/>
                <w:szCs w:val="13"/>
                <w:b w:val="1"/>
                <w:bCs w:val="1"/>
                <w:color w:val="345988"/>
                <w:w w:val="97"/>
              </w:rPr>
              <w:t>Awards</w:t>
            </w:r>
            <w:r>
              <w:rPr>
                <w:rFonts w:ascii="Arial" w:cs="Arial" w:eastAsia="Arial" w:hAnsi="Arial"/>
                <w:sz w:val="20"/>
                <w:szCs w:val="20"/>
                <w:b w:val="1"/>
                <w:bCs w:val="1"/>
                <w:color w:val="345988"/>
                <w:w w:val="97"/>
                <w:vertAlign w:val="superscript"/>
              </w:rPr>
              <w:t>(3)</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345988"/>
              </w:rPr>
              <w:t>Total</w:t>
            </w:r>
          </w:p>
        </w:tc>
      </w:tr>
      <w:tr>
        <w:trPr>
          <w:trHeight w:val="185"/>
        </w:trPr>
        <w:tc>
          <w:tcPr>
            <w:tcW w:w="6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345988"/>
              </w:rPr>
              <w:t>($)</w:t>
            </w:r>
          </w:p>
        </w:tc>
      </w:tr>
      <w:tr>
        <w:trPr>
          <w:trHeight w:val="34"/>
        </w:trPr>
        <w:tc>
          <w:tcPr>
            <w:tcW w:w="69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45988"/>
          </w:tcPr>
          <w:p>
            <w:pPr>
              <w:spacing w:after="0"/>
              <w:rPr>
                <w:sz w:val="2"/>
                <w:szCs w:val="2"/>
                <w:color w:val="auto"/>
              </w:rPr>
            </w:pPr>
          </w:p>
        </w:tc>
        <w:tc>
          <w:tcPr>
            <w:tcW w:w="7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45988"/>
          </w:tcPr>
          <w:p>
            <w:pPr>
              <w:spacing w:after="0"/>
              <w:rPr>
                <w:sz w:val="2"/>
                <w:szCs w:val="2"/>
                <w:color w:val="auto"/>
              </w:rPr>
            </w:pPr>
          </w:p>
        </w:tc>
        <w:tc>
          <w:tcPr>
            <w:tcW w:w="7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45988"/>
          </w:tcPr>
          <w:p>
            <w:pPr>
              <w:spacing w:after="0"/>
              <w:rPr>
                <w:sz w:val="2"/>
                <w:szCs w:val="2"/>
                <w:color w:val="auto"/>
              </w:rPr>
            </w:pPr>
          </w:p>
        </w:tc>
        <w:tc>
          <w:tcPr>
            <w:tcW w:w="780" w:type="dxa"/>
            <w:vAlign w:val="bottom"/>
            <w:shd w:val="clear" w:color="auto" w:fill="345988"/>
          </w:tcPr>
          <w:p>
            <w:pPr>
              <w:spacing w:after="0"/>
              <w:rPr>
                <w:sz w:val="2"/>
                <w:szCs w:val="2"/>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106,500</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406,500</w:t>
            </w:r>
          </w:p>
        </w:tc>
      </w:tr>
      <w:tr>
        <w:trPr>
          <w:trHeight w:val="21"/>
        </w:trPr>
        <w:tc>
          <w:tcPr>
            <w:tcW w:w="69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170,667</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470,667</w:t>
            </w:r>
          </w:p>
        </w:tc>
      </w:tr>
      <w:tr>
        <w:trPr>
          <w:trHeight w:val="21"/>
        </w:trPr>
        <w:tc>
          <w:tcPr>
            <w:tcW w:w="69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63,069</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363,069</w:t>
            </w:r>
          </w:p>
        </w:tc>
      </w:tr>
      <w:tr>
        <w:trPr>
          <w:trHeight w:val="21"/>
        </w:trPr>
        <w:tc>
          <w:tcPr>
            <w:tcW w:w="69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83,931</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383,931</w:t>
            </w:r>
          </w:p>
        </w:tc>
      </w:tr>
      <w:tr>
        <w:trPr>
          <w:trHeight w:val="21"/>
        </w:trPr>
        <w:tc>
          <w:tcPr>
            <w:tcW w:w="69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72,500</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372,500</w:t>
            </w:r>
          </w:p>
        </w:tc>
      </w:tr>
      <w:tr>
        <w:trPr>
          <w:trHeight w:val="21"/>
        </w:trPr>
        <w:tc>
          <w:tcPr>
            <w:tcW w:w="69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1A9"/>
          </w:tcPr>
          <w:p>
            <w:pPr>
              <w:spacing w:after="0" w:line="20" w:lineRule="exact"/>
              <w:rPr>
                <w:sz w:val="1"/>
                <w:szCs w:val="1"/>
                <w:color w:val="auto"/>
              </w:rPr>
            </w:pPr>
          </w:p>
        </w:tc>
        <w:tc>
          <w:tcPr>
            <w:tcW w:w="780" w:type="dxa"/>
            <w:vAlign w:val="bottom"/>
            <w:shd w:val="clear" w:color="auto" w:fill="8591A9"/>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Lauren B. Dillard</w:t>
            </w:r>
          </w:p>
        </w:tc>
        <w:tc>
          <w:tcPr>
            <w:tcW w:w="160" w:type="dxa"/>
            <w:vAlign w:val="bottom"/>
          </w:tcPr>
          <w:p>
            <w:pPr>
              <w:spacing w:after="0"/>
              <w:rPr>
                <w:sz w:val="20"/>
                <w:szCs w:val="20"/>
                <w:color w:val="auto"/>
              </w:rPr>
            </w:pPr>
          </w:p>
        </w:tc>
        <w:tc>
          <w:tcPr>
            <w:tcW w:w="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118,333</w:t>
            </w:r>
          </w:p>
        </w:tc>
        <w:tc>
          <w:tcPr>
            <w:tcW w:w="16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418,333</w:t>
            </w:r>
          </w:p>
        </w:tc>
      </w:tr>
      <w:tr>
        <w:trPr>
          <w:trHeight w:val="35"/>
        </w:trPr>
        <w:tc>
          <w:tcPr>
            <w:tcW w:w="69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shd w:val="clear" w:color="auto" w:fill="345988"/>
          </w:tcPr>
          <w:p>
            <w:pPr>
              <w:spacing w:after="0"/>
              <w:rPr>
                <w:sz w:val="3"/>
                <w:szCs w:val="3"/>
                <w:color w:val="auto"/>
              </w:rPr>
            </w:pPr>
          </w:p>
        </w:tc>
        <w:tc>
          <w:tcPr>
            <w:tcW w:w="7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shd w:val="clear" w:color="auto" w:fill="345988"/>
          </w:tcPr>
          <w:p>
            <w:pPr>
              <w:spacing w:after="0"/>
              <w:rPr>
                <w:sz w:val="3"/>
                <w:szCs w:val="3"/>
                <w:color w:val="auto"/>
              </w:rPr>
            </w:pPr>
          </w:p>
        </w:tc>
        <w:tc>
          <w:tcPr>
            <w:tcW w:w="7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shd w:val="clear" w:color="auto" w:fill="345988"/>
          </w:tcPr>
          <w:p>
            <w:pPr>
              <w:spacing w:after="0"/>
              <w:rPr>
                <w:sz w:val="3"/>
                <w:szCs w:val="3"/>
                <w:color w:val="auto"/>
              </w:rPr>
            </w:pPr>
          </w:p>
        </w:tc>
        <w:tc>
          <w:tcPr>
            <w:tcW w:w="780" w:type="dxa"/>
            <w:vAlign w:val="bottom"/>
            <w:shd w:val="clear" w:color="auto" w:fill="345988"/>
          </w:tcPr>
          <w:p>
            <w:pPr>
              <w:spacing w:after="0"/>
              <w:rPr>
                <w:sz w:val="3"/>
                <w:szCs w:val="3"/>
                <w:color w:val="auto"/>
              </w:rPr>
            </w:pPr>
          </w:p>
        </w:tc>
      </w:tr>
    </w:tbl>
    <w:p>
      <w:pPr>
        <w:spacing w:after="0" w:line="107" w:lineRule="exact"/>
        <w:rPr>
          <w:sz w:val="20"/>
          <w:szCs w:val="20"/>
          <w:color w:val="auto"/>
        </w:rPr>
      </w:pPr>
    </w:p>
    <w:p>
      <w:pPr>
        <w:ind w:left="380" w:right="40" w:hanging="372"/>
        <w:spacing w:after="0" w:line="225"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Levy and Ms. Dillard deferred all of their 2018 cash compensation and Mr. Alschuler deferred $67,500 of his 2018 cash compensation pursuant to our Non-Employee Directors’ Deferral Program. Mr. Burton elected to receive $18,750 of his 2018 cash compensation and Mr. Hatkoff elected to receive $25,000 of his 2018 cash compensation in the form of shares of our common stock. Accordingly, our non-employee directors received the following shares of our common stock or phantom stock units with respect to the portion of their 2018 cash compensation that they elected to defer or receive in stock, as applicable: Mr. Burton received 186 shares, Mr. Alschuler received 667 units, Ms. Dillard received 1,238 units, Mr. Levy received 654 units and Mr. Hatkoff received 254 shares.</w:t>
      </w:r>
    </w:p>
    <w:p>
      <w:pPr>
        <w:spacing w:after="0" w:line="96" w:lineRule="exact"/>
        <w:rPr>
          <w:rFonts w:ascii="Arial" w:cs="Arial" w:eastAsia="Arial" w:hAnsi="Arial"/>
          <w:sz w:val="14"/>
          <w:szCs w:val="14"/>
          <w:color w:val="auto"/>
        </w:rPr>
      </w:pPr>
    </w:p>
    <w:p>
      <w:pPr>
        <w:ind w:left="380" w:right="140" w:hanging="372"/>
        <w:spacing w:after="0" w:line="231"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on the date of grant of shares of our common stock or phantom stock units granted to the directors in 2018, excluding shares of our common stock and phantom stock units credited in lieu of annual fees and meeting fees.</w:t>
      </w:r>
    </w:p>
    <w:p>
      <w:pPr>
        <w:spacing w:after="0" w:line="95" w:lineRule="exact"/>
        <w:rPr>
          <w:rFonts w:ascii="Arial" w:cs="Arial" w:eastAsia="Arial" w:hAnsi="Arial"/>
          <w:sz w:val="14"/>
          <w:szCs w:val="14"/>
          <w:color w:val="auto"/>
        </w:rPr>
      </w:pPr>
    </w:p>
    <w:p>
      <w:pPr>
        <w:ind w:left="380" w:right="360" w:hanging="372"/>
        <w:spacing w:after="0" w:line="231" w:lineRule="auto"/>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There were no stock options granted to members of the Board in 2018. At December 31, 2018, the aggregate number of option awards held by our non-employee directors was as follows: Mr. Alschuler—14,500; and Mr. Levy—20,500.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629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629920"/>
                    </a:xfrm>
                    <a:prstGeom prst="rect">
                      <a:avLst/>
                    </a:prstGeom>
                    <a:noFill/>
                  </pic:spPr>
                </pic:pic>
              </a:graphicData>
            </a:graphic>
          </wp:anchor>
        </w:drawing>
      </w:r>
    </w:p>
    <w:p>
      <w:pPr>
        <w:spacing w:after="0" w:line="300" w:lineRule="exact"/>
        <w:rPr>
          <w:sz w:val="20"/>
          <w:szCs w:val="20"/>
          <w:color w:val="auto"/>
        </w:rPr>
      </w:pPr>
    </w:p>
    <w:p>
      <w:pPr>
        <w:jc w:val="center"/>
        <w:spacing w:after="0" w:line="246" w:lineRule="auto"/>
        <w:rPr>
          <w:sz w:val="20"/>
          <w:szCs w:val="20"/>
          <w:color w:val="auto"/>
        </w:rPr>
      </w:pPr>
      <w:r>
        <w:rPr>
          <w:rFonts w:ascii="Arial" w:cs="Arial" w:eastAsia="Arial" w:hAnsi="Arial"/>
          <w:sz w:val="22"/>
          <w:szCs w:val="22"/>
          <w:b w:val="1"/>
          <w:bCs w:val="1"/>
          <w:color w:val="345988"/>
        </w:rPr>
        <w:t>Beginning in 2019, we reduced the value of the annual stock grant by $50,000 from $300,000 to $250,000 and reduced the cash retainer paid for serving as our Lead Independent Director by $15,000 from $85,000 to $70,000.</w:t>
      </w:r>
    </w:p>
    <w:p>
      <w:pPr>
        <w:spacing w:after="0" w:line="33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Only non-employee Directors are compensated for service on the Board. During the fiscal year ended December 31, 2018, the fees for non-employee Directors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400" w:type="dxa"/>
            <w:vAlign w:val="bottom"/>
            <w:gridSpan w:val="2"/>
          </w:tcPr>
          <w:p>
            <w:pPr>
              <w:spacing w:after="0"/>
              <w:rPr>
                <w:sz w:val="20"/>
                <w:szCs w:val="20"/>
                <w:color w:val="auto"/>
              </w:rPr>
            </w:pPr>
            <w:r>
              <w:rPr>
                <w:rFonts w:ascii="Arial" w:cs="Arial" w:eastAsia="Arial" w:hAnsi="Arial"/>
                <w:sz w:val="14"/>
                <w:szCs w:val="14"/>
                <w:b w:val="1"/>
                <w:bCs w:val="1"/>
                <w:color w:val="auto"/>
              </w:rPr>
              <w:t>Annual cash retainers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48"/>
        </w:trPr>
        <w:tc>
          <w:tcPr>
            <w:tcW w:w="1024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345988"/>
            </w:tcBorders>
          </w:tcPr>
          <w:p>
            <w:pPr>
              <w:spacing w:after="0"/>
              <w:rPr>
                <w:sz w:val="4"/>
                <w:szCs w:val="4"/>
                <w:color w:val="auto"/>
              </w:rPr>
            </w:pPr>
          </w:p>
        </w:tc>
        <w:tc>
          <w:tcPr>
            <w:tcW w:w="760" w:type="dxa"/>
            <w:vAlign w:val="bottom"/>
            <w:tcBorders>
              <w:bottom w:val="single" w:sz="8" w:color="345988"/>
            </w:tcBorders>
          </w:tcPr>
          <w:p>
            <w:pPr>
              <w:spacing w:after="0"/>
              <w:rPr>
                <w:sz w:val="4"/>
                <w:szCs w:val="4"/>
                <w:color w:val="auto"/>
              </w:rPr>
            </w:pP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Cash retainer</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Additional cash retainer if serving as the Lead Independent Director</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85,000</w:t>
            </w: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Additional cash retainer if serving as a chair of the Audit Committee</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25,000</w:t>
            </w: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Additional cash retainer if serving as a chair of the Compensation Committee</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7,500</w:t>
            </w: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Additional cash retainer if serving as a chair of the Corporate Governance Committee</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5,000</w:t>
            </w:r>
          </w:p>
        </w:tc>
      </w:tr>
      <w:tr>
        <w:trPr>
          <w:trHeight w:val="202"/>
        </w:trPr>
        <w:tc>
          <w:tcPr>
            <w:tcW w:w="10400" w:type="dxa"/>
            <w:vAlign w:val="bottom"/>
            <w:gridSpan w:val="2"/>
          </w:tcPr>
          <w:p>
            <w:pPr>
              <w:spacing w:after="0"/>
              <w:rPr>
                <w:sz w:val="20"/>
                <w:szCs w:val="20"/>
                <w:color w:val="auto"/>
              </w:rPr>
            </w:pPr>
            <w:r>
              <w:rPr>
                <w:rFonts w:ascii="Arial" w:cs="Arial" w:eastAsia="Arial" w:hAnsi="Arial"/>
                <w:sz w:val="14"/>
                <w:szCs w:val="14"/>
                <w:b w:val="1"/>
                <w:bCs w:val="1"/>
                <w:color w:val="auto"/>
              </w:rPr>
              <w:t>Meeting fees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
        </w:trPr>
        <w:tc>
          <w:tcPr>
            <w:tcW w:w="10240" w:type="dxa"/>
            <w:vAlign w:val="bottom"/>
            <w:tcBorders>
              <w:bottom w:val="single" w:sz="8" w:color="8591A9"/>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8591A9"/>
            </w:tcBorders>
          </w:tcPr>
          <w:p>
            <w:pPr>
              <w:spacing w:after="0"/>
              <w:rPr>
                <w:sz w:val="3"/>
                <w:szCs w:val="3"/>
                <w:color w:val="auto"/>
              </w:rPr>
            </w:pPr>
          </w:p>
        </w:tc>
        <w:tc>
          <w:tcPr>
            <w:tcW w:w="760" w:type="dxa"/>
            <w:vAlign w:val="bottom"/>
            <w:tcBorders>
              <w:bottom w:val="single" w:sz="8" w:color="8591A9"/>
            </w:tcBorders>
          </w:tcPr>
          <w:p>
            <w:pPr>
              <w:spacing w:after="0"/>
              <w:rPr>
                <w:sz w:val="3"/>
                <w:szCs w:val="3"/>
                <w:color w:val="auto"/>
              </w:rPr>
            </w:pPr>
          </w:p>
        </w:tc>
      </w:tr>
      <w:tr>
        <w:trPr>
          <w:trHeight w:val="230"/>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For each meeting of the Board or a committee of the Board</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1,500</w:t>
            </w:r>
          </w:p>
        </w:tc>
      </w:tr>
      <w:tr>
        <w:trPr>
          <w:trHeight w:val="237"/>
        </w:trPr>
        <w:tc>
          <w:tcPr>
            <w:tcW w:w="1024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For each special meeting of the Audit Committee held independently of Board meetings</w:t>
            </w:r>
          </w:p>
        </w:tc>
        <w:tc>
          <w:tcPr>
            <w:tcW w:w="160" w:type="dxa"/>
            <w:vAlign w:val="bottom"/>
          </w:tcPr>
          <w:p>
            <w:pPr>
              <w:spacing w:after="0"/>
              <w:rPr>
                <w:sz w:val="20"/>
                <w:szCs w:val="20"/>
                <w:color w:val="auto"/>
              </w:rPr>
            </w:pPr>
          </w:p>
        </w:tc>
        <w:tc>
          <w:tcPr>
            <w:tcW w:w="260" w:type="dxa"/>
            <w:vAlign w:val="bottom"/>
            <w:tcBorders>
              <w:bottom w:val="single" w:sz="8" w:color="8591A9"/>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4,000</w:t>
            </w:r>
          </w:p>
        </w:tc>
      </w:tr>
      <w:tr>
        <w:trPr>
          <w:trHeight w:val="202"/>
        </w:trPr>
        <w:tc>
          <w:tcPr>
            <w:tcW w:w="10400" w:type="dxa"/>
            <w:vAlign w:val="bottom"/>
            <w:gridSpan w:val="2"/>
          </w:tcPr>
          <w:p>
            <w:pPr>
              <w:spacing w:after="0"/>
              <w:rPr>
                <w:sz w:val="20"/>
                <w:szCs w:val="20"/>
                <w:color w:val="auto"/>
              </w:rPr>
            </w:pPr>
            <w:r>
              <w:rPr>
                <w:rFonts w:ascii="Arial" w:cs="Arial" w:eastAsia="Arial" w:hAnsi="Arial"/>
                <w:sz w:val="14"/>
                <w:szCs w:val="14"/>
                <w:b w:val="1"/>
                <w:bCs w:val="1"/>
                <w:color w:val="auto"/>
              </w:rPr>
              <w:t>Stock grant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
        </w:trPr>
        <w:tc>
          <w:tcPr>
            <w:tcW w:w="10240" w:type="dxa"/>
            <w:vAlign w:val="bottom"/>
            <w:tcBorders>
              <w:bottom w:val="single" w:sz="8" w:color="8591A9"/>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8591A9"/>
            </w:tcBorders>
          </w:tcPr>
          <w:p>
            <w:pPr>
              <w:spacing w:after="0"/>
              <w:rPr>
                <w:sz w:val="3"/>
                <w:szCs w:val="3"/>
                <w:color w:val="auto"/>
              </w:rPr>
            </w:pPr>
          </w:p>
        </w:tc>
        <w:tc>
          <w:tcPr>
            <w:tcW w:w="760" w:type="dxa"/>
            <w:vAlign w:val="bottom"/>
            <w:tcBorders>
              <w:bottom w:val="single" w:sz="8" w:color="8591A9"/>
            </w:tcBorders>
          </w:tcPr>
          <w:p>
            <w:pPr>
              <w:spacing w:after="0"/>
              <w:rPr>
                <w:sz w:val="3"/>
                <w:szCs w:val="3"/>
                <w:color w:val="auto"/>
              </w:rPr>
            </w:pPr>
          </w:p>
        </w:tc>
      </w:tr>
      <w:tr>
        <w:trPr>
          <w:trHeight w:val="244"/>
        </w:trPr>
        <w:tc>
          <w:tcPr>
            <w:tcW w:w="1024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Valued at the grant date with shares fully vested on such grant date.</w:t>
            </w:r>
          </w:p>
        </w:tc>
        <w:tc>
          <w:tcPr>
            <w:tcW w:w="160" w:type="dxa"/>
            <w:vAlign w:val="bottom"/>
          </w:tcPr>
          <w:p>
            <w:pPr>
              <w:spacing w:after="0"/>
              <w:rPr>
                <w:sz w:val="21"/>
                <w:szCs w:val="21"/>
                <w:color w:val="auto"/>
              </w:rPr>
            </w:pPr>
          </w:p>
        </w:tc>
        <w:tc>
          <w:tcPr>
            <w:tcW w:w="260" w:type="dxa"/>
            <w:vAlign w:val="bottom"/>
            <w:tcBorders>
              <w:bottom w:val="single" w:sz="8" w:color="345988"/>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300,000</w:t>
            </w:r>
          </w:p>
        </w:tc>
      </w:tr>
    </w:tbl>
    <w:p>
      <w:pPr>
        <w:spacing w:after="0" w:line="21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annual fees and meeting fees generally are payable quarterly in cash. Each director may elect to receive some or all of these fees in stock and, as noted below, may elect to defer some or all of these fees.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w:t>
      </w:r>
    </w:p>
    <w:p>
      <w:pPr>
        <w:spacing w:after="0" w:line="215"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OUR BOARD OF DIRECTORS AND CORPORATE GOVERNANCE</w:t>
      </w:r>
    </w:p>
    <w:p>
      <w:pPr>
        <w:spacing w:after="0" w:line="212"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the applicable mutual fund on the date the cash fees otherwise would have been paid or the date of the conversion, as applicable. Unless otherwise elected by a director, a director’s phantom stock units, account credits and measurement fund credits are payable on the earlier of the</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420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71" w:lineRule="exact"/>
        <w:rPr>
          <w:sz w:val="20"/>
          <w:szCs w:val="20"/>
          <w:color w:val="auto"/>
        </w:rPr>
      </w:pPr>
    </w:p>
    <w:p>
      <w:pPr>
        <w:jc w:val="right"/>
        <w:ind w:left="60"/>
        <w:spacing w:after="0" w:line="285" w:lineRule="auto"/>
        <w:rPr>
          <w:sz w:val="20"/>
          <w:szCs w:val="20"/>
          <w:color w:val="auto"/>
        </w:rPr>
      </w:pPr>
      <w:r>
        <w:rPr>
          <w:rFonts w:ascii="Arial" w:cs="Arial" w:eastAsia="Arial" w:hAnsi="Arial"/>
          <w:sz w:val="21"/>
          <w:szCs w:val="21"/>
          <w:b w:val="1"/>
          <w:bCs w:val="1"/>
          <w:color w:val="325889"/>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97560" cy="1046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97560" cy="1046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97560" cy="1046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9756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44</w:t>
      </w:r>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color w:val="auto"/>
        </w:rPr>
        <w:t>Executive Officer Since: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January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Chief Financial Officer</w:t>
      </w:r>
    </w:p>
    <w:p>
      <w:pPr>
        <w:spacing w:after="0" w:line="27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Matthew J. DiLiberto </w:t>
      </w:r>
      <w:r>
        <w:rPr>
          <w:rFonts w:ascii="Arial" w:cs="Arial" w:eastAsia="Arial" w:hAnsi="Arial"/>
          <w:sz w:val="18"/>
          <w:szCs w:val="18"/>
          <w:color w:val="auto"/>
        </w:rPr>
        <w:t>joined the Company in September 2004 and currently serves as the Company’s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overseeing the finance, accounting, tax, investor relations and corporate capital markets functions of the organization. Mr. DiLiberto previously served as the Company’s Chief Accounting Officer &amp; Treasurer from 2007 to 2014.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on the National Association of Real Estate Investment Trust’s Best Financial Practices Council and is a member of the Board of Directors of the FDNY Foundation. Mr. DiLiberto received a B.S. degree in Accounting from The University of Scranton.</w:t>
      </w:r>
    </w:p>
    <w:p>
      <w:pPr>
        <w:spacing w:after="0" w:line="582" w:lineRule="exact"/>
        <w:rPr>
          <w:sz w:val="20"/>
          <w:szCs w:val="20"/>
          <w:color w:val="auto"/>
        </w:rPr>
      </w:pPr>
    </w:p>
    <w:p>
      <w:pPr>
        <w:sectPr>
          <w:pgSz w:w="11900" w:h="16838" w:orient="portrait"/>
          <w:cols w:equalWidth="0" w:num="2">
            <w:col w:w="1160" w:space="220"/>
            <w:col w:w="10040"/>
          </w:cols>
          <w:pgMar w:left="240" w:top="12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300" w:type="dxa"/>
            <w:vAlign w:val="bottom"/>
            <w:tcBorders>
              <w:top w:val="single" w:sz="8" w:color="345988"/>
            </w:tcBorders>
          </w:tcPr>
          <w:p>
            <w:pPr>
              <w:ind w:left="100"/>
              <w:spacing w:after="0"/>
              <w:rPr>
                <w:sz w:val="20"/>
                <w:szCs w:val="20"/>
                <w:color w:val="auto"/>
              </w:rPr>
            </w:pPr>
            <w:r>
              <w:rPr>
                <w:rFonts w:ascii="Arial" w:cs="Arial" w:eastAsia="Arial" w:hAnsi="Arial"/>
                <w:sz w:val="22"/>
                <w:szCs w:val="22"/>
                <w:b w:val="1"/>
                <w:bCs w:val="1"/>
                <w:color w:val="325889"/>
              </w:rPr>
              <w:t>Andrew S.</w:t>
            </w:r>
          </w:p>
        </w:tc>
        <w:tc>
          <w:tcPr>
            <w:tcW w:w="100" w:type="dxa"/>
            <w:vAlign w:val="bottom"/>
          </w:tcPr>
          <w:p>
            <w:pPr>
              <w:spacing w:after="0"/>
              <w:rPr>
                <w:sz w:val="24"/>
                <w:szCs w:val="24"/>
                <w:color w:val="auto"/>
              </w:rPr>
            </w:pPr>
          </w:p>
        </w:tc>
        <w:tc>
          <w:tcPr>
            <w:tcW w:w="10020" w:type="dxa"/>
            <w:vAlign w:val="bottom"/>
            <w:tcBorders>
              <w:top w:val="single" w:sz="8" w:color="345988"/>
            </w:tcBorders>
            <w:vMerge w:val="restart"/>
            <w:shd w:val="clear" w:color="auto" w:fill="ECEFF2"/>
          </w:tcPr>
          <w:p>
            <w:pPr>
              <w:ind w:left="80"/>
              <w:spacing w:after="0"/>
              <w:rPr>
                <w:sz w:val="20"/>
                <w:szCs w:val="20"/>
                <w:color w:val="auto"/>
              </w:rPr>
            </w:pPr>
            <w:r>
              <w:rPr>
                <w:rFonts w:ascii="Arial" w:cs="Arial" w:eastAsia="Arial" w:hAnsi="Arial"/>
                <w:sz w:val="18"/>
                <w:szCs w:val="18"/>
                <w:b w:val="1"/>
                <w:bCs w:val="1"/>
                <w:color w:val="auto"/>
              </w:rPr>
              <w:t>Chief Legal Officer and General Counsel</w:t>
            </w:r>
          </w:p>
        </w:tc>
        <w:tc>
          <w:tcPr>
            <w:tcW w:w="0" w:type="dxa"/>
            <w:vAlign w:val="bottom"/>
          </w:tcPr>
          <w:p>
            <w:pPr>
              <w:spacing w:after="0"/>
              <w:rPr>
                <w:sz w:val="1"/>
                <w:szCs w:val="1"/>
                <w:color w:val="auto"/>
              </w:rPr>
            </w:pPr>
          </w:p>
        </w:tc>
      </w:tr>
      <w:tr>
        <w:trPr>
          <w:trHeight w:val="152"/>
        </w:trPr>
        <w:tc>
          <w:tcPr>
            <w:tcW w:w="1300" w:type="dxa"/>
            <w:vAlign w:val="bottom"/>
            <w:vMerge w:val="restart"/>
          </w:tcPr>
          <w:p>
            <w:pPr>
              <w:ind w:left="300"/>
              <w:spacing w:after="0"/>
              <w:rPr>
                <w:sz w:val="20"/>
                <w:szCs w:val="20"/>
                <w:color w:val="auto"/>
              </w:rPr>
            </w:pPr>
            <w:r>
              <w:rPr>
                <w:rFonts w:ascii="Arial" w:cs="Arial" w:eastAsia="Arial" w:hAnsi="Arial"/>
                <w:sz w:val="22"/>
                <w:szCs w:val="22"/>
                <w:b w:val="1"/>
                <w:bCs w:val="1"/>
                <w:color w:val="325889"/>
              </w:rPr>
              <w:t>Levine</w:t>
            </w:r>
          </w:p>
        </w:tc>
        <w:tc>
          <w:tcPr>
            <w:tcW w:w="100" w:type="dxa"/>
            <w:vAlign w:val="bottom"/>
          </w:tcPr>
          <w:p>
            <w:pPr>
              <w:spacing w:after="0"/>
              <w:rPr>
                <w:sz w:val="13"/>
                <w:szCs w:val="13"/>
                <w:color w:val="auto"/>
              </w:rPr>
            </w:pPr>
          </w:p>
        </w:tc>
        <w:tc>
          <w:tcPr>
            <w:tcW w:w="10020" w:type="dxa"/>
            <w:vAlign w:val="bottom"/>
            <w:vMerge w:val="continue"/>
            <w:shd w:val="clear" w:color="auto" w:fill="ECEFF2"/>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20" w:type="dxa"/>
            <w:vAlign w:val="bottom"/>
            <w:shd w:val="clear" w:color="auto" w:fill="ECEFF2"/>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00" w:type="dxa"/>
            <w:vAlign w:val="bottom"/>
            <w:tcBorders>
              <w:bottom w:val="single" w:sz="8" w:color="325889"/>
            </w:tcBorders>
          </w:tcPr>
          <w:p>
            <w:pPr>
              <w:spacing w:after="0"/>
              <w:rPr>
                <w:sz w:val="5"/>
                <w:szCs w:val="5"/>
                <w:color w:val="auto"/>
              </w:rPr>
            </w:pPr>
          </w:p>
        </w:tc>
        <w:tc>
          <w:tcPr>
            <w:tcW w:w="100" w:type="dxa"/>
            <w:vAlign w:val="bottom"/>
          </w:tcPr>
          <w:p>
            <w:pPr>
              <w:spacing w:after="0"/>
              <w:rPr>
                <w:sz w:val="5"/>
                <w:szCs w:val="5"/>
                <w:color w:val="auto"/>
              </w:rPr>
            </w:pPr>
          </w:p>
        </w:tc>
        <w:tc>
          <w:tcPr>
            <w:tcW w:w="10020" w:type="dxa"/>
            <w:vAlign w:val="bottom"/>
            <w:tcBorders>
              <w:bottom w:val="single" w:sz="8" w:color="ECEFF2"/>
            </w:tcBorders>
            <w:shd w:val="clear" w:color="auto" w:fill="ECEFF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3"/>
                <w:szCs w:val="23"/>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and General Counsel since April 2007 and as our General Counsel,</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Executive Vice President and Secretary since November 2000. Prior to joining the Company, Mr. Levine was a partner in the</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REIT and Real Estate Transactions and Business groups at the law firm of Pryor, Cashman, Sherman &amp; Flynn, LLP. Prior to</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1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8"/>
              </w:rPr>
              <w:t>joining Pryor, Cashman, Sherman &amp; Flynn, LLP, Mr. Levine was a partner at the law firm of Dreyer &amp; Traub. Mr. Levine received</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1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8"/>
              </w:rPr>
              <w:t>a B.A. degree from the University of Vermont and a J.D. degree from Rutgers School of Law, where Mr. Levine was an Editor of</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8"/>
              </w:rPr>
              <w:t>the Law Review. He currently serves as a member of the Advisory Board of Rutgers Center for Corporate Law and Governance.</w:t>
            </w:r>
          </w:p>
        </w:tc>
        <w:tc>
          <w:tcPr>
            <w:tcW w:w="0" w:type="dxa"/>
            <w:vAlign w:val="bottom"/>
          </w:tcPr>
          <w:p>
            <w:pPr>
              <w:spacing w:after="0"/>
              <w:rPr>
                <w:sz w:val="1"/>
                <w:szCs w:val="1"/>
                <w:color w:val="auto"/>
              </w:rPr>
            </w:pPr>
          </w:p>
        </w:tc>
      </w:tr>
      <w:tr>
        <w:trPr>
          <w:trHeight w:val="851"/>
        </w:trPr>
        <w:tc>
          <w:tcPr>
            <w:tcW w:w="1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30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Arial" w:cs="Arial" w:eastAsia="Arial" w:hAnsi="Arial"/>
                <w:sz w:val="18"/>
                <w:szCs w:val="18"/>
                <w:b w:val="1"/>
                <w:bCs w:val="1"/>
                <w:color w:val="auto"/>
              </w:rPr>
              <w:t>Officer Since:</w:t>
            </w:r>
          </w:p>
        </w:tc>
        <w:tc>
          <w:tcPr>
            <w:tcW w:w="100" w:type="dxa"/>
            <w:vAlign w:val="bottom"/>
          </w:tcPr>
          <w:p>
            <w:pPr>
              <w:spacing w:after="0"/>
              <w:rPr>
                <w:sz w:val="19"/>
                <w:szCs w:val="19"/>
                <w:color w:val="auto"/>
              </w:rPr>
            </w:pPr>
          </w:p>
        </w:tc>
        <w:tc>
          <w:tcPr>
            <w:tcW w:w="10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color w:val="auto"/>
              </w:rPr>
              <w:t>April 2007</w:t>
            </w:r>
          </w:p>
        </w:tc>
        <w:tc>
          <w:tcPr>
            <w:tcW w:w="1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-1842135</wp:posOffset>
            </wp:positionV>
            <wp:extent cx="814705" cy="1046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1046480"/>
                    </a:xfrm>
                    <a:prstGeom prst="rect">
                      <a:avLst/>
                    </a:prstGeom>
                    <a:noFill/>
                  </pic:spPr>
                </pic:pic>
              </a:graphicData>
            </a:graphic>
          </wp:anchor>
        </w:drawing>
      </w:r>
    </w:p>
    <w:p>
      <w:pPr>
        <w:spacing w:after="0" w:line="18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4168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pacing w:after="0" w:line="38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Proposal 2: Advisory Vote on the Compensation of our Named Executive Officers</w:t>
      </w:r>
    </w:p>
    <w:p>
      <w:pPr>
        <w:spacing w:after="0" w:line="313" w:lineRule="exact"/>
        <w:rPr>
          <w:sz w:val="20"/>
          <w:szCs w:val="20"/>
          <w:color w:val="auto"/>
        </w:rPr>
      </w:pPr>
    </w:p>
    <w:p>
      <w:pPr>
        <w:jc w:val="both"/>
        <w:ind w:left="180" w:right="200"/>
        <w:spacing w:after="0" w:line="237" w:lineRule="auto"/>
        <w:rPr>
          <w:sz w:val="20"/>
          <w:szCs w:val="20"/>
          <w:color w:val="auto"/>
        </w:rPr>
      </w:pPr>
      <w:r>
        <w:rPr>
          <w:rFonts w:ascii="Arial" w:cs="Arial" w:eastAsia="Arial" w:hAnsi="Arial"/>
          <w:sz w:val="18"/>
          <w:szCs w:val="18"/>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209" w:lineRule="exact"/>
        <w:rPr>
          <w:sz w:val="20"/>
          <w:szCs w:val="20"/>
          <w:color w:val="auto"/>
        </w:rPr>
      </w:pPr>
    </w:p>
    <w:p>
      <w:pPr>
        <w:ind w:left="180" w:right="200"/>
        <w:spacing w:after="0" w:line="236" w:lineRule="auto"/>
        <w:rPr>
          <w:sz w:val="20"/>
          <w:szCs w:val="20"/>
          <w:color w:val="auto"/>
        </w:rPr>
      </w:pPr>
      <w:r>
        <w:rPr>
          <w:rFonts w:ascii="Arial" w:cs="Arial" w:eastAsia="Arial" w:hAnsi="Arial"/>
          <w:sz w:val="18"/>
          <w:szCs w:val="18"/>
          <w:color w:val="auto"/>
        </w:rPr>
        <w:t>At our 2017 annual stockholder meeting, our stockholders advised on a non-binding basis, by an affirmative vote of a majority of all votes cast, that the Company should hold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2023.</w:t>
      </w:r>
    </w:p>
    <w:p>
      <w:pPr>
        <w:spacing w:after="0" w:line="211" w:lineRule="exact"/>
        <w:rPr>
          <w:sz w:val="20"/>
          <w:szCs w:val="20"/>
          <w:color w:val="auto"/>
        </w:rPr>
      </w:pPr>
    </w:p>
    <w:p>
      <w:pPr>
        <w:ind w:left="180" w:right="460"/>
        <w:spacing w:after="0" w:line="239"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209" w:lineRule="exact"/>
        <w:rPr>
          <w:sz w:val="20"/>
          <w:szCs w:val="20"/>
          <w:color w:val="auto"/>
        </w:rPr>
      </w:pPr>
    </w:p>
    <w:p>
      <w:pPr>
        <w:ind w:left="180" w:right="44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312" w:lineRule="exact"/>
        <w:rPr>
          <w:sz w:val="20"/>
          <w:szCs w:val="20"/>
          <w:color w:val="auto"/>
        </w:rPr>
      </w:pPr>
    </w:p>
    <w:p>
      <w:pPr>
        <w:jc w:val="center"/>
        <w:ind w:left="260" w:right="620"/>
        <w:spacing w:after="0" w:line="241" w:lineRule="auto"/>
        <w:rPr>
          <w:sz w:val="20"/>
          <w:szCs w:val="20"/>
          <w:color w:val="auto"/>
        </w:rPr>
      </w:pPr>
      <w:r>
        <w:rPr>
          <w:rFonts w:ascii="Arial" w:cs="Arial" w:eastAsia="Arial" w:hAnsi="Arial"/>
          <w:sz w:val="20"/>
          <w:szCs w:val="20"/>
          <w:b w:val="1"/>
          <w:bCs w:val="1"/>
          <w:color w:val="345988"/>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45988"/>
        </w:rPr>
        <w:t xml:space="preserve"> the above resolution regarding the compensation of our named executive officers, as disclosed in the Compensation Discussion and Analysis section and the accompanying compensation tables in this Proxy Statement.</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affirmative vote of a majority of all the votes cast with respect to this proposal will be required to approve this proposal.</w:t>
      </w:r>
    </w:p>
    <w:p>
      <w:pPr>
        <w:spacing w:after="0" w:line="212" w:lineRule="exact"/>
        <w:rPr>
          <w:sz w:val="20"/>
          <w:szCs w:val="20"/>
          <w:color w:val="auto"/>
        </w:rPr>
      </w:pPr>
    </w:p>
    <w:p>
      <w:pPr>
        <w:jc w:val="both"/>
        <w:ind w:left="180" w:right="440"/>
        <w:spacing w:after="0" w:line="299"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Compensation Committee</w:t>
      </w:r>
    </w:p>
    <w:p>
      <w:pPr>
        <w:spacing w:after="0" w:line="234" w:lineRule="auto"/>
        <w:rPr>
          <w:sz w:val="20"/>
          <w:szCs w:val="20"/>
          <w:color w:val="auto"/>
        </w:rPr>
      </w:pPr>
      <w:r>
        <w:rPr>
          <w:rFonts w:ascii="Arial" w:cs="Arial" w:eastAsia="Arial" w:hAnsi="Arial"/>
          <w:sz w:val="18"/>
          <w:szCs w:val="18"/>
          <w:color w:val="auto"/>
        </w:rPr>
        <w:t>Lauren B. Dillard (Chair)</w:t>
      </w:r>
    </w:p>
    <w:p>
      <w:pPr>
        <w:spacing w:after="0" w:line="235" w:lineRule="auto"/>
        <w:rPr>
          <w:sz w:val="20"/>
          <w:szCs w:val="20"/>
          <w:color w:val="auto"/>
        </w:rPr>
      </w:pPr>
      <w:r>
        <w:rPr>
          <w:rFonts w:ascii="Arial" w:cs="Arial" w:eastAsia="Arial" w:hAnsi="Arial"/>
          <w:sz w:val="18"/>
          <w:szCs w:val="18"/>
          <w:color w:val="auto"/>
        </w:rPr>
        <w:t>John H. Alschuler</w:t>
      </w:r>
    </w:p>
    <w:p>
      <w:pPr>
        <w:spacing w:after="0" w:line="235" w:lineRule="auto"/>
        <w:rPr>
          <w:sz w:val="20"/>
          <w:szCs w:val="20"/>
          <w:color w:val="auto"/>
        </w:rPr>
      </w:pPr>
      <w:r>
        <w:rPr>
          <w:rFonts w:ascii="Arial" w:cs="Arial" w:eastAsia="Arial" w:hAnsi="Arial"/>
          <w:sz w:val="18"/>
          <w:szCs w:val="18"/>
          <w:color w:val="auto"/>
        </w:rPr>
        <w:t>Edwin T. Burton,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 S. Levy</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20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Throughout this proxy statement, the individuals who served as our Chief Executive Officer and Chief Financial Officer during our 2018 fiscal year, as well as the other individuals included in the “Summary Compensation Table” are referred to as the “named executive officers” or our “executives.”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8525" cy="553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8525" cy="5530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FFFFFF"/>
        </w:rPr>
        <w:t>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1097915" cy="420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979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FFFFFF"/>
        </w:rPr>
        <w:t>Who We Are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right="460"/>
        <w:spacing w:after="0" w:line="238" w:lineRule="auto"/>
        <w:rPr>
          <w:sz w:val="20"/>
          <w:szCs w:val="20"/>
          <w:color w:val="auto"/>
        </w:rPr>
      </w:pPr>
      <w:r>
        <w:rPr>
          <w:rFonts w:ascii="Arial" w:cs="Arial" w:eastAsia="Arial" w:hAnsi="Arial"/>
          <w:sz w:val="18"/>
          <w:szCs w:val="18"/>
          <w:color w:val="auto"/>
        </w:rPr>
        <w:t>We are a fully integrated REIT focused on maximizing total return to stockholders through strategically acquiring, redeveloping, repositioning and managing commercial properties, located primarily in Manhattan, in order to generate cash flow and create value.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264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7"/>
              </w:rPr>
              <w:t>$1.8 Billion in Combined</w:t>
            </w:r>
          </w:p>
        </w:tc>
        <w:tc>
          <w:tcPr>
            <w:tcW w:w="250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8"/>
              </w:rPr>
              <w:t>#1 Owner of Office</w:t>
            </w:r>
          </w:p>
        </w:tc>
        <w:tc>
          <w:tcPr>
            <w:tcW w:w="240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48.3 Million</w:t>
            </w:r>
          </w:p>
        </w:tc>
        <w:tc>
          <w:tcPr>
            <w:tcW w:w="2140" w:type="dxa"/>
            <w:vAlign w:val="bottom"/>
            <w:tcBorders>
              <w:top w:val="single" w:sz="8" w:color="345988"/>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8"/>
              </w:rPr>
              <w:t>$16.9 Billion</w:t>
            </w:r>
          </w:p>
        </w:tc>
      </w:tr>
      <w:tr>
        <w:trPr>
          <w:trHeight w:val="233"/>
        </w:trPr>
        <w:tc>
          <w:tcPr>
            <w:tcW w:w="2640" w:type="dxa"/>
            <w:vAlign w:val="bottom"/>
            <w:tcBorders>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Revenues</w:t>
            </w:r>
          </w:p>
        </w:tc>
        <w:tc>
          <w:tcPr>
            <w:tcW w:w="2500" w:type="dxa"/>
            <w:vAlign w:val="bottom"/>
            <w:tcBorders>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Property in Manhattan</w:t>
            </w:r>
          </w:p>
        </w:tc>
        <w:tc>
          <w:tcPr>
            <w:tcW w:w="2400" w:type="dxa"/>
            <w:vAlign w:val="bottom"/>
            <w:tcBorders>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6"/>
              </w:rPr>
              <w:t>Total Square Feet</w:t>
            </w:r>
          </w:p>
        </w:tc>
        <w:tc>
          <w:tcPr>
            <w:tcW w:w="2140" w:type="dxa"/>
            <w:vAlign w:val="bottom"/>
            <w:tcBorders>
              <w:right w:val="single" w:sz="8" w:color="345988"/>
            </w:tcBorders>
          </w:tcPr>
          <w:p>
            <w:pPr>
              <w:jc w:val="center"/>
              <w:spacing w:after="0"/>
              <w:rPr>
                <w:sz w:val="20"/>
                <w:szCs w:val="20"/>
                <w:color w:val="auto"/>
              </w:rPr>
            </w:pPr>
            <w:r>
              <w:rPr>
                <w:rFonts w:ascii="Arial" w:cs="Arial" w:eastAsia="Arial" w:hAnsi="Arial"/>
                <w:sz w:val="18"/>
                <w:szCs w:val="18"/>
                <w:b w:val="1"/>
                <w:bCs w:val="1"/>
                <w:color w:val="auto"/>
                <w:w w:val="95"/>
              </w:rPr>
              <w:t>Enterprise Value</w:t>
            </w:r>
          </w:p>
        </w:tc>
      </w:tr>
      <w:tr>
        <w:trPr>
          <w:trHeight w:val="107"/>
        </w:trPr>
        <w:tc>
          <w:tcPr>
            <w:tcW w:w="2640" w:type="dxa"/>
            <w:vAlign w:val="bottom"/>
            <w:tcBorders>
              <w:bottom w:val="single" w:sz="8" w:color="345988"/>
              <w:right w:val="single" w:sz="8" w:color="345988"/>
            </w:tcBorders>
          </w:tcPr>
          <w:p>
            <w:pPr>
              <w:spacing w:after="0"/>
              <w:rPr>
                <w:sz w:val="9"/>
                <w:szCs w:val="9"/>
                <w:color w:val="auto"/>
              </w:rPr>
            </w:pPr>
          </w:p>
        </w:tc>
        <w:tc>
          <w:tcPr>
            <w:tcW w:w="2500" w:type="dxa"/>
            <w:vAlign w:val="bottom"/>
            <w:tcBorders>
              <w:bottom w:val="single" w:sz="8" w:color="345988"/>
              <w:right w:val="single" w:sz="8" w:color="345988"/>
            </w:tcBorders>
          </w:tcPr>
          <w:p>
            <w:pPr>
              <w:spacing w:after="0"/>
              <w:rPr>
                <w:sz w:val="9"/>
                <w:szCs w:val="9"/>
                <w:color w:val="auto"/>
              </w:rPr>
            </w:pPr>
          </w:p>
        </w:tc>
        <w:tc>
          <w:tcPr>
            <w:tcW w:w="2400" w:type="dxa"/>
            <w:vAlign w:val="bottom"/>
            <w:tcBorders>
              <w:bottom w:val="single" w:sz="8" w:color="345988"/>
              <w:right w:val="single" w:sz="8" w:color="345988"/>
            </w:tcBorders>
          </w:tcPr>
          <w:p>
            <w:pPr>
              <w:spacing w:after="0"/>
              <w:rPr>
                <w:sz w:val="9"/>
                <w:szCs w:val="9"/>
                <w:color w:val="auto"/>
              </w:rPr>
            </w:pPr>
          </w:p>
        </w:tc>
        <w:tc>
          <w:tcPr>
            <w:tcW w:w="2140" w:type="dxa"/>
            <w:vAlign w:val="bottom"/>
            <w:tcBorders>
              <w:bottom w:val="single" w:sz="8" w:color="345988"/>
              <w:right w:val="single" w:sz="8" w:color="345988"/>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2">
            <w:col w:w="1380" w:space="360"/>
            <w:col w:w="9680"/>
          </w:cols>
          <w:pgMar w:left="240" w:top="12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are differentiated from our peers and competitors in three key ways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Active and Engaged Business Strategy</w:t>
      </w:r>
    </w:p>
    <w:p>
      <w:pPr>
        <w:spacing w:after="0" w:line="153" w:lineRule="exact"/>
        <w:rPr>
          <w:sz w:val="20"/>
          <w:szCs w:val="20"/>
          <w:color w:val="auto"/>
        </w:rPr>
      </w:pPr>
    </w:p>
    <w:p>
      <w:pPr>
        <w:ind w:left="420" w:hanging="268"/>
        <w:spacing w:after="0"/>
        <w:tabs>
          <w:tab w:leader="none" w:pos="420" w:val="left"/>
        </w:tabs>
        <w:numPr>
          <w:ilvl w:val="0"/>
          <w:numId w:val="57"/>
        </w:numPr>
        <w:rPr>
          <w:rFonts w:ascii="Arial" w:cs="Arial" w:eastAsia="Arial" w:hAnsi="Arial"/>
          <w:sz w:val="18"/>
          <w:szCs w:val="18"/>
          <w:color w:val="345988"/>
        </w:rPr>
      </w:pPr>
      <w:r>
        <w:rPr>
          <w:rFonts w:ascii="Arial" w:cs="Arial" w:eastAsia="Arial" w:hAnsi="Arial"/>
          <w:sz w:val="18"/>
          <w:szCs w:val="18"/>
          <w:color w:val="auto"/>
        </w:rPr>
        <w:t>SLG does not subscribe to a traditional “buy and hold” strategy and is a very active transaction-oriented company</w:t>
      </w:r>
    </w:p>
    <w:p>
      <w:pPr>
        <w:spacing w:after="0" w:line="144" w:lineRule="exact"/>
        <w:rPr>
          <w:rFonts w:ascii="Arial" w:cs="Arial" w:eastAsia="Arial" w:hAnsi="Arial"/>
          <w:sz w:val="18"/>
          <w:szCs w:val="18"/>
          <w:color w:val="345988"/>
        </w:rPr>
      </w:pPr>
    </w:p>
    <w:p>
      <w:pPr>
        <w:ind w:left="420" w:hanging="268"/>
        <w:spacing w:after="0"/>
        <w:tabs>
          <w:tab w:leader="none" w:pos="420" w:val="left"/>
        </w:tabs>
        <w:numPr>
          <w:ilvl w:val="0"/>
          <w:numId w:val="57"/>
        </w:numPr>
        <w:rPr>
          <w:rFonts w:ascii="Arial" w:cs="Arial" w:eastAsia="Arial" w:hAnsi="Arial"/>
          <w:sz w:val="18"/>
          <w:szCs w:val="18"/>
          <w:color w:val="345988"/>
        </w:rPr>
      </w:pPr>
      <w:r>
        <w:rPr>
          <w:rFonts w:ascii="Arial" w:cs="Arial" w:eastAsia="Arial" w:hAnsi="Arial"/>
          <w:sz w:val="18"/>
          <w:szCs w:val="18"/>
          <w:color w:val="auto"/>
        </w:rPr>
        <w:t>In any given year, we execute more transactions than many of our competitors do over a much longer, multi-year period</w:t>
      </w:r>
    </w:p>
    <w:p>
      <w:pPr>
        <w:spacing w:after="0" w:line="144" w:lineRule="exact"/>
        <w:rPr>
          <w:rFonts w:ascii="Arial" w:cs="Arial" w:eastAsia="Arial" w:hAnsi="Arial"/>
          <w:sz w:val="18"/>
          <w:szCs w:val="18"/>
          <w:color w:val="345988"/>
        </w:rPr>
      </w:pPr>
    </w:p>
    <w:p>
      <w:pPr>
        <w:ind w:left="420" w:hanging="268"/>
        <w:spacing w:after="0"/>
        <w:tabs>
          <w:tab w:leader="none" w:pos="420" w:val="left"/>
        </w:tabs>
        <w:numPr>
          <w:ilvl w:val="0"/>
          <w:numId w:val="57"/>
        </w:numPr>
        <w:rPr>
          <w:rFonts w:ascii="Arial" w:cs="Arial" w:eastAsia="Arial" w:hAnsi="Arial"/>
          <w:sz w:val="18"/>
          <w:szCs w:val="18"/>
          <w:color w:val="345988"/>
        </w:rPr>
      </w:pPr>
      <w:r>
        <w:rPr>
          <w:rFonts w:ascii="Arial" w:cs="Arial" w:eastAsia="Arial" w:hAnsi="Arial"/>
          <w:sz w:val="18"/>
          <w:szCs w:val="18"/>
          <w:color w:val="auto"/>
        </w:rPr>
        <w:t>Accordingly, we frequently capitalize on opportunities in the market, maximizing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Operations on Multiple Platforms</w:t>
      </w:r>
    </w:p>
    <w:p>
      <w:pPr>
        <w:spacing w:after="0" w:line="153" w:lineRule="exact"/>
        <w:rPr>
          <w:sz w:val="20"/>
          <w:szCs w:val="20"/>
          <w:color w:val="auto"/>
        </w:rPr>
      </w:pPr>
    </w:p>
    <w:p>
      <w:pPr>
        <w:ind w:left="420" w:hanging="268"/>
        <w:spacing w:after="0"/>
        <w:tabs>
          <w:tab w:leader="none" w:pos="420" w:val="left"/>
        </w:tabs>
        <w:numPr>
          <w:ilvl w:val="0"/>
          <w:numId w:val="58"/>
        </w:numPr>
        <w:rPr>
          <w:rFonts w:ascii="Arial" w:cs="Arial" w:eastAsia="Arial" w:hAnsi="Arial"/>
          <w:sz w:val="18"/>
          <w:szCs w:val="18"/>
          <w:color w:val="345988"/>
        </w:rPr>
      </w:pPr>
      <w:r>
        <w:rPr>
          <w:rFonts w:ascii="Arial" w:cs="Arial" w:eastAsia="Arial" w:hAnsi="Arial"/>
          <w:sz w:val="18"/>
          <w:szCs w:val="18"/>
          <w:color w:val="auto"/>
        </w:rPr>
        <w:t>Buy and sell properties independently and collaborate with other organizations through joint ventures when advantageous</w:t>
      </w:r>
    </w:p>
    <w:p>
      <w:pPr>
        <w:spacing w:after="0" w:line="144" w:lineRule="exact"/>
        <w:rPr>
          <w:rFonts w:ascii="Arial" w:cs="Arial" w:eastAsia="Arial" w:hAnsi="Arial"/>
          <w:sz w:val="18"/>
          <w:szCs w:val="18"/>
          <w:color w:val="345988"/>
        </w:rPr>
      </w:pPr>
    </w:p>
    <w:p>
      <w:pPr>
        <w:ind w:left="420" w:hanging="268"/>
        <w:spacing w:after="0"/>
        <w:tabs>
          <w:tab w:leader="none" w:pos="420" w:val="left"/>
        </w:tabs>
        <w:numPr>
          <w:ilvl w:val="0"/>
          <w:numId w:val="58"/>
        </w:numPr>
        <w:rPr>
          <w:rFonts w:ascii="Arial" w:cs="Arial" w:eastAsia="Arial" w:hAnsi="Arial"/>
          <w:sz w:val="18"/>
          <w:szCs w:val="18"/>
          <w:color w:val="345988"/>
        </w:rPr>
      </w:pPr>
      <w:r>
        <w:rPr>
          <w:rFonts w:ascii="Arial" w:cs="Arial" w:eastAsia="Arial" w:hAnsi="Arial"/>
          <w:sz w:val="18"/>
          <w:szCs w:val="18"/>
          <w:color w:val="auto"/>
        </w:rPr>
        <w:t>Invest in redeveloping existing assets (e.g. 609 Fifth Avenue) and developing projects from the ground up (e.g. One Vanderbilt)</w:t>
      </w:r>
    </w:p>
    <w:p>
      <w:pPr>
        <w:spacing w:after="0" w:line="144" w:lineRule="exact"/>
        <w:rPr>
          <w:rFonts w:ascii="Arial" w:cs="Arial" w:eastAsia="Arial" w:hAnsi="Arial"/>
          <w:sz w:val="18"/>
          <w:szCs w:val="18"/>
          <w:color w:val="345988"/>
        </w:rPr>
      </w:pPr>
    </w:p>
    <w:p>
      <w:pPr>
        <w:ind w:left="420" w:right="40" w:hanging="268"/>
        <w:spacing w:after="0" w:line="239" w:lineRule="auto"/>
        <w:tabs>
          <w:tab w:leader="none" w:pos="420" w:val="left"/>
        </w:tabs>
        <w:numPr>
          <w:ilvl w:val="0"/>
          <w:numId w:val="58"/>
        </w:numPr>
        <w:rPr>
          <w:rFonts w:ascii="Arial" w:cs="Arial" w:eastAsia="Arial" w:hAnsi="Arial"/>
          <w:sz w:val="18"/>
          <w:szCs w:val="18"/>
          <w:color w:val="345988"/>
        </w:rPr>
      </w:pPr>
      <w:r>
        <w:rPr>
          <w:rFonts w:ascii="Arial" w:cs="Arial" w:eastAsia="Arial" w:hAnsi="Arial"/>
          <w:sz w:val="18"/>
          <w:szCs w:val="18"/>
          <w:color w:val="auto"/>
        </w:rPr>
        <w:t>Provide financing for other real estate related entities through our debt and preferred equity platform – a unique business that we operate at a scale unmatched by our peers and that provides us a diversified source of revenue and market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5988"/>
        </w:rPr>
        <w:t>NYC-Focused Business Model</w:t>
      </w:r>
    </w:p>
    <w:p>
      <w:pPr>
        <w:spacing w:after="0" w:line="153" w:lineRule="exact"/>
        <w:rPr>
          <w:sz w:val="20"/>
          <w:szCs w:val="20"/>
          <w:color w:val="auto"/>
        </w:rPr>
      </w:pPr>
    </w:p>
    <w:p>
      <w:pPr>
        <w:ind w:left="420" w:right="260" w:hanging="268"/>
        <w:spacing w:after="0" w:line="239" w:lineRule="auto"/>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Singularly focused on New York City real estate – one of the most liquid and resilient markets through business cycles, and also one of the most complex and competitive</w:t>
      </w:r>
    </w:p>
    <w:p>
      <w:pPr>
        <w:spacing w:after="0" w:line="141" w:lineRule="exact"/>
        <w:rPr>
          <w:rFonts w:ascii="Arial" w:cs="Arial" w:eastAsia="Arial" w:hAnsi="Arial"/>
          <w:sz w:val="18"/>
          <w:szCs w:val="18"/>
          <w:color w:val="345988"/>
        </w:rPr>
      </w:pPr>
    </w:p>
    <w:p>
      <w:pPr>
        <w:ind w:left="420" w:hanging="268"/>
        <w:spacing w:after="0"/>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Presence and operations in this complex and highly competitive market necessitate a top level of talent in our executive ranks</w:t>
      </w:r>
    </w:p>
    <w:p>
      <w:pPr>
        <w:spacing w:after="0" w:line="144" w:lineRule="exact"/>
        <w:rPr>
          <w:rFonts w:ascii="Arial" w:cs="Arial" w:eastAsia="Arial" w:hAnsi="Arial"/>
          <w:sz w:val="18"/>
          <w:szCs w:val="18"/>
          <w:color w:val="345988"/>
        </w:rPr>
      </w:pPr>
    </w:p>
    <w:p>
      <w:pPr>
        <w:ind w:left="420" w:right="140" w:hanging="268"/>
        <w:spacing w:after="0" w:line="239" w:lineRule="auto"/>
        <w:tabs>
          <w:tab w:leader="none" w:pos="420" w:val="left"/>
        </w:tabs>
        <w:numPr>
          <w:ilvl w:val="0"/>
          <w:numId w:val="59"/>
        </w:numPr>
        <w:rPr>
          <w:rFonts w:ascii="Arial" w:cs="Arial" w:eastAsia="Arial" w:hAnsi="Arial"/>
          <w:sz w:val="18"/>
          <w:szCs w:val="18"/>
          <w:color w:val="345988"/>
        </w:rPr>
      </w:pPr>
      <w:r>
        <w:rPr>
          <w:rFonts w:ascii="Arial" w:cs="Arial" w:eastAsia="Arial" w:hAnsi="Arial"/>
          <w:sz w:val="18"/>
          <w:szCs w:val="18"/>
          <w:color w:val="auto"/>
        </w:rPr>
        <w:t>Our leadership team allows us to be very efficient, with an employee base much smaller than other fully-integrated “gateway city” real estate companies that transact far less business than SLG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45988"/>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ESG Excellence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corporate social responsibility initiatives that deliver efficiency, value and health for our business, tenants and community.</w:t>
      </w:r>
    </w:p>
    <w:p>
      <w:pPr>
        <w:spacing w:after="0"/>
        <w:rPr>
          <w:sz w:val="20"/>
          <w:szCs w:val="20"/>
          <w:color w:val="auto"/>
        </w:rPr>
      </w:pPr>
      <w:r>
        <w:rPr>
          <w:rFonts w:ascii="Arial" w:cs="Arial" w:eastAsia="Arial" w:hAnsi="Arial"/>
          <w:sz w:val="18"/>
          <w:szCs w:val="18"/>
          <w:color w:val="auto"/>
        </w:rPr>
        <w:t>Evidence of our commitment to these initiatives includes the following:</w:t>
      </w:r>
    </w:p>
    <w:p>
      <w:pPr>
        <w:spacing w:after="0" w:line="208" w:lineRule="exact"/>
        <w:rPr>
          <w:sz w:val="20"/>
          <w:szCs w:val="20"/>
          <w:color w:val="auto"/>
        </w:rPr>
      </w:pPr>
    </w:p>
    <w:p>
      <w:pPr>
        <w:ind w:left="540" w:hanging="262"/>
        <w:spacing w:after="0"/>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Bloomberg ESG Disclosure score is the highest score for all companies in the REITs-Office Property sector</w:t>
      </w:r>
    </w:p>
    <w:p>
      <w:pPr>
        <w:spacing w:after="0" w:line="90" w:lineRule="exact"/>
        <w:rPr>
          <w:rFonts w:ascii="Arial" w:cs="Arial" w:eastAsia="Arial" w:hAnsi="Arial"/>
          <w:sz w:val="17"/>
          <w:szCs w:val="17"/>
          <w:color w:val="345988"/>
        </w:rPr>
      </w:pPr>
    </w:p>
    <w:p>
      <w:pPr>
        <w:ind w:left="540" w:hanging="262"/>
        <w:spacing w:after="0"/>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Thomson Reuters ESG score of “A-”</w:t>
      </w:r>
    </w:p>
    <w:p>
      <w:pPr>
        <w:spacing w:after="0" w:line="90" w:lineRule="exact"/>
        <w:rPr>
          <w:rFonts w:ascii="Arial" w:cs="Arial" w:eastAsia="Arial" w:hAnsi="Arial"/>
          <w:sz w:val="17"/>
          <w:szCs w:val="17"/>
          <w:color w:val="345988"/>
        </w:rPr>
      </w:pPr>
    </w:p>
    <w:p>
      <w:pPr>
        <w:ind w:left="540" w:hanging="262"/>
        <w:spacing w:after="0"/>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ENERGY STAR Partner of the Year – Sustained Excellence (2018, 2019)</w:t>
      </w:r>
    </w:p>
    <w:p>
      <w:pPr>
        <w:spacing w:after="0" w:line="90" w:lineRule="exact"/>
        <w:rPr>
          <w:rFonts w:ascii="Arial" w:cs="Arial" w:eastAsia="Arial" w:hAnsi="Arial"/>
          <w:sz w:val="17"/>
          <w:szCs w:val="17"/>
          <w:color w:val="345988"/>
        </w:rPr>
      </w:pPr>
    </w:p>
    <w:p>
      <w:pPr>
        <w:ind w:left="540" w:hanging="262"/>
        <w:spacing w:after="0"/>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Achieved a “B” Carbon Disclosure Project score as a first-time reporter (2018)</w:t>
      </w:r>
    </w:p>
    <w:p>
      <w:pPr>
        <w:spacing w:after="0" w:line="90" w:lineRule="exact"/>
        <w:rPr>
          <w:rFonts w:ascii="Arial" w:cs="Arial" w:eastAsia="Arial" w:hAnsi="Arial"/>
          <w:sz w:val="17"/>
          <w:szCs w:val="17"/>
          <w:color w:val="345988"/>
        </w:rPr>
      </w:pPr>
    </w:p>
    <w:p>
      <w:pPr>
        <w:ind w:left="540" w:right="240" w:hanging="262"/>
        <w:spacing w:after="0" w:line="246" w:lineRule="auto"/>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Awarded the “Changemaker Award” by the NYC Mayor’s Office of Service in recognition of SL Green’s volunteerism and philanthropic efforts (2018)</w:t>
      </w:r>
    </w:p>
    <w:p>
      <w:pPr>
        <w:spacing w:after="0" w:line="88" w:lineRule="exact"/>
        <w:rPr>
          <w:rFonts w:ascii="Arial" w:cs="Arial" w:eastAsia="Arial" w:hAnsi="Arial"/>
          <w:sz w:val="17"/>
          <w:szCs w:val="17"/>
          <w:color w:val="345988"/>
        </w:rPr>
      </w:pPr>
    </w:p>
    <w:p>
      <w:pPr>
        <w:ind w:left="540" w:hanging="262"/>
        <w:spacing w:after="0"/>
        <w:tabs>
          <w:tab w:leader="none" w:pos="540" w:val="left"/>
        </w:tabs>
        <w:numPr>
          <w:ilvl w:val="0"/>
          <w:numId w:val="61"/>
        </w:numPr>
        <w:rPr>
          <w:rFonts w:ascii="Arial" w:cs="Arial" w:eastAsia="Arial" w:hAnsi="Arial"/>
          <w:sz w:val="17"/>
          <w:szCs w:val="17"/>
          <w:color w:val="345988"/>
        </w:rPr>
      </w:pPr>
      <w:r>
        <w:rPr>
          <w:rFonts w:ascii="Arial" w:cs="Arial" w:eastAsia="Arial" w:hAnsi="Arial"/>
          <w:sz w:val="18"/>
          <w:szCs w:val="18"/>
          <w:color w:val="auto"/>
        </w:rPr>
        <w:t>Real Estate Finance &amp; Investment’s “Most Sustainable REIT” (2017, 2018)</w:t>
      </w:r>
    </w:p>
    <w:p>
      <w:pPr>
        <w:spacing w:after="0" w:line="216" w:lineRule="exact"/>
        <w:rPr>
          <w:sz w:val="20"/>
          <w:szCs w:val="20"/>
          <w:color w:val="auto"/>
        </w:rPr>
      </w:pPr>
    </w:p>
    <w:p>
      <w:pPr>
        <w:ind w:right="1860"/>
        <w:spacing w:after="0" w:line="239" w:lineRule="auto"/>
        <w:rPr>
          <w:sz w:val="20"/>
          <w:szCs w:val="20"/>
          <w:color w:val="auto"/>
        </w:rPr>
      </w:pPr>
      <w:r>
        <w:rPr>
          <w:rFonts w:ascii="Arial" w:cs="Arial" w:eastAsia="Arial" w:hAnsi="Arial"/>
          <w:sz w:val="18"/>
          <w:szCs w:val="18"/>
          <w:color w:val="auto"/>
        </w:rPr>
        <w:t>Our GRI compliant sustainability reports and other information relating to our ESG initiatives are available on our website at http://www.slgreen.com/sustainability.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Long-Term Stockholder Value Creation</w:t>
      </w:r>
    </w:p>
    <w:p>
      <w:pPr>
        <w:spacing w:after="0" w:line="2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have demonstrated strong operational and financial performance since our IPO and have created tremendous value for our stockholders over the long-term as we’ve positioned the Company for sustainable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922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92250"/>
                    </a:xfrm>
                    <a:prstGeom prst="rect">
                      <a:avLst/>
                    </a:prstGeom>
                    <a:noFill/>
                  </pic:spPr>
                </pic:pic>
              </a:graphicData>
            </a:graphic>
          </wp:anchor>
        </w:drawing>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325"/>
        </w:trPr>
        <w:tc>
          <w:tcPr>
            <w:tcW w:w="2680" w:type="dxa"/>
            <w:vAlign w:val="bottom"/>
          </w:tcPr>
          <w:p>
            <w:pPr>
              <w:spacing w:after="0"/>
              <w:rPr>
                <w:sz w:val="20"/>
                <w:szCs w:val="20"/>
                <w:color w:val="auto"/>
              </w:rPr>
            </w:pPr>
            <w:r>
              <w:rPr>
                <w:rFonts w:ascii="Arial" w:cs="Arial" w:eastAsia="Arial" w:hAnsi="Arial"/>
                <w:sz w:val="14"/>
                <w:szCs w:val="14"/>
                <w:b w:val="1"/>
                <w:bCs w:val="1"/>
                <w:color w:val="345988"/>
              </w:rPr>
              <w:t>Normalized FFO Per Share</w:t>
            </w:r>
            <w:r>
              <w:rPr>
                <w:rFonts w:ascii="Arial" w:cs="Arial" w:eastAsia="Arial" w:hAnsi="Arial"/>
                <w:sz w:val="22"/>
                <w:szCs w:val="22"/>
                <w:b w:val="1"/>
                <w:bCs w:val="1"/>
                <w:color w:val="345988"/>
                <w:vertAlign w:val="superscript"/>
              </w:rPr>
              <w:t>(1)</w:t>
            </w:r>
          </w:p>
        </w:tc>
        <w:tc>
          <w:tcPr>
            <w:tcW w:w="5520" w:type="dxa"/>
            <w:vAlign w:val="bottom"/>
          </w:tcPr>
          <w:p>
            <w:pPr>
              <w:ind w:left="860"/>
              <w:spacing w:after="0"/>
              <w:rPr>
                <w:sz w:val="20"/>
                <w:szCs w:val="20"/>
                <w:color w:val="auto"/>
              </w:rPr>
            </w:pPr>
            <w:r>
              <w:rPr>
                <w:rFonts w:ascii="Arial" w:cs="Arial" w:eastAsia="Arial" w:hAnsi="Arial"/>
                <w:sz w:val="18"/>
                <w:szCs w:val="18"/>
                <w:b w:val="1"/>
                <w:bCs w:val="1"/>
                <w:color w:val="auto"/>
                <w:w w:val="96"/>
              </w:rPr>
              <w:t>2018 Strategic, Financial and Operational Achievements</w:t>
            </w:r>
          </w:p>
        </w:tc>
      </w:tr>
    </w:tbl>
    <w:p>
      <w:pPr>
        <w:spacing w:after="0" w:line="8" w:lineRule="exact"/>
        <w:rPr>
          <w:sz w:val="20"/>
          <w:szCs w:val="20"/>
          <w:color w:val="auto"/>
        </w:rPr>
      </w:pPr>
    </w:p>
    <w:p>
      <w:pPr>
        <w:ind w:left="5140" w:right="820" w:hanging="234"/>
        <w:spacing w:after="0" w:line="255" w:lineRule="auto"/>
        <w:tabs>
          <w:tab w:leader="none" w:pos="5131" w:val="left"/>
        </w:tabs>
        <w:numPr>
          <w:ilvl w:val="1"/>
          <w:numId w:val="62"/>
        </w:numPr>
        <w:rPr>
          <w:rFonts w:ascii="Arial" w:cs="Arial" w:eastAsia="Arial" w:hAnsi="Arial"/>
          <w:sz w:val="17"/>
          <w:szCs w:val="17"/>
          <w:color w:val="345988"/>
        </w:rPr>
      </w:pPr>
      <w:r>
        <w:rPr>
          <w:rFonts w:ascii="Arial" w:cs="Arial" w:eastAsia="Arial" w:hAnsi="Arial"/>
          <w:sz w:val="18"/>
          <w:szCs w:val="18"/>
          <w:color w:val="auto"/>
        </w:rPr>
        <w:t>$3.3B of Strategic Asset Sales Generated $1.5B of Net Proceeds That Funded Opportunistic Stock Repurchases</w:t>
      </w:r>
    </w:p>
    <w:p>
      <w:pPr>
        <w:spacing w:after="0" w:line="86" w:lineRule="exact"/>
        <w:rPr>
          <w:rFonts w:ascii="Arial" w:cs="Arial" w:eastAsia="Arial" w:hAnsi="Arial"/>
          <w:sz w:val="17"/>
          <w:szCs w:val="17"/>
          <w:color w:val="345988"/>
        </w:rPr>
      </w:pPr>
    </w:p>
    <w:p>
      <w:pPr>
        <w:ind w:left="5140" w:right="380" w:hanging="234"/>
        <w:spacing w:after="0" w:line="255" w:lineRule="auto"/>
        <w:tabs>
          <w:tab w:leader="none" w:pos="5131" w:val="left"/>
        </w:tabs>
        <w:numPr>
          <w:ilvl w:val="1"/>
          <w:numId w:val="62"/>
        </w:numPr>
        <w:rPr>
          <w:rFonts w:ascii="Arial" w:cs="Arial" w:eastAsia="Arial" w:hAnsi="Arial"/>
          <w:sz w:val="17"/>
          <w:szCs w:val="17"/>
          <w:color w:val="345988"/>
        </w:rPr>
      </w:pPr>
      <w:r>
        <w:rPr>
          <w:rFonts w:ascii="Arial" w:cs="Arial" w:eastAsia="Arial" w:hAnsi="Arial"/>
          <w:sz w:val="18"/>
          <w:szCs w:val="18"/>
          <w:color w:val="auto"/>
        </w:rPr>
        <w:t>Leased Approximately 2.3 Million Square Feet of Office Space in Manhattan at an 6.5% Mark-to-Market</w:t>
      </w:r>
    </w:p>
    <w:p>
      <w:pPr>
        <w:spacing w:after="0" w:line="86" w:lineRule="exact"/>
        <w:rPr>
          <w:rFonts w:ascii="Arial" w:cs="Arial" w:eastAsia="Arial" w:hAnsi="Arial"/>
          <w:sz w:val="17"/>
          <w:szCs w:val="17"/>
          <w:color w:val="345988"/>
        </w:rPr>
      </w:pPr>
    </w:p>
    <w:p>
      <w:pPr>
        <w:ind w:left="5140" w:hanging="234"/>
        <w:spacing w:after="0"/>
        <w:tabs>
          <w:tab w:leader="none" w:pos="5140" w:val="left"/>
        </w:tabs>
        <w:numPr>
          <w:ilvl w:val="1"/>
          <w:numId w:val="62"/>
        </w:numPr>
        <w:rPr>
          <w:rFonts w:ascii="Arial" w:cs="Arial" w:eastAsia="Arial" w:hAnsi="Arial"/>
          <w:sz w:val="17"/>
          <w:szCs w:val="17"/>
          <w:color w:val="345988"/>
        </w:rPr>
      </w:pPr>
      <w:r>
        <w:rPr>
          <w:rFonts w:ascii="Arial" w:cs="Arial" w:eastAsia="Arial" w:hAnsi="Arial"/>
          <w:sz w:val="18"/>
          <w:szCs w:val="18"/>
          <w:color w:val="auto"/>
        </w:rPr>
        <w:t>Achieved 52% Pre-Leasing at One Vanderbilt</w:t>
      </w:r>
    </w:p>
    <w:p>
      <w:pPr>
        <w:spacing w:after="0" w:line="117" w:lineRule="exact"/>
        <w:rPr>
          <w:rFonts w:ascii="Arial" w:cs="Arial" w:eastAsia="Arial" w:hAnsi="Arial"/>
          <w:sz w:val="17"/>
          <w:szCs w:val="17"/>
          <w:color w:val="345988"/>
        </w:rPr>
      </w:pPr>
    </w:p>
    <w:p>
      <w:pPr>
        <w:ind w:left="5140" w:hanging="234"/>
        <w:spacing w:after="0"/>
        <w:tabs>
          <w:tab w:leader="none" w:pos="5140" w:val="left"/>
        </w:tabs>
        <w:numPr>
          <w:ilvl w:val="1"/>
          <w:numId w:val="62"/>
        </w:numPr>
        <w:rPr>
          <w:rFonts w:ascii="Arial" w:cs="Arial" w:eastAsia="Arial" w:hAnsi="Arial"/>
          <w:sz w:val="17"/>
          <w:szCs w:val="17"/>
          <w:color w:val="345988"/>
        </w:rPr>
      </w:pPr>
      <w:r>
        <w:rPr>
          <w:rFonts w:ascii="Arial" w:cs="Arial" w:eastAsia="Arial" w:hAnsi="Arial"/>
          <w:sz w:val="18"/>
          <w:szCs w:val="18"/>
          <w:color w:val="auto"/>
        </w:rPr>
        <w:t>Unencumbered $1.25B of Assets and Issued $350M of Unsecured Bonds</w:t>
      </w:r>
    </w:p>
    <w:p>
      <w:pPr>
        <w:spacing w:after="0" w:line="200" w:lineRule="exact"/>
        <w:rPr>
          <w:rFonts w:ascii="Arial" w:cs="Arial" w:eastAsia="Arial" w:hAnsi="Arial"/>
          <w:sz w:val="17"/>
          <w:szCs w:val="17"/>
          <w:color w:val="345988"/>
        </w:rPr>
      </w:pPr>
    </w:p>
    <w:p>
      <w:pPr>
        <w:spacing w:after="0" w:line="264" w:lineRule="exact"/>
        <w:rPr>
          <w:rFonts w:ascii="Arial" w:cs="Arial" w:eastAsia="Arial" w:hAnsi="Arial"/>
          <w:sz w:val="17"/>
          <w:szCs w:val="17"/>
          <w:color w:val="345988"/>
        </w:rPr>
      </w:pPr>
    </w:p>
    <w:p>
      <w:pPr>
        <w:ind w:left="380" w:hanging="372"/>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Refer to Appendix A to this proxy statement for a reconciliation of Normalized FFO.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superior long-term total return to stockholders demonstrates the enduring strength of our company and the talent of our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612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612265"/>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45988"/>
        </w:rPr>
        <w:t>10-Year Indexed Returns: SLG TSR % vs. MSCI U.S. REIT Index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Source: Bloomberg (data as of 12/31/2008 – 12/31/2018)</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2018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Majority of Pay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66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251" w:lineRule="exact"/>
        <w:rPr>
          <w:sz w:val="20"/>
          <w:szCs w:val="20"/>
          <w:color w:val="auto"/>
        </w:rPr>
      </w:pPr>
    </w:p>
    <w:p>
      <w:pPr>
        <w:ind w:left="180"/>
        <w:spacing w:after="0"/>
        <w:tabs>
          <w:tab w:leader="none" w:pos="5700" w:val="left"/>
        </w:tabs>
        <w:rPr>
          <w:sz w:val="20"/>
          <w:szCs w:val="20"/>
          <w:color w:val="auto"/>
        </w:rPr>
      </w:pPr>
      <w:r>
        <w:rPr>
          <w:rFonts w:ascii="Arial" w:cs="Arial" w:eastAsia="Arial" w:hAnsi="Arial"/>
          <w:sz w:val="14"/>
          <w:szCs w:val="14"/>
          <w:b w:val="1"/>
          <w:bCs w:val="1"/>
          <w:color w:val="345988"/>
        </w:rPr>
        <w:t>CEO Pay Mix</w:t>
      </w:r>
      <w:r>
        <w:rPr>
          <w:sz w:val="20"/>
          <w:szCs w:val="20"/>
          <w:color w:val="auto"/>
        </w:rPr>
        <w:tab/>
      </w:r>
      <w:r>
        <w:rPr>
          <w:rFonts w:ascii="Arial" w:cs="Arial" w:eastAsia="Arial" w:hAnsi="Arial"/>
          <w:sz w:val="12"/>
          <w:szCs w:val="12"/>
          <w:b w:val="1"/>
          <w:bCs w:val="1"/>
          <w:color w:val="345988"/>
        </w:rPr>
        <w:t>Other NEO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2018 Pay Outcome for CEO</w:t>
      </w:r>
    </w:p>
    <w:p>
      <w:pPr>
        <w:spacing w:after="0" w:line="22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following table reflects total annual direct compensation, and differs slightly from Summary Compensation Table figures because of timing differences, mainly related to the annual equity bonus.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Element of Compensation</w:t>
            </w:r>
          </w:p>
        </w:tc>
        <w:tc>
          <w:tcPr>
            <w:tcW w:w="24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2017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2018</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45988"/>
                <w:w w:val="94"/>
              </w:rPr>
              <w:t>% Change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76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45988"/>
            </w:tcBorders>
          </w:tcPr>
          <w:p>
            <w:pPr>
              <w:spacing w:after="0"/>
              <w:rPr>
                <w:sz w:val="4"/>
                <w:szCs w:val="4"/>
                <w:color w:val="auto"/>
              </w:rPr>
            </w:pPr>
          </w:p>
        </w:tc>
        <w:tc>
          <w:tcPr>
            <w:tcW w:w="1020" w:type="dxa"/>
            <w:vAlign w:val="bottom"/>
            <w:tcBorders>
              <w:bottom w:val="single" w:sz="8" w:color="345988"/>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345988"/>
            </w:tcBorders>
          </w:tcPr>
          <w:p>
            <w:pPr>
              <w:spacing w:after="0"/>
              <w:rPr>
                <w:sz w:val="4"/>
                <w:szCs w:val="4"/>
                <w:color w:val="auto"/>
              </w:rPr>
            </w:pPr>
          </w:p>
        </w:tc>
        <w:tc>
          <w:tcPr>
            <w:tcW w:w="102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45988"/>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794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40" w:type="dxa"/>
            <w:vAlign w:val="bottom"/>
            <w:gridSpan w:val="3"/>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40" w:type="dxa"/>
            <w:vAlign w:val="bottom"/>
            <w:gridSpan w:val="3"/>
          </w:tcPr>
          <w:p>
            <w:pPr>
              <w:spacing w:after="0"/>
              <w:rPr>
                <w:sz w:val="20"/>
                <w:szCs w:val="20"/>
                <w:color w:val="auto"/>
              </w:rPr>
            </w:pPr>
            <w:r>
              <w:rPr>
                <w:rFonts w:ascii="Arial" w:cs="Arial" w:eastAsia="Arial" w:hAnsi="Arial"/>
                <w:sz w:val="18"/>
                <w:szCs w:val="18"/>
                <w:color w:val="auto"/>
              </w:rPr>
              <w:t>Formulaic Annual Cash Bonus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1,937,250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2,746,491</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940" w:type="dxa"/>
            <w:vAlign w:val="bottom"/>
            <w:gridSpan w:val="3"/>
          </w:tcPr>
          <w:p>
            <w:pPr>
              <w:spacing w:after="0" w:line="310" w:lineRule="exact"/>
              <w:rPr>
                <w:sz w:val="20"/>
                <w:szCs w:val="20"/>
                <w:color w:val="auto"/>
              </w:rPr>
            </w:pPr>
            <w:r>
              <w:rPr>
                <w:rFonts w:ascii="Arial" w:cs="Arial" w:eastAsia="Arial" w:hAnsi="Arial"/>
                <w:sz w:val="18"/>
                <w:szCs w:val="18"/>
                <w:color w:val="auto"/>
              </w:rPr>
              <w:t>Annual Equity Bonus</w:t>
            </w:r>
            <w:r>
              <w:rPr>
                <w:rFonts w:ascii="Arial" w:cs="Arial" w:eastAsia="Arial" w:hAnsi="Arial"/>
                <w:sz w:val="29"/>
                <w:szCs w:val="29"/>
                <w:color w:val="auto"/>
                <w:vertAlign w:val="superscript"/>
              </w:rPr>
              <w:t>(1)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4,512,750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4,003,509</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40" w:type="dxa"/>
            <w:vAlign w:val="bottom"/>
            <w:gridSpan w:val="3"/>
          </w:tcPr>
          <w:p>
            <w:pPr>
              <w:spacing w:after="0"/>
              <w:rPr>
                <w:sz w:val="20"/>
                <w:szCs w:val="20"/>
                <w:color w:val="auto"/>
              </w:rPr>
            </w:pPr>
            <w:r>
              <w:rPr>
                <w:rFonts w:ascii="Arial" w:cs="Arial" w:eastAsia="Arial" w:hAnsi="Arial"/>
                <w:sz w:val="18"/>
                <w:szCs w:val="18"/>
                <w:color w:val="auto"/>
              </w:rPr>
              <w:t>Performance-based LTIP Units Granted under Employment Agreement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6,873,737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7,336,210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60" w:type="dxa"/>
            <w:vAlign w:val="bottom"/>
            <w:shd w:val="clear" w:color="auto" w:fill="8590A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vMerge w:val="continue"/>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15,423,737</w:t>
            </w:r>
          </w:p>
        </w:tc>
        <w:tc>
          <w:tcPr>
            <w:tcW w:w="8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16,086,210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7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45988"/>
          </w:tcPr>
          <w:p>
            <w:pPr>
              <w:spacing w:after="0"/>
              <w:rPr>
                <w:sz w:val="2"/>
                <w:szCs w:val="2"/>
                <w:color w:val="auto"/>
              </w:rPr>
            </w:pPr>
          </w:p>
        </w:tc>
        <w:tc>
          <w:tcPr>
            <w:tcW w:w="102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10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right="360" w:hanging="372"/>
        <w:spacing w:after="0" w:line="231" w:lineRule="auto"/>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Annual equity bonuses are paid in the year following the year of performance, and because they are made in equity are shown in the Summary Compensation Table for the year of grant. In the table above, they are shown for the year they were earned.</w:t>
      </w:r>
    </w:p>
    <w:p>
      <w:pPr>
        <w:spacing w:after="0" w:line="20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Grants of Class O LTIP units, which are intended to be similar to stock options from an economic perspective, are excluded from the table above as they only have value to the extent of appreciation in the value of our assets on a per share basis following the grant date. No grants of Class O LTIP Units were made to our Chief Executive Officer in 2018.</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Majority of 2018 CEO Compensation is Deferred and Paid in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Compensation Realized</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60" w:type="dxa"/>
            <w:vAlign w:val="bottom"/>
            <w:tcBorders>
              <w:bottom w:val="single" w:sz="8" w:color="345988"/>
            </w:tcBorders>
            <w:gridSpan w:val="2"/>
          </w:tcPr>
          <w:p>
            <w:pPr>
              <w:spacing w:after="0"/>
              <w:rPr>
                <w:sz w:val="20"/>
                <w:szCs w:val="20"/>
                <w:color w:val="auto"/>
              </w:rPr>
            </w:pPr>
            <w:r>
              <w:rPr>
                <w:rFonts w:ascii="Arial" w:cs="Arial" w:eastAsia="Arial" w:hAnsi="Arial"/>
                <w:sz w:val="14"/>
                <w:szCs w:val="14"/>
                <w:b w:val="1"/>
                <w:bCs w:val="1"/>
                <w:color w:val="auto"/>
              </w:rPr>
              <w:t>Immediately / Paid in Cash</w:t>
            </w:r>
          </w:p>
        </w:tc>
        <w:tc>
          <w:tcPr>
            <w:tcW w:w="160" w:type="dxa"/>
            <w:vAlign w:val="bottom"/>
          </w:tcPr>
          <w:p>
            <w:pPr>
              <w:spacing w:after="0"/>
              <w:rPr>
                <w:sz w:val="17"/>
                <w:szCs w:val="17"/>
                <w:color w:val="auto"/>
              </w:rPr>
            </w:pPr>
          </w:p>
        </w:tc>
        <w:tc>
          <w:tcPr>
            <w:tcW w:w="1480" w:type="dxa"/>
            <w:vAlign w:val="bottom"/>
            <w:tcBorders>
              <w:bottom w:val="single" w:sz="8" w:color="345988"/>
            </w:tcBorders>
          </w:tcPr>
          <w:p>
            <w:pPr>
              <w:spacing w:after="0"/>
              <w:rPr>
                <w:sz w:val="17"/>
                <w:szCs w:val="17"/>
                <w:color w:val="auto"/>
              </w:rPr>
            </w:pPr>
          </w:p>
        </w:tc>
        <w:tc>
          <w:tcPr>
            <w:tcW w:w="160" w:type="dxa"/>
            <w:vAlign w:val="bottom"/>
          </w:tcPr>
          <w:p>
            <w:pPr>
              <w:spacing w:after="0"/>
              <w:rPr>
                <w:sz w:val="17"/>
                <w:szCs w:val="17"/>
                <w:color w:val="auto"/>
              </w:rPr>
            </w:pPr>
          </w:p>
        </w:tc>
        <w:tc>
          <w:tcPr>
            <w:tcW w:w="4620" w:type="dxa"/>
            <w:vAlign w:val="bottom"/>
            <w:tcBorders>
              <w:bottom w:val="single" w:sz="8" w:color="345988"/>
            </w:tcBorders>
            <w:gridSpan w:val="2"/>
          </w:tcPr>
          <w:p>
            <w:pPr>
              <w:spacing w:after="0"/>
              <w:rPr>
                <w:sz w:val="20"/>
                <w:szCs w:val="20"/>
                <w:color w:val="auto"/>
              </w:rPr>
            </w:pPr>
            <w:r>
              <w:rPr>
                <w:rFonts w:ascii="Arial" w:cs="Arial" w:eastAsia="Arial" w:hAnsi="Arial"/>
                <w:sz w:val="14"/>
                <w:szCs w:val="14"/>
                <w:b w:val="1"/>
                <w:bCs w:val="1"/>
                <w:color w:val="345988"/>
              </w:rPr>
              <w:t>Deferred Compensation / Paid in Equity</w:t>
            </w:r>
          </w:p>
        </w:tc>
        <w:tc>
          <w:tcPr>
            <w:tcW w:w="160" w:type="dxa"/>
            <w:vAlign w:val="bottom"/>
          </w:tcPr>
          <w:p>
            <w:pPr>
              <w:spacing w:after="0"/>
              <w:rPr>
                <w:sz w:val="17"/>
                <w:szCs w:val="17"/>
                <w:color w:val="auto"/>
              </w:rPr>
            </w:pPr>
          </w:p>
        </w:tc>
        <w:tc>
          <w:tcPr>
            <w:tcW w:w="1480" w:type="dxa"/>
            <w:vAlign w:val="bottom"/>
            <w:tcBorders>
              <w:bottom w:val="single" w:sz="8" w:color="345988"/>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ind w:left="20"/>
              <w:spacing w:after="0"/>
              <w:rPr>
                <w:sz w:val="20"/>
                <w:szCs w:val="20"/>
                <w:color w:val="auto"/>
              </w:rPr>
            </w:pPr>
            <w:r>
              <w:rPr>
                <w:rFonts w:ascii="Arial" w:cs="Arial" w:eastAsia="Arial" w:hAnsi="Arial"/>
                <w:sz w:val="17"/>
                <w:szCs w:val="17"/>
                <w:color w:val="345988"/>
              </w:rPr>
              <w:t>●</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Base Salary</w:t>
            </w:r>
          </w:p>
        </w:tc>
        <w:tc>
          <w:tcPr>
            <w:tcW w:w="1480" w:type="dxa"/>
            <w:vAlign w:val="bottom"/>
            <w:vMerge w:val="restart"/>
          </w:tcPr>
          <w:p>
            <w:pPr>
              <w:jc w:val="right"/>
              <w:spacing w:after="0" w:line="435" w:lineRule="exact"/>
              <w:rPr>
                <w:sz w:val="20"/>
                <w:szCs w:val="20"/>
                <w:color w:val="auto"/>
              </w:rPr>
            </w:pPr>
            <w:r>
              <w:rPr>
                <w:rFonts w:ascii="Arial" w:cs="Arial" w:eastAsia="Arial" w:hAnsi="Arial"/>
                <w:sz w:val="43"/>
                <w:szCs w:val="43"/>
                <w:b w:val="1"/>
                <w:bCs w:val="1"/>
                <w:color w:val="345988"/>
              </w:rPr>
              <w:t>24.9%</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345988"/>
              </w:rPr>
              <w:t>●</w:t>
            </w:r>
          </w:p>
        </w:tc>
        <w:tc>
          <w:tcPr>
            <w:tcW w:w="4600" w:type="dxa"/>
            <w:vAlign w:val="bottom"/>
            <w:gridSpan w:val="2"/>
          </w:tcPr>
          <w:p>
            <w:pPr>
              <w:ind w:left="60"/>
              <w:spacing w:after="0"/>
              <w:rPr>
                <w:sz w:val="20"/>
                <w:szCs w:val="20"/>
                <w:color w:val="auto"/>
              </w:rPr>
            </w:pPr>
            <w:r>
              <w:rPr>
                <w:rFonts w:ascii="Arial" w:cs="Arial" w:eastAsia="Arial" w:hAnsi="Arial"/>
                <w:sz w:val="18"/>
                <w:szCs w:val="18"/>
                <w:color w:val="auto"/>
              </w:rPr>
              <w:t>Deferred Compensation Contributions</w:t>
            </w:r>
          </w:p>
        </w:tc>
        <w:tc>
          <w:tcPr>
            <w:tcW w:w="1480" w:type="dxa"/>
            <w:vAlign w:val="bottom"/>
            <w:vMerge w:val="restart"/>
          </w:tcPr>
          <w:p>
            <w:pPr>
              <w:jc w:val="right"/>
              <w:spacing w:after="0" w:line="435" w:lineRule="exact"/>
              <w:rPr>
                <w:sz w:val="20"/>
                <w:szCs w:val="20"/>
                <w:color w:val="auto"/>
              </w:rPr>
            </w:pPr>
            <w:r>
              <w:rPr>
                <w:rFonts w:ascii="Arial" w:cs="Arial" w:eastAsia="Arial" w:hAnsi="Arial"/>
                <w:sz w:val="43"/>
                <w:szCs w:val="43"/>
                <w:b w:val="1"/>
                <w:bCs w:val="1"/>
                <w:color w:val="345988"/>
              </w:rPr>
              <w:t>75.1%</w:t>
            </w:r>
          </w:p>
        </w:tc>
        <w:tc>
          <w:tcPr>
            <w:tcW w:w="0" w:type="dxa"/>
            <w:vAlign w:val="bottom"/>
          </w:tcPr>
          <w:p>
            <w:pPr>
              <w:spacing w:after="0"/>
              <w:rPr>
                <w:sz w:val="1"/>
                <w:szCs w:val="1"/>
                <w:color w:val="auto"/>
              </w:rPr>
            </w:pPr>
          </w:p>
        </w:tc>
      </w:tr>
      <w:tr>
        <w:trPr>
          <w:trHeight w:val="224"/>
        </w:trPr>
        <w:tc>
          <w:tcPr>
            <w:tcW w:w="180" w:type="dxa"/>
            <w:vAlign w:val="bottom"/>
          </w:tcPr>
          <w:p>
            <w:pPr>
              <w:ind w:left="20"/>
              <w:spacing w:after="0"/>
              <w:rPr>
                <w:sz w:val="20"/>
                <w:szCs w:val="20"/>
                <w:color w:val="auto"/>
              </w:rPr>
            </w:pPr>
            <w:r>
              <w:rPr>
                <w:rFonts w:ascii="Arial" w:cs="Arial" w:eastAsia="Arial" w:hAnsi="Arial"/>
                <w:sz w:val="17"/>
                <w:szCs w:val="17"/>
                <w:color w:val="345988"/>
              </w:rPr>
              <w:t>●</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Cash Bonus</w:t>
            </w:r>
          </w:p>
        </w:tc>
        <w:tc>
          <w:tcPr>
            <w:tcW w:w="1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7"/>
                <w:szCs w:val="17"/>
                <w:color w:val="345988"/>
              </w:rPr>
              <w:t>●</w:t>
            </w:r>
          </w:p>
        </w:tc>
        <w:tc>
          <w:tcPr>
            <w:tcW w:w="4600" w:type="dxa"/>
            <w:vAlign w:val="bottom"/>
            <w:gridSpan w:val="2"/>
          </w:tcPr>
          <w:p>
            <w:pPr>
              <w:ind w:left="60"/>
              <w:spacing w:after="0"/>
              <w:rPr>
                <w:sz w:val="20"/>
                <w:szCs w:val="20"/>
                <w:color w:val="auto"/>
              </w:rPr>
            </w:pPr>
            <w:r>
              <w:rPr>
                <w:rFonts w:ascii="Arial" w:cs="Arial" w:eastAsia="Arial" w:hAnsi="Arial"/>
                <w:sz w:val="18"/>
                <w:szCs w:val="18"/>
                <w:color w:val="auto"/>
              </w:rPr>
              <w:t>Equity Bonus</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 w:type="dxa"/>
            <w:vAlign w:val="bottom"/>
            <w:tcBorders>
              <w:bottom w:val="single" w:sz="8" w:color="345988"/>
            </w:tcBorders>
          </w:tcPr>
          <w:p>
            <w:pPr>
              <w:spacing w:after="0"/>
              <w:rPr>
                <w:sz w:val="19"/>
                <w:szCs w:val="19"/>
                <w:color w:val="auto"/>
              </w:rPr>
            </w:pPr>
          </w:p>
        </w:tc>
        <w:tc>
          <w:tcPr>
            <w:tcW w:w="3180" w:type="dxa"/>
            <w:vAlign w:val="bottom"/>
            <w:tcBorders>
              <w:bottom w:val="single" w:sz="8" w:color="345988"/>
            </w:tcBorders>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bottom w:val="single" w:sz="8" w:color="345988"/>
            </w:tcBorders>
          </w:tcPr>
          <w:p>
            <w:pPr>
              <w:spacing w:after="0"/>
              <w:rPr>
                <w:sz w:val="19"/>
                <w:szCs w:val="19"/>
                <w:color w:val="auto"/>
              </w:rPr>
            </w:pPr>
          </w:p>
        </w:tc>
        <w:tc>
          <w:tcPr>
            <w:tcW w:w="160" w:type="dxa"/>
            <w:vAlign w:val="bottom"/>
          </w:tcPr>
          <w:p>
            <w:pPr>
              <w:spacing w:after="0"/>
              <w:rPr>
                <w:sz w:val="19"/>
                <w:szCs w:val="19"/>
                <w:color w:val="auto"/>
              </w:rPr>
            </w:pPr>
          </w:p>
        </w:tc>
        <w:tc>
          <w:tcPr>
            <w:tcW w:w="4620" w:type="dxa"/>
            <w:vAlign w:val="bottom"/>
            <w:tcBorders>
              <w:bottom w:val="single" w:sz="8" w:color="345988"/>
            </w:tcBorders>
            <w:gridSpan w:val="2"/>
          </w:tcPr>
          <w:p>
            <w:pPr>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Employment Agreement Equity Awards</w:t>
            </w:r>
          </w:p>
        </w:tc>
        <w:tc>
          <w:tcPr>
            <w:tcW w:w="160" w:type="dxa"/>
            <w:vAlign w:val="bottom"/>
          </w:tcPr>
          <w:p>
            <w:pPr>
              <w:spacing w:after="0"/>
              <w:rPr>
                <w:sz w:val="19"/>
                <w:szCs w:val="19"/>
                <w:color w:val="auto"/>
              </w:rPr>
            </w:pPr>
          </w:p>
        </w:tc>
        <w:tc>
          <w:tcPr>
            <w:tcW w:w="1480" w:type="dxa"/>
            <w:vAlign w:val="bottom"/>
            <w:tcBorders>
              <w:bottom w:val="single" w:sz="8" w:color="34598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Other NEOs have similar weightings of cash and equity compensation.</w:t>
      </w:r>
    </w:p>
    <w:p>
      <w:pPr>
        <w:spacing w:after="0" w:line="21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45988"/>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Stockholder Engagement and Responsiveness – Significant Changes for 2019</w:t>
      </w:r>
    </w:p>
    <w:p>
      <w:pPr>
        <w:spacing w:after="0" w:line="2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Committee continued its robust stockholder engagement program in 2018 and 2019, as it has for the past several years, to solicit stockholder perspectives on our executive compensation programs. As part of this engagement program, since the 2018 annual meeting of stockholders, we contacted stockholders accounting for over 70% of our shares outstanding. All of these discussions were led by the chair of our Compensation Committee, or the Committee.</w:t>
      </w:r>
    </w:p>
    <w:p>
      <w:pPr>
        <w:spacing w:after="0" w:line="209"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The feedback we received in these meetings was shared with the Committee and the entire Board, as applicable. The Committee carefully considered this feedback and implemented changes to our executive compensation program that are responsive to the views that we heard.</w:t>
      </w:r>
    </w:p>
    <w:p>
      <w:pPr>
        <w:spacing w:after="0" w:line="16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table below details stockholders’ feedback and the actions the Committee took to address investors’ perspectives on our executive compensation program. These changes – including the materially re-designed compensation for our Chief Executive Officer, President and Chief Legal Officer and General Counsel as governed by their employment agreements – reflect our ongoing commitment to stockholder engagement and responsiveness. With these changes, the Committee has significantly simplified the structure of our compensation program, by reducing the overall components of compensation from seven to four and enhancing the transparency of our compensation program so that stockholders can better recognize how they link pay with performance.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00" w:type="dxa"/>
            <w:vAlign w:val="bottom"/>
            <w:gridSpan w:val="2"/>
          </w:tcPr>
          <w:p>
            <w:pPr>
              <w:ind w:left="120"/>
              <w:spacing w:after="0"/>
              <w:rPr>
                <w:sz w:val="20"/>
                <w:szCs w:val="20"/>
                <w:color w:val="auto"/>
              </w:rPr>
            </w:pPr>
            <w:r>
              <w:rPr>
                <w:rFonts w:ascii="Arial" w:cs="Arial" w:eastAsia="Arial" w:hAnsi="Arial"/>
                <w:sz w:val="14"/>
                <w:szCs w:val="14"/>
                <w:b w:val="1"/>
                <w:bCs w:val="1"/>
                <w:color w:val="345988"/>
              </w:rPr>
              <w:t>Stockholder Feedback</w:t>
            </w: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345988"/>
              </w:rPr>
              <w:t>Action</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20" w:type="dxa"/>
            <w:vAlign w:val="bottom"/>
            <w:tcBorders>
              <w:bottom w:val="single" w:sz="8" w:color="345988"/>
            </w:tcBorders>
          </w:tcPr>
          <w:p>
            <w:pPr>
              <w:ind w:left="180"/>
              <w:spacing w:after="0"/>
              <w:rPr>
                <w:sz w:val="20"/>
                <w:szCs w:val="20"/>
                <w:color w:val="auto"/>
              </w:rPr>
            </w:pPr>
            <w:r>
              <w:rPr>
                <w:rFonts w:ascii="Arial" w:cs="Arial" w:eastAsia="Arial" w:hAnsi="Arial"/>
                <w:sz w:val="14"/>
                <w:szCs w:val="14"/>
                <w:b w:val="1"/>
                <w:bCs w:val="1"/>
                <w:color w:val="345988"/>
              </w:rPr>
              <w:t>Element</w:t>
            </w:r>
          </w:p>
        </w:tc>
        <w:tc>
          <w:tcPr>
            <w:tcW w:w="2300" w:type="dxa"/>
            <w:vAlign w:val="bottom"/>
            <w:tcBorders>
              <w:bottom w:val="single" w:sz="8" w:color="345988"/>
            </w:tcBorders>
            <w:gridSpan w:val="2"/>
          </w:tcPr>
          <w:p>
            <w:pPr>
              <w:ind w:left="120"/>
              <w:spacing w:after="0"/>
              <w:rPr>
                <w:sz w:val="20"/>
                <w:szCs w:val="20"/>
                <w:color w:val="auto"/>
              </w:rPr>
            </w:pPr>
            <w:r>
              <w:rPr>
                <w:rFonts w:ascii="Arial" w:cs="Arial" w:eastAsia="Arial" w:hAnsi="Arial"/>
                <w:sz w:val="14"/>
                <w:szCs w:val="14"/>
                <w:b w:val="1"/>
                <w:bCs w:val="1"/>
                <w:color w:val="345988"/>
              </w:rPr>
              <w:t>(“What We Heard”)</w:t>
            </w:r>
          </w:p>
        </w:tc>
        <w:tc>
          <w:tcPr>
            <w:tcW w:w="1760" w:type="dxa"/>
            <w:vAlign w:val="bottom"/>
            <w:tcBorders>
              <w:bottom w:val="single" w:sz="8" w:color="345988"/>
            </w:tcBorders>
            <w:gridSpan w:val="2"/>
          </w:tcPr>
          <w:p>
            <w:pPr>
              <w:ind w:left="100"/>
              <w:spacing w:after="0"/>
              <w:rPr>
                <w:sz w:val="20"/>
                <w:szCs w:val="20"/>
                <w:color w:val="auto"/>
              </w:rPr>
            </w:pPr>
            <w:r>
              <w:rPr>
                <w:rFonts w:ascii="Arial" w:cs="Arial" w:eastAsia="Arial" w:hAnsi="Arial"/>
                <w:sz w:val="14"/>
                <w:szCs w:val="14"/>
                <w:b w:val="1"/>
                <w:bCs w:val="1"/>
                <w:color w:val="345988"/>
              </w:rPr>
              <w:t>(“What We Did”)</w:t>
            </w:r>
          </w:p>
        </w:tc>
        <w:tc>
          <w:tcPr>
            <w:tcW w:w="1500" w:type="dxa"/>
            <w:vAlign w:val="bottom"/>
            <w:tcBorders>
              <w:bottom w:val="single" w:sz="8" w:color="345988"/>
            </w:tcBorders>
          </w:tcPr>
          <w:p>
            <w:pPr>
              <w:ind w:left="60"/>
              <w:spacing w:after="0"/>
              <w:rPr>
                <w:sz w:val="20"/>
                <w:szCs w:val="20"/>
                <w:color w:val="auto"/>
              </w:rPr>
            </w:pPr>
            <w:r>
              <w:rPr>
                <w:rFonts w:ascii="Arial" w:cs="Arial" w:eastAsia="Arial" w:hAnsi="Arial"/>
                <w:sz w:val="14"/>
                <w:szCs w:val="14"/>
                <w:b w:val="1"/>
                <w:bCs w:val="1"/>
                <w:color w:val="345988"/>
              </w:rPr>
              <w:t>Executive</w:t>
            </w:r>
          </w:p>
        </w:tc>
        <w:tc>
          <w:tcPr>
            <w:tcW w:w="1540" w:type="dxa"/>
            <w:vAlign w:val="bottom"/>
            <w:tcBorders>
              <w:bottom w:val="single" w:sz="8" w:color="345988"/>
            </w:tcBorders>
          </w:tcPr>
          <w:p>
            <w:pPr>
              <w:ind w:left="260"/>
              <w:spacing w:after="0"/>
              <w:rPr>
                <w:sz w:val="20"/>
                <w:szCs w:val="20"/>
                <w:color w:val="auto"/>
              </w:rPr>
            </w:pPr>
            <w:r>
              <w:rPr>
                <w:rFonts w:ascii="Arial" w:cs="Arial" w:eastAsia="Arial" w:hAnsi="Arial"/>
                <w:sz w:val="14"/>
                <w:szCs w:val="14"/>
                <w:b w:val="1"/>
                <w:bCs w:val="1"/>
                <w:color w:val="345988"/>
              </w:rPr>
              <w:t>Effective</w:t>
            </w:r>
          </w:p>
        </w:tc>
        <w:tc>
          <w:tcPr>
            <w:tcW w:w="2600" w:type="dxa"/>
            <w:vAlign w:val="bottom"/>
            <w:tcBorders>
              <w:bottom w:val="single" w:sz="8" w:color="345988"/>
            </w:tcBorders>
            <w:gridSpan w:val="2"/>
          </w:tcPr>
          <w:p>
            <w:pPr>
              <w:ind w:left="420"/>
              <w:spacing w:after="0"/>
              <w:rPr>
                <w:sz w:val="20"/>
                <w:szCs w:val="20"/>
                <w:color w:val="auto"/>
              </w:rPr>
            </w:pPr>
            <w:r>
              <w:rPr>
                <w:rFonts w:ascii="Arial" w:cs="Arial" w:eastAsia="Arial" w:hAnsi="Arial"/>
                <w:sz w:val="14"/>
                <w:szCs w:val="14"/>
                <w:b w:val="1"/>
                <w:bCs w:val="1"/>
                <w:color w:val="345988"/>
              </w:rPr>
              <w:t>Impact</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Base salary and deferred</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1480" w:type="dxa"/>
            <w:vAlign w:val="bottom"/>
            <w:vMerge w:val="restart"/>
          </w:tcPr>
          <w:p>
            <w:pPr>
              <w:ind w:left="80"/>
              <w:spacing w:after="0"/>
              <w:rPr>
                <w:sz w:val="20"/>
                <w:szCs w:val="20"/>
                <w:color w:val="auto"/>
              </w:rPr>
            </w:pPr>
            <w:r>
              <w:rPr>
                <w:rFonts w:ascii="Arial" w:cs="Arial" w:eastAsia="Arial" w:hAnsi="Arial"/>
                <w:sz w:val="14"/>
                <w:szCs w:val="14"/>
                <w:color w:val="auto"/>
              </w:rPr>
              <w:t>Reduced base salary</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ind w:left="260"/>
              <w:spacing w:after="0"/>
              <w:rPr>
                <w:sz w:val="20"/>
                <w:szCs w:val="20"/>
                <w:color w:val="auto"/>
              </w:rPr>
            </w:pPr>
            <w:r>
              <w:rPr>
                <w:rFonts w:ascii="Arial" w:cs="Arial" w:eastAsia="Arial" w:hAnsi="Arial"/>
                <w:sz w:val="14"/>
                <w:szCs w:val="14"/>
                <w:color w:val="auto"/>
              </w:rPr>
              <w:t>Retroactive to</w:t>
            </w:r>
          </w:p>
        </w:tc>
        <w:tc>
          <w:tcPr>
            <w:tcW w:w="600" w:type="dxa"/>
            <w:vAlign w:val="bottom"/>
          </w:tcPr>
          <w:p>
            <w:pPr>
              <w:ind w:left="460"/>
              <w:spacing w:after="0"/>
              <w:rPr>
                <w:sz w:val="20"/>
                <w:szCs w:val="20"/>
                <w:color w:val="auto"/>
              </w:rPr>
            </w:pPr>
            <w:r>
              <w:rPr>
                <w:rFonts w:ascii="Arial" w:cs="Arial" w:eastAsia="Arial" w:hAnsi="Arial"/>
                <w:sz w:val="13"/>
                <w:szCs w:val="13"/>
                <w:color w:val="345988"/>
              </w:rPr>
              <w:t>●</w:t>
            </w:r>
          </w:p>
        </w:tc>
        <w:tc>
          <w:tcPr>
            <w:tcW w:w="2000" w:type="dxa"/>
            <w:vAlign w:val="bottom"/>
          </w:tcPr>
          <w:p>
            <w:pPr>
              <w:ind w:left="80"/>
              <w:spacing w:after="0"/>
              <w:rPr>
                <w:sz w:val="20"/>
                <w:szCs w:val="20"/>
                <w:color w:val="auto"/>
              </w:rPr>
            </w:pPr>
            <w:r>
              <w:rPr>
                <w:rFonts w:ascii="Arial" w:cs="Arial" w:eastAsia="Arial" w:hAnsi="Arial"/>
                <w:sz w:val="14"/>
                <w:szCs w:val="14"/>
                <w:color w:val="auto"/>
              </w:rPr>
              <w:t>Reduces fixed pay</w:t>
            </w:r>
          </w:p>
        </w:tc>
        <w:tc>
          <w:tcPr>
            <w:tcW w:w="0" w:type="dxa"/>
            <w:vAlign w:val="bottom"/>
          </w:tcPr>
          <w:p>
            <w:pPr>
              <w:spacing w:after="0"/>
              <w:rPr>
                <w:sz w:val="1"/>
                <w:szCs w:val="1"/>
                <w:color w:val="auto"/>
              </w:rPr>
            </w:pPr>
          </w:p>
        </w:tc>
      </w:tr>
      <w:tr>
        <w:trPr>
          <w:trHeight w:val="122"/>
        </w:trPr>
        <w:tc>
          <w:tcPr>
            <w:tcW w:w="1720" w:type="dxa"/>
            <w:vAlign w:val="bottom"/>
            <w:vMerge w:val="restart"/>
          </w:tcPr>
          <w:p>
            <w:pPr>
              <w:ind w:left="180"/>
              <w:spacing w:after="0"/>
              <w:rPr>
                <w:sz w:val="20"/>
                <w:szCs w:val="20"/>
                <w:color w:val="auto"/>
              </w:rPr>
            </w:pPr>
            <w:r>
              <w:rPr>
                <w:rFonts w:ascii="Arial" w:cs="Arial" w:eastAsia="Arial" w:hAnsi="Arial"/>
                <w:sz w:val="18"/>
                <w:szCs w:val="18"/>
                <w:b w:val="1"/>
                <w:bCs w:val="1"/>
                <w:color w:val="345988"/>
              </w:rPr>
              <w:t>Fixed Pay</w:t>
            </w:r>
          </w:p>
        </w:tc>
        <w:tc>
          <w:tcPr>
            <w:tcW w:w="30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40" w:type="dxa"/>
            <w:vAlign w:val="bottom"/>
          </w:tcPr>
          <w:p>
            <w:pPr>
              <w:ind w:left="260"/>
              <w:spacing w:after="0" w:line="123" w:lineRule="exact"/>
              <w:rPr>
                <w:sz w:val="20"/>
                <w:szCs w:val="20"/>
                <w:color w:val="auto"/>
              </w:rPr>
            </w:pPr>
            <w:r>
              <w:rPr>
                <w:rFonts w:ascii="Arial" w:cs="Arial" w:eastAsia="Arial" w:hAnsi="Arial"/>
                <w:sz w:val="14"/>
                <w:szCs w:val="14"/>
                <w:color w:val="auto"/>
              </w:rPr>
              <w:t>1/18/2018</w:t>
            </w:r>
          </w:p>
        </w:tc>
        <w:tc>
          <w:tcPr>
            <w:tcW w:w="600" w:type="dxa"/>
            <w:vAlign w:val="bottom"/>
          </w:tcPr>
          <w:p>
            <w:pPr>
              <w:ind w:left="460"/>
              <w:spacing w:after="0" w:line="123" w:lineRule="exact"/>
              <w:rPr>
                <w:sz w:val="20"/>
                <w:szCs w:val="20"/>
                <w:color w:val="auto"/>
              </w:rPr>
            </w:pPr>
            <w:r>
              <w:rPr>
                <w:rFonts w:ascii="Arial" w:cs="Arial" w:eastAsia="Arial" w:hAnsi="Arial"/>
                <w:sz w:val="13"/>
                <w:szCs w:val="13"/>
                <w:color w:val="345988"/>
              </w:rPr>
              <w:t>●</w:t>
            </w: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rPr>
              <w:t>Reduces target cash bonus</w:t>
            </w:r>
          </w:p>
        </w:tc>
        <w:tc>
          <w:tcPr>
            <w:tcW w:w="0" w:type="dxa"/>
            <w:vAlign w:val="bottom"/>
          </w:tcPr>
          <w:p>
            <w:pPr>
              <w:spacing w:after="0"/>
              <w:rPr>
                <w:sz w:val="1"/>
                <w:szCs w:val="1"/>
                <w:color w:val="auto"/>
              </w:rPr>
            </w:pPr>
          </w:p>
        </w:tc>
      </w:tr>
      <w:tr>
        <w:trPr>
          <w:trHeight w:val="54"/>
        </w:trPr>
        <w:tc>
          <w:tcPr>
            <w:tcW w:w="17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vMerge w:val="restart"/>
          </w:tcPr>
          <w:p>
            <w:pPr>
              <w:ind w:left="80"/>
              <w:spacing w:after="0" w:line="135" w:lineRule="exact"/>
              <w:rPr>
                <w:sz w:val="20"/>
                <w:szCs w:val="20"/>
                <w:color w:val="auto"/>
              </w:rPr>
            </w:pPr>
            <w:r>
              <w:rPr>
                <w:rFonts w:ascii="Arial" w:cs="Arial" w:eastAsia="Arial" w:hAnsi="Arial"/>
                <w:sz w:val="14"/>
                <w:szCs w:val="14"/>
                <w:color w:val="auto"/>
              </w:rPr>
              <w:t>compensation provide</w:t>
            </w:r>
          </w:p>
        </w:tc>
        <w:tc>
          <w:tcPr>
            <w:tcW w:w="280" w:type="dxa"/>
            <w:vAlign w:val="bottom"/>
            <w:tcBorders>
              <w:bottom w:val="single" w:sz="8" w:color="8590A9"/>
            </w:tcBorders>
          </w:tcPr>
          <w:p>
            <w:pPr>
              <w:spacing w:after="0"/>
              <w:rPr>
                <w:sz w:val="4"/>
                <w:szCs w:val="4"/>
                <w:color w:val="auto"/>
              </w:rPr>
            </w:pPr>
          </w:p>
        </w:tc>
        <w:tc>
          <w:tcPr>
            <w:tcW w:w="1480" w:type="dxa"/>
            <w:vAlign w:val="bottom"/>
            <w:tcBorders>
              <w:bottom w:val="single" w:sz="8" w:color="8590A9"/>
            </w:tcBorders>
          </w:tcPr>
          <w:p>
            <w:pPr>
              <w:spacing w:after="0"/>
              <w:rPr>
                <w:sz w:val="4"/>
                <w:szCs w:val="4"/>
                <w:color w:val="auto"/>
              </w:rPr>
            </w:pPr>
          </w:p>
        </w:tc>
        <w:tc>
          <w:tcPr>
            <w:tcW w:w="1500" w:type="dxa"/>
            <w:vAlign w:val="bottom"/>
            <w:tcBorders>
              <w:bottom w:val="single" w:sz="8" w:color="8590A9"/>
            </w:tcBorders>
          </w:tcPr>
          <w:p>
            <w:pPr>
              <w:spacing w:after="0"/>
              <w:rPr>
                <w:sz w:val="4"/>
                <w:szCs w:val="4"/>
                <w:color w:val="auto"/>
              </w:rPr>
            </w:pPr>
          </w:p>
        </w:tc>
        <w:tc>
          <w:tcPr>
            <w:tcW w:w="1540" w:type="dxa"/>
            <w:vAlign w:val="bottom"/>
            <w:tcBorders>
              <w:bottom w:val="single" w:sz="8" w:color="8590A9"/>
            </w:tcBorders>
          </w:tcPr>
          <w:p>
            <w:pPr>
              <w:spacing w:after="0"/>
              <w:rPr>
                <w:sz w:val="4"/>
                <w:szCs w:val="4"/>
                <w:color w:val="auto"/>
              </w:rPr>
            </w:pPr>
          </w:p>
        </w:tc>
        <w:tc>
          <w:tcPr>
            <w:tcW w:w="600" w:type="dxa"/>
            <w:vAlign w:val="bottom"/>
            <w:tcBorders>
              <w:bottom w:val="single" w:sz="8" w:color="8590A9"/>
            </w:tcBorders>
          </w:tcPr>
          <w:p>
            <w:pPr>
              <w:spacing w:after="0"/>
              <w:rPr>
                <w:sz w:val="4"/>
                <w:szCs w:val="4"/>
                <w:color w:val="auto"/>
              </w:rPr>
            </w:pPr>
          </w:p>
        </w:tc>
        <w:tc>
          <w:tcPr>
            <w:tcW w:w="2000" w:type="dxa"/>
            <w:vAlign w:val="bottom"/>
            <w:tcBorders>
              <w:bottom w:val="single" w:sz="8" w:color="8590A9"/>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1480" w:type="dxa"/>
            <w:vAlign w:val="bottom"/>
            <w:vMerge w:val="restart"/>
          </w:tcPr>
          <w:p>
            <w:pPr>
              <w:ind w:left="80"/>
              <w:spacing w:after="0"/>
              <w:rPr>
                <w:sz w:val="20"/>
                <w:szCs w:val="20"/>
                <w:color w:val="auto"/>
              </w:rPr>
            </w:pPr>
            <w:r>
              <w:rPr>
                <w:rFonts w:ascii="Arial" w:cs="Arial" w:eastAsia="Arial" w:hAnsi="Arial"/>
                <w:sz w:val="14"/>
                <w:szCs w:val="14"/>
                <w:color w:val="auto"/>
              </w:rPr>
              <w:t>Eliminated deferred</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5"/>
                <w:szCs w:val="5"/>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Eliminates multiple fixed pay</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w w:val="98"/>
              </w:rPr>
              <w:t>overlapping fixed pay elements</w:t>
            </w:r>
          </w:p>
        </w:tc>
        <w:tc>
          <w:tcPr>
            <w:tcW w:w="2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40" w:type="dxa"/>
            <w:vAlign w:val="bottom"/>
          </w:tcPr>
          <w:p>
            <w:pPr>
              <w:ind w:left="260"/>
              <w:spacing w:after="0" w:line="123" w:lineRule="exact"/>
              <w:rPr>
                <w:sz w:val="20"/>
                <w:szCs w:val="20"/>
                <w:color w:val="auto"/>
              </w:rPr>
            </w:pPr>
            <w:r>
              <w:rPr>
                <w:rFonts w:ascii="Arial" w:cs="Arial" w:eastAsia="Arial" w:hAnsi="Arial"/>
                <w:sz w:val="14"/>
                <w:szCs w:val="14"/>
                <w:color w:val="auto"/>
              </w:rPr>
              <w:t>2019 onward</w:t>
            </w:r>
          </w:p>
        </w:tc>
        <w:tc>
          <w:tcPr>
            <w:tcW w:w="60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720" w:type="dxa"/>
            <w:vAlign w:val="bottom"/>
            <w:tcBorders>
              <w:bottom w:val="single" w:sz="8" w:color="8590A9"/>
            </w:tcBorders>
          </w:tcPr>
          <w:p>
            <w:pPr>
              <w:spacing w:after="0"/>
              <w:rPr>
                <w:sz w:val="14"/>
                <w:szCs w:val="14"/>
                <w:color w:val="auto"/>
              </w:rPr>
            </w:pPr>
          </w:p>
        </w:tc>
        <w:tc>
          <w:tcPr>
            <w:tcW w:w="300" w:type="dxa"/>
            <w:vAlign w:val="bottom"/>
            <w:tcBorders>
              <w:bottom w:val="single" w:sz="8" w:color="8590A9"/>
            </w:tcBorders>
          </w:tcPr>
          <w:p>
            <w:pPr>
              <w:spacing w:after="0"/>
              <w:rPr>
                <w:sz w:val="14"/>
                <w:szCs w:val="14"/>
                <w:color w:val="auto"/>
              </w:rPr>
            </w:pPr>
          </w:p>
        </w:tc>
        <w:tc>
          <w:tcPr>
            <w:tcW w:w="2000" w:type="dxa"/>
            <w:vAlign w:val="bottom"/>
            <w:tcBorders>
              <w:bottom w:val="single" w:sz="8" w:color="8590A9"/>
            </w:tcBorders>
          </w:tcPr>
          <w:p>
            <w:pPr>
              <w:spacing w:after="0"/>
              <w:rPr>
                <w:sz w:val="14"/>
                <w:szCs w:val="14"/>
                <w:color w:val="auto"/>
              </w:rPr>
            </w:pPr>
          </w:p>
        </w:tc>
        <w:tc>
          <w:tcPr>
            <w:tcW w:w="280" w:type="dxa"/>
            <w:vAlign w:val="bottom"/>
            <w:tcBorders>
              <w:bottom w:val="single" w:sz="8" w:color="8590A9"/>
            </w:tcBorders>
          </w:tcPr>
          <w:p>
            <w:pPr>
              <w:spacing w:after="0"/>
              <w:rPr>
                <w:sz w:val="14"/>
                <w:szCs w:val="14"/>
                <w:color w:val="auto"/>
              </w:rPr>
            </w:pPr>
          </w:p>
        </w:tc>
        <w:tc>
          <w:tcPr>
            <w:tcW w:w="1480" w:type="dxa"/>
            <w:vAlign w:val="bottom"/>
            <w:tcBorders>
              <w:bottom w:val="single" w:sz="8" w:color="8590A9"/>
            </w:tcBorders>
          </w:tcPr>
          <w:p>
            <w:pPr>
              <w:ind w:left="100"/>
              <w:spacing w:after="0"/>
              <w:rPr>
                <w:sz w:val="20"/>
                <w:szCs w:val="20"/>
                <w:color w:val="auto"/>
              </w:rPr>
            </w:pPr>
            <w:r>
              <w:rPr>
                <w:rFonts w:ascii="Arial" w:cs="Arial" w:eastAsia="Arial" w:hAnsi="Arial"/>
                <w:sz w:val="14"/>
                <w:szCs w:val="14"/>
                <w:color w:val="auto"/>
              </w:rPr>
              <w:t>compensation</w:t>
            </w:r>
          </w:p>
        </w:tc>
        <w:tc>
          <w:tcPr>
            <w:tcW w:w="1500" w:type="dxa"/>
            <w:vAlign w:val="bottom"/>
            <w:tcBorders>
              <w:bottom w:val="single" w:sz="8" w:color="8590A9"/>
            </w:tcBorders>
          </w:tcPr>
          <w:p>
            <w:pPr>
              <w:ind w:left="60"/>
              <w:spacing w:after="0"/>
              <w:rPr>
                <w:sz w:val="20"/>
                <w:szCs w:val="20"/>
                <w:color w:val="auto"/>
              </w:rPr>
            </w:pPr>
            <w:r>
              <w:rPr>
                <w:rFonts w:ascii="Arial" w:cs="Arial" w:eastAsia="Arial" w:hAnsi="Arial"/>
                <w:sz w:val="14"/>
                <w:szCs w:val="14"/>
                <w:color w:val="auto"/>
              </w:rPr>
              <w:t>President - Mathias</w:t>
            </w:r>
          </w:p>
        </w:tc>
        <w:tc>
          <w:tcPr>
            <w:tcW w:w="1540" w:type="dxa"/>
            <w:vAlign w:val="bottom"/>
            <w:tcBorders>
              <w:bottom w:val="single" w:sz="8" w:color="8590A9"/>
            </w:tcBorders>
          </w:tcPr>
          <w:p>
            <w:pPr>
              <w:spacing w:after="0"/>
              <w:rPr>
                <w:sz w:val="14"/>
                <w:szCs w:val="14"/>
                <w:color w:val="auto"/>
              </w:rPr>
            </w:pPr>
          </w:p>
        </w:tc>
        <w:tc>
          <w:tcPr>
            <w:tcW w:w="600" w:type="dxa"/>
            <w:vAlign w:val="bottom"/>
            <w:tcBorders>
              <w:bottom w:val="single" w:sz="8" w:color="8590A9"/>
            </w:tcBorders>
          </w:tcPr>
          <w:p>
            <w:pPr>
              <w:spacing w:after="0"/>
              <w:rPr>
                <w:sz w:val="14"/>
                <w:szCs w:val="14"/>
                <w:color w:val="auto"/>
              </w:rPr>
            </w:pPr>
          </w:p>
        </w:tc>
        <w:tc>
          <w:tcPr>
            <w:tcW w:w="2000" w:type="dxa"/>
            <w:vAlign w:val="bottom"/>
            <w:tcBorders>
              <w:bottom w:val="single" w:sz="8" w:color="8590A9"/>
            </w:tcBorders>
          </w:tcPr>
          <w:p>
            <w:pPr>
              <w:ind w:left="100"/>
              <w:spacing w:after="0"/>
              <w:rPr>
                <w:sz w:val="20"/>
                <w:szCs w:val="20"/>
                <w:color w:val="auto"/>
              </w:rPr>
            </w:pPr>
            <w:r>
              <w:rPr>
                <w:rFonts w:ascii="Arial" w:cs="Arial" w:eastAsia="Arial" w:hAnsi="Arial"/>
                <w:sz w:val="14"/>
                <w:szCs w:val="14"/>
                <w:color w:val="auto"/>
              </w:rPr>
              <w:t>elements</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2300" w:type="dxa"/>
            <w:vAlign w:val="bottom"/>
            <w:gridSpan w:val="2"/>
            <w:vMerge w:val="restart"/>
          </w:tcPr>
          <w:p>
            <w:pPr>
              <w:ind w:left="14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Annual incentive should focus</w:t>
            </w: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rPr>
              <w:t>Eliminated TSR,</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added G&amp;A expense,</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Strengthens link to</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on metrics within executives’</w:t>
            </w:r>
          </w:p>
        </w:tc>
        <w:tc>
          <w:tcPr>
            <w:tcW w:w="280" w:type="dxa"/>
            <w:vAlign w:val="bottom"/>
          </w:tcPr>
          <w:p>
            <w:pPr>
              <w:spacing w:after="0"/>
              <w:rPr>
                <w:sz w:val="5"/>
                <w:szCs w:val="5"/>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increased weighting</w:t>
            </w:r>
          </w:p>
        </w:tc>
        <w:tc>
          <w:tcPr>
            <w:tcW w:w="1500" w:type="dxa"/>
            <w:vAlign w:val="bottom"/>
            <w:vMerge w:val="continue"/>
          </w:tcPr>
          <w:p>
            <w:pPr>
              <w:spacing w:after="0"/>
              <w:rPr>
                <w:sz w:val="5"/>
                <w:szCs w:val="5"/>
                <w:color w:val="auto"/>
              </w:rPr>
            </w:pPr>
          </w:p>
        </w:tc>
        <w:tc>
          <w:tcPr>
            <w:tcW w:w="154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2018 onward</w:t>
            </w:r>
          </w:p>
        </w:tc>
        <w:tc>
          <w:tcPr>
            <w:tcW w:w="6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tcPr>
          <w:p>
            <w:pPr>
              <w:ind w:left="180"/>
              <w:spacing w:after="0"/>
              <w:rPr>
                <w:sz w:val="20"/>
                <w:szCs w:val="20"/>
                <w:color w:val="auto"/>
              </w:rPr>
            </w:pPr>
            <w:r>
              <w:rPr>
                <w:rFonts w:ascii="Arial" w:cs="Arial" w:eastAsia="Arial" w:hAnsi="Arial"/>
                <w:sz w:val="18"/>
                <w:szCs w:val="18"/>
                <w:b w:val="1"/>
                <w:bCs w:val="1"/>
                <w:color w:val="345988"/>
              </w:rPr>
              <w:t>Annual</w:t>
            </w:r>
          </w:p>
        </w:tc>
        <w:tc>
          <w:tcPr>
            <w:tcW w:w="3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President - Mathias</w:t>
            </w:r>
          </w:p>
        </w:tc>
        <w:tc>
          <w:tcPr>
            <w:tcW w:w="1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operational metrics</w:t>
            </w: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control</w:t>
            </w:r>
          </w:p>
        </w:tc>
        <w:tc>
          <w:tcPr>
            <w:tcW w:w="280" w:type="dxa"/>
            <w:vAlign w:val="bottom"/>
          </w:tcPr>
          <w:p>
            <w:pPr>
              <w:spacing w:after="0"/>
              <w:rPr>
                <w:sz w:val="7"/>
                <w:szCs w:val="7"/>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of dividend growth</w:t>
            </w:r>
          </w:p>
        </w:tc>
        <w:tc>
          <w:tcPr>
            <w:tcW w:w="15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180"/>
              <w:spacing w:after="0" w:line="170" w:lineRule="exact"/>
              <w:rPr>
                <w:sz w:val="20"/>
                <w:szCs w:val="20"/>
                <w:color w:val="auto"/>
              </w:rPr>
            </w:pPr>
            <w:r>
              <w:rPr>
                <w:rFonts w:ascii="Arial" w:cs="Arial" w:eastAsia="Arial" w:hAnsi="Arial"/>
                <w:sz w:val="18"/>
                <w:szCs w:val="18"/>
                <w:b w:val="1"/>
                <w:bCs w:val="1"/>
                <w:color w:val="345988"/>
              </w:rPr>
              <w:t>Incentive</w:t>
            </w:r>
          </w:p>
        </w:tc>
        <w:tc>
          <w:tcPr>
            <w:tcW w:w="300" w:type="dxa"/>
            <w:vAlign w:val="bottom"/>
            <w:tcBorders>
              <w:bottom w:val="single" w:sz="8" w:color="8590A9"/>
            </w:tcBorders>
          </w:tcPr>
          <w:p>
            <w:pPr>
              <w:spacing w:after="0"/>
              <w:rPr>
                <w:sz w:val="15"/>
                <w:szCs w:val="15"/>
                <w:color w:val="auto"/>
              </w:rPr>
            </w:pPr>
          </w:p>
        </w:tc>
        <w:tc>
          <w:tcPr>
            <w:tcW w:w="2000" w:type="dxa"/>
            <w:vAlign w:val="bottom"/>
            <w:tcBorders>
              <w:bottom w:val="single" w:sz="8" w:color="8590A9"/>
            </w:tcBorders>
          </w:tcPr>
          <w:p>
            <w:pPr>
              <w:spacing w:after="0"/>
              <w:rPr>
                <w:sz w:val="15"/>
                <w:szCs w:val="15"/>
                <w:color w:val="auto"/>
              </w:rPr>
            </w:pPr>
          </w:p>
        </w:tc>
        <w:tc>
          <w:tcPr>
            <w:tcW w:w="280" w:type="dxa"/>
            <w:vAlign w:val="bottom"/>
            <w:tcBorders>
              <w:bottom w:val="single" w:sz="8" w:color="8590A9"/>
            </w:tcBorders>
          </w:tcPr>
          <w:p>
            <w:pPr>
              <w:spacing w:after="0"/>
              <w:rPr>
                <w:sz w:val="15"/>
                <w:szCs w:val="15"/>
                <w:color w:val="auto"/>
              </w:rPr>
            </w:pPr>
          </w:p>
        </w:tc>
        <w:tc>
          <w:tcPr>
            <w:tcW w:w="1480" w:type="dxa"/>
            <w:vAlign w:val="bottom"/>
            <w:tcBorders>
              <w:bottom w:val="single" w:sz="8" w:color="8590A9"/>
            </w:tcBorders>
          </w:tcPr>
          <w:p>
            <w:pPr>
              <w:ind w:left="100"/>
              <w:spacing w:after="0" w:line="156" w:lineRule="exact"/>
              <w:rPr>
                <w:sz w:val="20"/>
                <w:szCs w:val="20"/>
                <w:color w:val="auto"/>
              </w:rPr>
            </w:pPr>
            <w:r>
              <w:rPr>
                <w:rFonts w:ascii="Arial" w:cs="Arial" w:eastAsia="Arial" w:hAnsi="Arial"/>
                <w:sz w:val="14"/>
                <w:szCs w:val="14"/>
                <w:color w:val="auto"/>
              </w:rPr>
              <w:t>metric</w:t>
            </w:r>
          </w:p>
        </w:tc>
        <w:tc>
          <w:tcPr>
            <w:tcW w:w="1500" w:type="dxa"/>
            <w:vAlign w:val="bottom"/>
            <w:tcBorders>
              <w:bottom w:val="single" w:sz="8" w:color="8590A9"/>
            </w:tcBorders>
          </w:tcPr>
          <w:p>
            <w:pPr>
              <w:spacing w:after="0"/>
              <w:rPr>
                <w:sz w:val="15"/>
                <w:szCs w:val="15"/>
                <w:color w:val="auto"/>
              </w:rPr>
            </w:pPr>
          </w:p>
        </w:tc>
        <w:tc>
          <w:tcPr>
            <w:tcW w:w="1540" w:type="dxa"/>
            <w:vAlign w:val="bottom"/>
            <w:tcBorders>
              <w:bottom w:val="single" w:sz="8" w:color="8590A9"/>
            </w:tcBorders>
          </w:tcPr>
          <w:p>
            <w:pPr>
              <w:spacing w:after="0"/>
              <w:rPr>
                <w:sz w:val="15"/>
                <w:szCs w:val="15"/>
                <w:color w:val="auto"/>
              </w:rPr>
            </w:pPr>
          </w:p>
        </w:tc>
        <w:tc>
          <w:tcPr>
            <w:tcW w:w="600" w:type="dxa"/>
            <w:vAlign w:val="bottom"/>
            <w:tcBorders>
              <w:bottom w:val="single" w:sz="8" w:color="8590A9"/>
            </w:tcBorders>
          </w:tcPr>
          <w:p>
            <w:pPr>
              <w:spacing w:after="0"/>
              <w:rPr>
                <w:sz w:val="15"/>
                <w:szCs w:val="15"/>
                <w:color w:val="auto"/>
              </w:rPr>
            </w:pPr>
          </w:p>
        </w:tc>
        <w:tc>
          <w:tcPr>
            <w:tcW w:w="2000" w:type="dxa"/>
            <w:vAlign w:val="bottom"/>
            <w:tcBorders>
              <w:bottom w:val="single" w:sz="8" w:color="8590A9"/>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Discretionary annual equity</w:t>
            </w: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rPr>
              <w:t>Eliminated</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345988"/>
              </w:rPr>
              <w:t>●</w:t>
            </w:r>
          </w:p>
        </w:tc>
        <w:tc>
          <w:tcPr>
            <w:tcW w:w="2000" w:type="dxa"/>
            <w:vAlign w:val="bottom"/>
          </w:tcPr>
          <w:p>
            <w:pPr>
              <w:ind w:left="80"/>
              <w:spacing w:after="0"/>
              <w:rPr>
                <w:sz w:val="20"/>
                <w:szCs w:val="20"/>
                <w:color w:val="auto"/>
              </w:rPr>
            </w:pPr>
            <w:r>
              <w:rPr>
                <w:rFonts w:ascii="Arial" w:cs="Arial" w:eastAsia="Arial" w:hAnsi="Arial"/>
                <w:sz w:val="14"/>
                <w:szCs w:val="14"/>
                <w:color w:val="auto"/>
              </w:rPr>
              <w:t>Eliminates discretion,</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discretionary equity</w:t>
            </w:r>
          </w:p>
        </w:tc>
        <w:tc>
          <w:tcPr>
            <w:tcW w:w="1500" w:type="dxa"/>
            <w:vAlign w:val="bottom"/>
            <w:vMerge w:val="continue"/>
          </w:tcPr>
          <w:p>
            <w:pPr>
              <w:spacing w:after="0"/>
              <w:rPr>
                <w:sz w:val="5"/>
                <w:szCs w:val="5"/>
                <w:color w:val="auto"/>
              </w:rPr>
            </w:pPr>
          </w:p>
        </w:tc>
        <w:tc>
          <w:tcPr>
            <w:tcW w:w="154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2019 onward</w:t>
            </w:r>
          </w:p>
        </w:tc>
        <w:tc>
          <w:tcPr>
            <w:tcW w:w="600" w:type="dxa"/>
            <w:vAlign w:val="bottom"/>
          </w:tcPr>
          <w:p>
            <w:pPr>
              <w:spacing w:after="0"/>
              <w:rPr>
                <w:sz w:val="5"/>
                <w:szCs w:val="5"/>
                <w:color w:val="auto"/>
              </w:rPr>
            </w:pPr>
          </w:p>
        </w:tc>
        <w:tc>
          <w:tcPr>
            <w:tcW w:w="20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improves transparency into</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bonus process not clear</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President - Mathias</w:t>
            </w:r>
          </w:p>
        </w:tc>
        <w:tc>
          <w:tcPr>
            <w:tcW w:w="1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color w:val="auto"/>
              </w:rPr>
              <w:t>bonus</w:t>
            </w:r>
          </w:p>
        </w:tc>
        <w:tc>
          <w:tcPr>
            <w:tcW w:w="15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total compensation</w:t>
            </w:r>
          </w:p>
        </w:tc>
        <w:tc>
          <w:tcPr>
            <w:tcW w:w="0" w:type="dxa"/>
            <w:vAlign w:val="bottom"/>
          </w:tcPr>
          <w:p>
            <w:pPr>
              <w:spacing w:after="0"/>
              <w:rPr>
                <w:sz w:val="1"/>
                <w:szCs w:val="1"/>
                <w:color w:val="auto"/>
              </w:rPr>
            </w:pPr>
          </w:p>
        </w:tc>
      </w:tr>
      <w:tr>
        <w:trPr>
          <w:trHeight w:val="89"/>
        </w:trPr>
        <w:tc>
          <w:tcPr>
            <w:tcW w:w="1720" w:type="dxa"/>
            <w:vAlign w:val="bottom"/>
            <w:tcBorders>
              <w:bottom w:val="single" w:sz="8" w:color="8590A9"/>
            </w:tcBorders>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tcPr>
          <w:p>
            <w:pPr>
              <w:spacing w:after="0"/>
              <w:rPr>
                <w:sz w:val="7"/>
                <w:szCs w:val="7"/>
                <w:color w:val="auto"/>
              </w:rPr>
            </w:pPr>
          </w:p>
        </w:tc>
        <w:tc>
          <w:tcPr>
            <w:tcW w:w="280" w:type="dxa"/>
            <w:vAlign w:val="bottom"/>
            <w:tcBorders>
              <w:bottom w:val="single" w:sz="8" w:color="8590A9"/>
            </w:tcBorders>
          </w:tcPr>
          <w:p>
            <w:pPr>
              <w:spacing w:after="0"/>
              <w:rPr>
                <w:sz w:val="7"/>
                <w:szCs w:val="7"/>
                <w:color w:val="auto"/>
              </w:rPr>
            </w:pPr>
          </w:p>
        </w:tc>
        <w:tc>
          <w:tcPr>
            <w:tcW w:w="1480" w:type="dxa"/>
            <w:vAlign w:val="bottom"/>
            <w:tcBorders>
              <w:bottom w:val="single" w:sz="8" w:color="8590A9"/>
            </w:tcBorders>
            <w:vMerge w:val="continue"/>
          </w:tcPr>
          <w:p>
            <w:pPr>
              <w:spacing w:after="0"/>
              <w:rPr>
                <w:sz w:val="7"/>
                <w:szCs w:val="7"/>
                <w:color w:val="auto"/>
              </w:rPr>
            </w:pPr>
          </w:p>
        </w:tc>
        <w:tc>
          <w:tcPr>
            <w:tcW w:w="1500" w:type="dxa"/>
            <w:vAlign w:val="bottom"/>
            <w:tcBorders>
              <w:bottom w:val="single" w:sz="8" w:color="8590A9"/>
            </w:tcBorders>
          </w:tcPr>
          <w:p>
            <w:pPr>
              <w:spacing w:after="0"/>
              <w:rPr>
                <w:sz w:val="7"/>
                <w:szCs w:val="7"/>
                <w:color w:val="auto"/>
              </w:rPr>
            </w:pPr>
          </w:p>
        </w:tc>
        <w:tc>
          <w:tcPr>
            <w:tcW w:w="1540" w:type="dxa"/>
            <w:vAlign w:val="bottom"/>
            <w:tcBorders>
              <w:bottom w:val="single" w:sz="8" w:color="8590A9"/>
            </w:tcBorders>
          </w:tcPr>
          <w:p>
            <w:pPr>
              <w:spacing w:after="0"/>
              <w:rPr>
                <w:sz w:val="7"/>
                <w:szCs w:val="7"/>
                <w:color w:val="auto"/>
              </w:rPr>
            </w:pPr>
          </w:p>
        </w:tc>
        <w:tc>
          <w:tcPr>
            <w:tcW w:w="6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300" w:type="dxa"/>
            <w:vAlign w:val="bottom"/>
            <w:gridSpan w:val="2"/>
            <w:vMerge w:val="restart"/>
          </w:tcPr>
          <w:p>
            <w:pPr>
              <w:ind w:left="14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Retesting feature allows for</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15"/>
                <w:szCs w:val="15"/>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Strengthens rigor of</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48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Eliminated retesting</w:t>
            </w:r>
          </w:p>
        </w:tc>
        <w:tc>
          <w:tcPr>
            <w:tcW w:w="150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President - Mathias</w:t>
            </w:r>
          </w:p>
        </w:tc>
        <w:tc>
          <w:tcPr>
            <w:tcW w:w="154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2019 onward</w:t>
            </w:r>
          </w:p>
        </w:tc>
        <w:tc>
          <w:tcPr>
            <w:tcW w:w="6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multiple vesting opportunities</w:t>
            </w:r>
          </w:p>
        </w:tc>
        <w:tc>
          <w:tcPr>
            <w:tcW w:w="2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performance-based equity</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CLO &amp; GC - Levine</w:t>
            </w: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tcPr>
          <w:p>
            <w:pPr>
              <w:spacing w:after="0"/>
              <w:rPr>
                <w:sz w:val="7"/>
                <w:szCs w:val="7"/>
                <w:color w:val="auto"/>
              </w:rPr>
            </w:pPr>
          </w:p>
        </w:tc>
        <w:tc>
          <w:tcPr>
            <w:tcW w:w="280" w:type="dxa"/>
            <w:vAlign w:val="bottom"/>
            <w:tcBorders>
              <w:bottom w:val="single" w:sz="8" w:color="8590A9"/>
            </w:tcBorders>
          </w:tcPr>
          <w:p>
            <w:pPr>
              <w:spacing w:after="0"/>
              <w:rPr>
                <w:sz w:val="7"/>
                <w:szCs w:val="7"/>
                <w:color w:val="auto"/>
              </w:rPr>
            </w:pPr>
          </w:p>
        </w:tc>
        <w:tc>
          <w:tcPr>
            <w:tcW w:w="1480" w:type="dxa"/>
            <w:vAlign w:val="bottom"/>
            <w:tcBorders>
              <w:bottom w:val="single" w:sz="8" w:color="8590A9"/>
            </w:tcBorders>
          </w:tcPr>
          <w:p>
            <w:pPr>
              <w:spacing w:after="0"/>
              <w:rPr>
                <w:sz w:val="7"/>
                <w:szCs w:val="7"/>
                <w:color w:val="auto"/>
              </w:rPr>
            </w:pPr>
          </w:p>
        </w:tc>
        <w:tc>
          <w:tcPr>
            <w:tcW w:w="1500" w:type="dxa"/>
            <w:vAlign w:val="bottom"/>
            <w:tcBorders>
              <w:bottom w:val="single" w:sz="8" w:color="8590A9"/>
            </w:tcBorders>
            <w:vMerge w:val="continue"/>
          </w:tcPr>
          <w:p>
            <w:pPr>
              <w:spacing w:after="0"/>
              <w:rPr>
                <w:sz w:val="7"/>
                <w:szCs w:val="7"/>
                <w:color w:val="auto"/>
              </w:rPr>
            </w:pPr>
          </w:p>
        </w:tc>
        <w:tc>
          <w:tcPr>
            <w:tcW w:w="1540" w:type="dxa"/>
            <w:vAlign w:val="bottom"/>
            <w:tcBorders>
              <w:bottom w:val="single" w:sz="8" w:color="8590A9"/>
            </w:tcBorders>
          </w:tcPr>
          <w:p>
            <w:pPr>
              <w:spacing w:after="0"/>
              <w:rPr>
                <w:sz w:val="7"/>
                <w:szCs w:val="7"/>
                <w:color w:val="auto"/>
              </w:rPr>
            </w:pPr>
          </w:p>
        </w:tc>
        <w:tc>
          <w:tcPr>
            <w:tcW w:w="6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rPr>
              <w:t>50% LTIP units</w:t>
            </w: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earned based on</w:t>
            </w: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0" w:type="dxa"/>
            <w:vAlign w:val="bottom"/>
            <w:gridSpan w:val="2"/>
            <w:vMerge w:val="restart"/>
          </w:tcPr>
          <w:p>
            <w:pPr>
              <w:ind w:left="4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Strengthens pay-for-</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annual operating</w:t>
            </w: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tcPr>
          <w:p>
            <w:pPr>
              <w:ind w:left="180"/>
              <w:spacing w:after="0"/>
              <w:rPr>
                <w:sz w:val="20"/>
                <w:szCs w:val="20"/>
                <w:color w:val="auto"/>
              </w:rPr>
            </w:pPr>
            <w:r>
              <w:rPr>
                <w:rFonts w:ascii="Arial" w:cs="Arial" w:eastAsia="Arial" w:hAnsi="Arial"/>
                <w:sz w:val="18"/>
                <w:szCs w:val="18"/>
                <w:b w:val="1"/>
                <w:bCs w:val="1"/>
                <w:color w:val="345988"/>
              </w:rPr>
              <w:t>Long-Term</w:t>
            </w:r>
          </w:p>
        </w:tc>
        <w:tc>
          <w:tcPr>
            <w:tcW w:w="300" w:type="dxa"/>
            <w:vAlign w:val="bottom"/>
            <w:vMerge w:val="continue"/>
          </w:tcPr>
          <w:p>
            <w:pPr>
              <w:spacing w:after="0"/>
              <w:rPr>
                <w:sz w:val="7"/>
                <w:szCs w:val="7"/>
                <w:color w:val="auto"/>
              </w:rPr>
            </w:pPr>
          </w:p>
        </w:tc>
        <w:tc>
          <w:tcPr>
            <w:tcW w:w="200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Performance period for</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performance link</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color w:val="auto"/>
              </w:rPr>
              <w:t>goals, subject to 3</w:t>
            </w:r>
          </w:p>
        </w:tc>
        <w:tc>
          <w:tcPr>
            <w:tcW w:w="15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345988"/>
              </w:rPr>
              <w:t>●</w:t>
            </w: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rPr>
              <w:t>performance units should be</w:t>
            </w:r>
          </w:p>
        </w:tc>
        <w:tc>
          <w:tcPr>
            <w:tcW w:w="2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00" w:type="dxa"/>
            <w:vAlign w:val="bottom"/>
          </w:tcPr>
          <w:p>
            <w:pPr>
              <w:ind w:left="60"/>
              <w:spacing w:after="0" w:line="123" w:lineRule="exact"/>
              <w:rPr>
                <w:sz w:val="20"/>
                <w:szCs w:val="20"/>
                <w:color w:val="auto"/>
              </w:rPr>
            </w:pPr>
            <w:r>
              <w:rPr>
                <w:rFonts w:ascii="Arial" w:cs="Arial" w:eastAsia="Arial" w:hAnsi="Arial"/>
                <w:sz w:val="14"/>
                <w:szCs w:val="14"/>
                <w:color w:val="auto"/>
              </w:rPr>
              <w:t>President - Mathias</w:t>
            </w:r>
          </w:p>
        </w:tc>
        <w:tc>
          <w:tcPr>
            <w:tcW w:w="1540" w:type="dxa"/>
            <w:vAlign w:val="bottom"/>
          </w:tcPr>
          <w:p>
            <w:pPr>
              <w:ind w:left="260"/>
              <w:spacing w:after="0" w:line="123" w:lineRule="exact"/>
              <w:rPr>
                <w:sz w:val="20"/>
                <w:szCs w:val="20"/>
                <w:color w:val="auto"/>
              </w:rPr>
            </w:pPr>
            <w:r>
              <w:rPr>
                <w:rFonts w:ascii="Arial" w:cs="Arial" w:eastAsia="Arial" w:hAnsi="Arial"/>
                <w:sz w:val="14"/>
                <w:szCs w:val="14"/>
                <w:color w:val="auto"/>
              </w:rPr>
              <w:t>2019 onward</w:t>
            </w:r>
          </w:p>
        </w:tc>
        <w:tc>
          <w:tcPr>
            <w:tcW w:w="600" w:type="dxa"/>
            <w:vAlign w:val="bottom"/>
            <w:vMerge w:val="continue"/>
          </w:tcPr>
          <w:p>
            <w:pPr>
              <w:spacing w:after="0"/>
              <w:rPr>
                <w:sz w:val="10"/>
                <w:szCs w:val="10"/>
                <w:color w:val="auto"/>
              </w:rPr>
            </w:pP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rPr>
              <w:t>Improves long-term</w:t>
            </w:r>
          </w:p>
        </w:tc>
        <w:tc>
          <w:tcPr>
            <w:tcW w:w="0" w:type="dxa"/>
            <w:vAlign w:val="bottom"/>
          </w:tcPr>
          <w:p>
            <w:pPr>
              <w:spacing w:after="0"/>
              <w:rPr>
                <w:sz w:val="1"/>
                <w:szCs w:val="1"/>
                <w:color w:val="auto"/>
              </w:rPr>
            </w:pPr>
          </w:p>
        </w:tc>
      </w:tr>
      <w:tr>
        <w:trPr>
          <w:trHeight w:val="107"/>
        </w:trPr>
        <w:tc>
          <w:tcPr>
            <w:tcW w:w="1720" w:type="dxa"/>
            <w:vAlign w:val="bottom"/>
            <w:vMerge w:val="restart"/>
          </w:tcPr>
          <w:p>
            <w:pPr>
              <w:ind w:left="180"/>
              <w:spacing w:after="0"/>
              <w:rPr>
                <w:sz w:val="20"/>
                <w:szCs w:val="20"/>
                <w:color w:val="auto"/>
              </w:rPr>
            </w:pPr>
            <w:r>
              <w:rPr>
                <w:rFonts w:ascii="Arial" w:cs="Arial" w:eastAsia="Arial" w:hAnsi="Arial"/>
                <w:sz w:val="18"/>
                <w:szCs w:val="18"/>
                <w:b w:val="1"/>
                <w:bCs w:val="1"/>
                <w:color w:val="345988"/>
              </w:rPr>
              <w:t>Incentive</w:t>
            </w:r>
          </w:p>
        </w:tc>
        <w:tc>
          <w:tcPr>
            <w:tcW w:w="300" w:type="dxa"/>
            <w:vAlign w:val="bottom"/>
          </w:tcPr>
          <w:p>
            <w:pPr>
              <w:spacing w:after="0"/>
              <w:rPr>
                <w:sz w:val="9"/>
                <w:szCs w:val="9"/>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longer than one year</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100"/>
              <w:spacing w:after="0" w:line="107" w:lineRule="exact"/>
              <w:rPr>
                <w:sz w:val="20"/>
                <w:szCs w:val="20"/>
                <w:color w:val="auto"/>
              </w:rPr>
            </w:pPr>
            <w:r>
              <w:rPr>
                <w:rFonts w:ascii="Arial" w:cs="Arial" w:eastAsia="Arial" w:hAnsi="Arial"/>
                <w:sz w:val="12"/>
                <w:szCs w:val="12"/>
                <w:color w:val="auto"/>
              </w:rPr>
              <w:t>year absolute TSR</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CLO &amp; GC - Levine</w:t>
            </w:r>
          </w:p>
        </w:tc>
        <w:tc>
          <w:tcPr>
            <w:tcW w:w="1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alignment of executives’</w:t>
            </w: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480" w:type="dxa"/>
            <w:vAlign w:val="bottom"/>
          </w:tcPr>
          <w:p>
            <w:pPr>
              <w:ind w:left="80"/>
              <w:spacing w:after="0" w:line="123" w:lineRule="exact"/>
              <w:rPr>
                <w:sz w:val="20"/>
                <w:szCs w:val="20"/>
                <w:color w:val="auto"/>
              </w:rPr>
            </w:pPr>
            <w:r>
              <w:rPr>
                <w:rFonts w:ascii="Arial" w:cs="Arial" w:eastAsia="Arial" w:hAnsi="Arial"/>
                <w:sz w:val="14"/>
                <w:szCs w:val="14"/>
                <w:color w:val="auto"/>
              </w:rPr>
              <w:t>50% LTIP units</w:t>
            </w:r>
          </w:p>
        </w:tc>
        <w:tc>
          <w:tcPr>
            <w:tcW w:w="15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color w:val="auto"/>
              </w:rPr>
              <w:t>earned based on 3-</w:t>
            </w: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interests</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720" w:type="dxa"/>
            <w:vAlign w:val="bottom"/>
          </w:tcPr>
          <w:p>
            <w:pPr>
              <w:spacing w:after="0"/>
              <w:rPr>
                <w:sz w:val="14"/>
                <w:szCs w:val="14"/>
                <w:color w:val="auto"/>
              </w:rPr>
            </w:pPr>
          </w:p>
        </w:tc>
        <w:tc>
          <w:tcPr>
            <w:tcW w:w="300" w:type="dxa"/>
            <w:vAlign w:val="bottom"/>
            <w:tcBorders>
              <w:bottom w:val="single" w:sz="8" w:color="8590A9"/>
            </w:tcBorders>
          </w:tcPr>
          <w:p>
            <w:pPr>
              <w:spacing w:after="0"/>
              <w:rPr>
                <w:sz w:val="14"/>
                <w:szCs w:val="14"/>
                <w:color w:val="auto"/>
              </w:rPr>
            </w:pPr>
          </w:p>
        </w:tc>
        <w:tc>
          <w:tcPr>
            <w:tcW w:w="2000" w:type="dxa"/>
            <w:vAlign w:val="bottom"/>
            <w:tcBorders>
              <w:bottom w:val="single" w:sz="8" w:color="8590A9"/>
            </w:tcBorders>
          </w:tcPr>
          <w:p>
            <w:pPr>
              <w:spacing w:after="0"/>
              <w:rPr>
                <w:sz w:val="14"/>
                <w:szCs w:val="14"/>
                <w:color w:val="auto"/>
              </w:rPr>
            </w:pPr>
          </w:p>
        </w:tc>
        <w:tc>
          <w:tcPr>
            <w:tcW w:w="280" w:type="dxa"/>
            <w:vAlign w:val="bottom"/>
            <w:tcBorders>
              <w:bottom w:val="single" w:sz="8" w:color="8590A9"/>
            </w:tcBorders>
          </w:tcPr>
          <w:p>
            <w:pPr>
              <w:spacing w:after="0"/>
              <w:rPr>
                <w:sz w:val="14"/>
                <w:szCs w:val="14"/>
                <w:color w:val="auto"/>
              </w:rPr>
            </w:pPr>
          </w:p>
        </w:tc>
        <w:tc>
          <w:tcPr>
            <w:tcW w:w="1480" w:type="dxa"/>
            <w:vAlign w:val="bottom"/>
            <w:tcBorders>
              <w:bottom w:val="single" w:sz="8" w:color="8590A9"/>
            </w:tcBorders>
          </w:tcPr>
          <w:p>
            <w:pPr>
              <w:ind w:left="100"/>
              <w:spacing w:after="0"/>
              <w:rPr>
                <w:sz w:val="20"/>
                <w:szCs w:val="20"/>
                <w:color w:val="auto"/>
              </w:rPr>
            </w:pPr>
            <w:r>
              <w:rPr>
                <w:rFonts w:ascii="Arial" w:cs="Arial" w:eastAsia="Arial" w:hAnsi="Arial"/>
                <w:sz w:val="14"/>
                <w:szCs w:val="14"/>
                <w:color w:val="auto"/>
              </w:rPr>
              <w:t>year relative TSR</w:t>
            </w:r>
          </w:p>
        </w:tc>
        <w:tc>
          <w:tcPr>
            <w:tcW w:w="1500" w:type="dxa"/>
            <w:vAlign w:val="bottom"/>
            <w:tcBorders>
              <w:bottom w:val="single" w:sz="8" w:color="8590A9"/>
            </w:tcBorders>
          </w:tcPr>
          <w:p>
            <w:pPr>
              <w:spacing w:after="0"/>
              <w:rPr>
                <w:sz w:val="14"/>
                <w:szCs w:val="14"/>
                <w:color w:val="auto"/>
              </w:rPr>
            </w:pPr>
          </w:p>
        </w:tc>
        <w:tc>
          <w:tcPr>
            <w:tcW w:w="1540" w:type="dxa"/>
            <w:vAlign w:val="bottom"/>
            <w:tcBorders>
              <w:bottom w:val="single" w:sz="8" w:color="8590A9"/>
            </w:tcBorders>
          </w:tcPr>
          <w:p>
            <w:pPr>
              <w:spacing w:after="0"/>
              <w:rPr>
                <w:sz w:val="14"/>
                <w:szCs w:val="14"/>
                <w:color w:val="auto"/>
              </w:rPr>
            </w:pPr>
          </w:p>
        </w:tc>
        <w:tc>
          <w:tcPr>
            <w:tcW w:w="600" w:type="dxa"/>
            <w:vAlign w:val="bottom"/>
            <w:tcBorders>
              <w:bottom w:val="single" w:sz="8" w:color="8590A9"/>
            </w:tcBorders>
          </w:tcPr>
          <w:p>
            <w:pPr>
              <w:spacing w:after="0"/>
              <w:rPr>
                <w:sz w:val="14"/>
                <w:szCs w:val="14"/>
                <w:color w:val="auto"/>
              </w:rPr>
            </w:pPr>
          </w:p>
        </w:tc>
        <w:tc>
          <w:tcPr>
            <w:tcW w:w="2000" w:type="dxa"/>
            <w:vAlign w:val="bottom"/>
            <w:tcBorders>
              <w:bottom w:val="single" w:sz="8" w:color="8590A9"/>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Contracts guarantee equity</w:t>
            </w: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w w:val="99"/>
              </w:rPr>
              <w:t>New contracts replace</w:t>
            </w:r>
          </w:p>
        </w:tc>
        <w:tc>
          <w:tcPr>
            <w:tcW w:w="1500" w:type="dxa"/>
            <w:vAlign w:val="bottom"/>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18"/>
                <w:szCs w:val="18"/>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Eliminates contractual</w:t>
            </w: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ind w:left="100"/>
              <w:spacing w:after="0" w:line="107" w:lineRule="exact"/>
              <w:rPr>
                <w:sz w:val="20"/>
                <w:szCs w:val="20"/>
                <w:color w:val="auto"/>
              </w:rPr>
            </w:pPr>
            <w:r>
              <w:rPr>
                <w:rFonts w:ascii="Arial" w:cs="Arial" w:eastAsia="Arial" w:hAnsi="Arial"/>
                <w:sz w:val="12"/>
                <w:szCs w:val="12"/>
                <w:color w:val="auto"/>
              </w:rPr>
              <w:t>contractual</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President - Mathias</w:t>
            </w:r>
          </w:p>
        </w:tc>
        <w:tc>
          <w:tcPr>
            <w:tcW w:w="1540" w:type="dxa"/>
            <w:vAlign w:val="bottom"/>
            <w:vMerge w:val="restart"/>
          </w:tcPr>
          <w:p>
            <w:pPr>
              <w:ind w:left="260"/>
              <w:spacing w:after="0"/>
              <w:rPr>
                <w:sz w:val="20"/>
                <w:szCs w:val="20"/>
                <w:color w:val="auto"/>
              </w:rPr>
            </w:pPr>
            <w:r>
              <w:rPr>
                <w:rFonts w:ascii="Arial" w:cs="Arial" w:eastAsia="Arial" w:hAnsi="Arial"/>
                <w:sz w:val="14"/>
                <w:szCs w:val="14"/>
                <w:color w:val="auto"/>
              </w:rPr>
              <w:t>2019 onward</w:t>
            </w:r>
          </w:p>
        </w:tc>
        <w:tc>
          <w:tcPr>
            <w:tcW w:w="60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grants on multi-year basis</w:t>
            </w:r>
          </w:p>
        </w:tc>
        <w:tc>
          <w:tcPr>
            <w:tcW w:w="280" w:type="dxa"/>
            <w:vAlign w:val="bottom"/>
          </w:tcPr>
          <w:p>
            <w:pPr>
              <w:spacing w:after="0"/>
              <w:rPr>
                <w:sz w:val="5"/>
                <w:szCs w:val="5"/>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color w:val="auto"/>
                <w:w w:val="98"/>
              </w:rPr>
              <w:t>guarantees with target</w:t>
            </w:r>
          </w:p>
        </w:tc>
        <w:tc>
          <w:tcPr>
            <w:tcW w:w="15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guarantees</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00" w:type="dxa"/>
            <w:vAlign w:val="bottom"/>
          </w:tcPr>
          <w:p>
            <w:pPr>
              <w:ind w:left="60"/>
              <w:spacing w:after="0" w:line="123" w:lineRule="exact"/>
              <w:rPr>
                <w:sz w:val="20"/>
                <w:szCs w:val="20"/>
                <w:color w:val="auto"/>
              </w:rPr>
            </w:pPr>
            <w:r>
              <w:rPr>
                <w:rFonts w:ascii="Arial" w:cs="Arial" w:eastAsia="Arial" w:hAnsi="Arial"/>
                <w:sz w:val="14"/>
                <w:szCs w:val="14"/>
                <w:color w:val="auto"/>
              </w:rPr>
              <w:t>CLO &amp; GC - Levine</w:t>
            </w: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Borders>
              <w:bottom w:val="single" w:sz="8" w:color="8590A9"/>
            </w:tcBorders>
          </w:tcPr>
          <w:p>
            <w:pPr>
              <w:spacing w:after="0"/>
              <w:rPr>
                <w:sz w:val="11"/>
                <w:szCs w:val="11"/>
                <w:color w:val="auto"/>
              </w:rPr>
            </w:pPr>
          </w:p>
        </w:tc>
        <w:tc>
          <w:tcPr>
            <w:tcW w:w="300" w:type="dxa"/>
            <w:vAlign w:val="bottom"/>
            <w:tcBorders>
              <w:bottom w:val="single" w:sz="8" w:color="8590A9"/>
            </w:tcBorders>
          </w:tcPr>
          <w:p>
            <w:pPr>
              <w:spacing w:after="0"/>
              <w:rPr>
                <w:sz w:val="11"/>
                <w:szCs w:val="11"/>
                <w:color w:val="auto"/>
              </w:rPr>
            </w:pPr>
          </w:p>
        </w:tc>
        <w:tc>
          <w:tcPr>
            <w:tcW w:w="2000" w:type="dxa"/>
            <w:vAlign w:val="bottom"/>
            <w:tcBorders>
              <w:bottom w:val="single" w:sz="8" w:color="8590A9"/>
            </w:tcBorders>
          </w:tcPr>
          <w:p>
            <w:pPr>
              <w:spacing w:after="0"/>
              <w:rPr>
                <w:sz w:val="11"/>
                <w:szCs w:val="11"/>
                <w:color w:val="auto"/>
              </w:rPr>
            </w:pPr>
          </w:p>
        </w:tc>
        <w:tc>
          <w:tcPr>
            <w:tcW w:w="280" w:type="dxa"/>
            <w:vAlign w:val="bottom"/>
            <w:tcBorders>
              <w:bottom w:val="single" w:sz="8" w:color="8590A9"/>
            </w:tcBorders>
          </w:tcPr>
          <w:p>
            <w:pPr>
              <w:spacing w:after="0"/>
              <w:rPr>
                <w:sz w:val="11"/>
                <w:szCs w:val="11"/>
                <w:color w:val="auto"/>
              </w:rPr>
            </w:pPr>
          </w:p>
        </w:tc>
        <w:tc>
          <w:tcPr>
            <w:tcW w:w="1480" w:type="dxa"/>
            <w:vAlign w:val="bottom"/>
            <w:tcBorders>
              <w:bottom w:val="single" w:sz="8" w:color="8590A9"/>
            </w:tcBorders>
          </w:tcPr>
          <w:p>
            <w:pPr>
              <w:ind w:left="100"/>
              <w:spacing w:after="0" w:line="135" w:lineRule="exact"/>
              <w:rPr>
                <w:sz w:val="20"/>
                <w:szCs w:val="20"/>
                <w:color w:val="auto"/>
              </w:rPr>
            </w:pPr>
            <w:r>
              <w:rPr>
                <w:rFonts w:ascii="Arial" w:cs="Arial" w:eastAsia="Arial" w:hAnsi="Arial"/>
                <w:sz w:val="14"/>
                <w:szCs w:val="14"/>
                <w:color w:val="auto"/>
              </w:rPr>
              <w:t>equity grants</w:t>
            </w:r>
          </w:p>
        </w:tc>
        <w:tc>
          <w:tcPr>
            <w:tcW w:w="1500" w:type="dxa"/>
            <w:vAlign w:val="bottom"/>
            <w:tcBorders>
              <w:bottom w:val="single" w:sz="8" w:color="8590A9"/>
            </w:tcBorders>
          </w:tcPr>
          <w:p>
            <w:pPr>
              <w:spacing w:after="0"/>
              <w:rPr>
                <w:sz w:val="11"/>
                <w:szCs w:val="11"/>
                <w:color w:val="auto"/>
              </w:rPr>
            </w:pPr>
          </w:p>
        </w:tc>
        <w:tc>
          <w:tcPr>
            <w:tcW w:w="1540" w:type="dxa"/>
            <w:vAlign w:val="bottom"/>
            <w:tcBorders>
              <w:bottom w:val="single" w:sz="8" w:color="8590A9"/>
            </w:tcBorders>
          </w:tcPr>
          <w:p>
            <w:pPr>
              <w:spacing w:after="0"/>
              <w:rPr>
                <w:sz w:val="11"/>
                <w:szCs w:val="11"/>
                <w:color w:val="auto"/>
              </w:rPr>
            </w:pPr>
          </w:p>
        </w:tc>
        <w:tc>
          <w:tcPr>
            <w:tcW w:w="600" w:type="dxa"/>
            <w:vAlign w:val="bottom"/>
            <w:tcBorders>
              <w:bottom w:val="single" w:sz="8" w:color="8590A9"/>
            </w:tcBorders>
          </w:tcPr>
          <w:p>
            <w:pPr>
              <w:spacing w:after="0"/>
              <w:rPr>
                <w:sz w:val="11"/>
                <w:szCs w:val="11"/>
                <w:color w:val="auto"/>
              </w:rPr>
            </w:pPr>
          </w:p>
        </w:tc>
        <w:tc>
          <w:tcPr>
            <w:tcW w:w="2000" w:type="dxa"/>
            <w:vAlign w:val="bottom"/>
            <w:tcBorders>
              <w:bottom w:val="single" w:sz="8" w:color="8590A9"/>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Compensation program is</w:t>
            </w: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rPr>
              <w:t>Reduced elements of</w:t>
            </w: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CEO - Holliday</w:t>
            </w:r>
          </w:p>
        </w:tc>
        <w:tc>
          <w:tcPr>
            <w:tcW w:w="154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345988"/>
              </w:rPr>
              <w:t>●</w:t>
            </w:r>
          </w:p>
        </w:tc>
        <w:tc>
          <w:tcPr>
            <w:tcW w:w="2000" w:type="dxa"/>
            <w:vAlign w:val="bottom"/>
          </w:tcPr>
          <w:p>
            <w:pPr>
              <w:ind w:left="80"/>
              <w:spacing w:after="0"/>
              <w:rPr>
                <w:sz w:val="20"/>
                <w:szCs w:val="20"/>
                <w:color w:val="auto"/>
              </w:rPr>
            </w:pPr>
            <w:r>
              <w:rPr>
                <w:rFonts w:ascii="Arial" w:cs="Arial" w:eastAsia="Arial" w:hAnsi="Arial"/>
                <w:sz w:val="14"/>
                <w:szCs w:val="14"/>
                <w:color w:val="auto"/>
              </w:rPr>
              <w:t>Improves transparency to</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compensation from 7</w:t>
            </w:r>
          </w:p>
        </w:tc>
        <w:tc>
          <w:tcPr>
            <w:tcW w:w="1500" w:type="dxa"/>
            <w:vAlign w:val="bottom"/>
            <w:vMerge w:val="continue"/>
          </w:tcPr>
          <w:p>
            <w:pPr>
              <w:spacing w:after="0"/>
              <w:rPr>
                <w:sz w:val="5"/>
                <w:szCs w:val="5"/>
                <w:color w:val="auto"/>
              </w:rPr>
            </w:pPr>
          </w:p>
        </w:tc>
        <w:tc>
          <w:tcPr>
            <w:tcW w:w="154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2019 onward</w:t>
            </w:r>
          </w:p>
        </w:tc>
        <w:tc>
          <w:tcPr>
            <w:tcW w:w="600" w:type="dxa"/>
            <w:vAlign w:val="bottom"/>
          </w:tcPr>
          <w:p>
            <w:pPr>
              <w:spacing w:after="0"/>
              <w:rPr>
                <w:sz w:val="5"/>
                <w:szCs w:val="5"/>
                <w:color w:val="auto"/>
              </w:rPr>
            </w:pPr>
          </w:p>
        </w:tc>
        <w:tc>
          <w:tcPr>
            <w:tcW w:w="20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assess pay-for-performance</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complicated</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restart"/>
          </w:tcPr>
          <w:p>
            <w:pPr>
              <w:ind w:left="60"/>
              <w:spacing w:after="0"/>
              <w:rPr>
                <w:sz w:val="20"/>
                <w:szCs w:val="20"/>
                <w:color w:val="auto"/>
              </w:rPr>
            </w:pPr>
            <w:r>
              <w:rPr>
                <w:rFonts w:ascii="Arial" w:cs="Arial" w:eastAsia="Arial" w:hAnsi="Arial"/>
                <w:sz w:val="14"/>
                <w:szCs w:val="14"/>
                <w:color w:val="auto"/>
              </w:rPr>
              <w:t>President - Mathias</w:t>
            </w:r>
          </w:p>
        </w:tc>
        <w:tc>
          <w:tcPr>
            <w:tcW w:w="1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color w:val="auto"/>
              </w:rPr>
              <w:t>to 4</w:t>
            </w:r>
          </w:p>
        </w:tc>
        <w:tc>
          <w:tcPr>
            <w:tcW w:w="15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linkage</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3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tcPr>
          <w:p>
            <w:pPr>
              <w:spacing w:after="0"/>
              <w:rPr>
                <w:sz w:val="7"/>
                <w:szCs w:val="7"/>
                <w:color w:val="auto"/>
              </w:rPr>
            </w:pPr>
          </w:p>
        </w:tc>
        <w:tc>
          <w:tcPr>
            <w:tcW w:w="280" w:type="dxa"/>
            <w:vAlign w:val="bottom"/>
            <w:tcBorders>
              <w:bottom w:val="single" w:sz="8" w:color="8590A9"/>
            </w:tcBorders>
          </w:tcPr>
          <w:p>
            <w:pPr>
              <w:spacing w:after="0"/>
              <w:rPr>
                <w:sz w:val="7"/>
                <w:szCs w:val="7"/>
                <w:color w:val="auto"/>
              </w:rPr>
            </w:pPr>
          </w:p>
        </w:tc>
        <w:tc>
          <w:tcPr>
            <w:tcW w:w="1480" w:type="dxa"/>
            <w:vAlign w:val="bottom"/>
            <w:tcBorders>
              <w:bottom w:val="single" w:sz="8" w:color="8590A9"/>
            </w:tcBorders>
            <w:vMerge w:val="continue"/>
          </w:tcPr>
          <w:p>
            <w:pPr>
              <w:spacing w:after="0"/>
              <w:rPr>
                <w:sz w:val="7"/>
                <w:szCs w:val="7"/>
                <w:color w:val="auto"/>
              </w:rPr>
            </w:pPr>
          </w:p>
        </w:tc>
        <w:tc>
          <w:tcPr>
            <w:tcW w:w="1500" w:type="dxa"/>
            <w:vAlign w:val="bottom"/>
            <w:tcBorders>
              <w:bottom w:val="single" w:sz="8" w:color="8590A9"/>
            </w:tcBorders>
          </w:tcPr>
          <w:p>
            <w:pPr>
              <w:spacing w:after="0"/>
              <w:rPr>
                <w:sz w:val="7"/>
                <w:szCs w:val="7"/>
                <w:color w:val="auto"/>
              </w:rPr>
            </w:pPr>
          </w:p>
        </w:tc>
        <w:tc>
          <w:tcPr>
            <w:tcW w:w="1540" w:type="dxa"/>
            <w:vAlign w:val="bottom"/>
            <w:tcBorders>
              <w:bottom w:val="single" w:sz="8" w:color="8590A9"/>
            </w:tcBorders>
          </w:tcPr>
          <w:p>
            <w:pPr>
              <w:spacing w:after="0"/>
              <w:rPr>
                <w:sz w:val="7"/>
                <w:szCs w:val="7"/>
                <w:color w:val="auto"/>
              </w:rPr>
            </w:pPr>
          </w:p>
        </w:tc>
        <w:tc>
          <w:tcPr>
            <w:tcW w:w="600" w:type="dxa"/>
            <w:vAlign w:val="bottom"/>
            <w:tcBorders>
              <w:bottom w:val="single" w:sz="8" w:color="8590A9"/>
            </w:tcBorders>
          </w:tcPr>
          <w:p>
            <w:pPr>
              <w:spacing w:after="0"/>
              <w:rPr>
                <w:sz w:val="7"/>
                <w:szCs w:val="7"/>
                <w:color w:val="auto"/>
              </w:rPr>
            </w:pPr>
          </w:p>
        </w:tc>
        <w:tc>
          <w:tcPr>
            <w:tcW w:w="2000" w:type="dxa"/>
            <w:vAlign w:val="bottom"/>
            <w:tcBorders>
              <w:bottom w:val="single" w:sz="8" w:color="8590A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180"/>
              <w:spacing w:after="0" w:line="202" w:lineRule="exact"/>
              <w:rPr>
                <w:sz w:val="20"/>
                <w:szCs w:val="20"/>
                <w:color w:val="auto"/>
              </w:rPr>
            </w:pPr>
            <w:r>
              <w:rPr>
                <w:rFonts w:ascii="Arial" w:cs="Arial" w:eastAsia="Arial" w:hAnsi="Arial"/>
                <w:sz w:val="18"/>
                <w:szCs w:val="18"/>
                <w:b w:val="1"/>
                <w:bCs w:val="1"/>
                <w:color w:val="345988"/>
              </w:rPr>
              <w:t>Overall</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345988"/>
              </w:rPr>
              <w:t>●</w:t>
            </w:r>
          </w:p>
        </w:tc>
        <w:tc>
          <w:tcPr>
            <w:tcW w:w="1480" w:type="dxa"/>
            <w:vAlign w:val="bottom"/>
          </w:tcPr>
          <w:p>
            <w:pPr>
              <w:ind w:left="80"/>
              <w:spacing w:after="0"/>
              <w:rPr>
                <w:sz w:val="20"/>
                <w:szCs w:val="20"/>
                <w:color w:val="auto"/>
              </w:rPr>
            </w:pPr>
            <w:r>
              <w:rPr>
                <w:rFonts w:ascii="Arial" w:cs="Arial" w:eastAsia="Arial" w:hAnsi="Arial"/>
                <w:sz w:val="14"/>
                <w:szCs w:val="14"/>
                <w:color w:val="auto"/>
              </w:rPr>
              <w:t>Stephen L. Green</w:t>
            </w:r>
          </w:p>
        </w:tc>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345988"/>
              </w:rPr>
              <w:t>●</w:t>
            </w:r>
          </w:p>
        </w:tc>
        <w:tc>
          <w:tcPr>
            <w:tcW w:w="2000" w:type="dxa"/>
            <w:vAlign w:val="bottom"/>
            <w:vMerge w:val="restart"/>
          </w:tcPr>
          <w:p>
            <w:pPr>
              <w:ind w:left="60"/>
              <w:spacing w:after="0"/>
              <w:rPr>
                <w:sz w:val="20"/>
                <w:szCs w:val="20"/>
                <w:color w:val="auto"/>
              </w:rPr>
            </w:pPr>
            <w:r>
              <w:rPr>
                <w:rFonts w:ascii="Arial" w:cs="Arial" w:eastAsia="Arial" w:hAnsi="Arial"/>
                <w:sz w:val="14"/>
                <w:szCs w:val="14"/>
                <w:color w:val="auto"/>
              </w:rPr>
              <w:t>Reduce Executive Chairman</w:t>
            </w:r>
          </w:p>
        </w:tc>
        <w:tc>
          <w:tcPr>
            <w:tcW w:w="280" w:type="dxa"/>
            <w:vAlign w:val="bottom"/>
          </w:tcPr>
          <w:p>
            <w:pPr>
              <w:spacing w:after="0"/>
              <w:rPr>
                <w:sz w:val="10"/>
                <w:szCs w:val="10"/>
                <w:color w:val="auto"/>
              </w:rPr>
            </w:pPr>
          </w:p>
        </w:tc>
        <w:tc>
          <w:tcPr>
            <w:tcW w:w="1480" w:type="dxa"/>
            <w:vAlign w:val="bottom"/>
          </w:tcPr>
          <w:p>
            <w:pPr>
              <w:ind w:left="100"/>
              <w:spacing w:after="0" w:line="121" w:lineRule="exact"/>
              <w:rPr>
                <w:sz w:val="20"/>
                <w:szCs w:val="20"/>
                <w:color w:val="auto"/>
              </w:rPr>
            </w:pPr>
            <w:r>
              <w:rPr>
                <w:rFonts w:ascii="Arial" w:cs="Arial" w:eastAsia="Arial" w:hAnsi="Arial"/>
                <w:sz w:val="14"/>
                <w:szCs w:val="14"/>
                <w:color w:val="auto"/>
                <w:w w:val="99"/>
              </w:rPr>
              <w:t>transition to Chairman</w:t>
            </w:r>
          </w:p>
        </w:tc>
        <w:tc>
          <w:tcPr>
            <w:tcW w:w="15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600" w:type="dxa"/>
            <w:vAlign w:val="bottom"/>
            <w:gridSpan w:val="2"/>
            <w:vMerge w:val="restart"/>
          </w:tcPr>
          <w:p>
            <w:pPr>
              <w:ind w:left="460"/>
              <w:spacing w:after="0"/>
              <w:rPr>
                <w:sz w:val="20"/>
                <w:szCs w:val="20"/>
                <w:color w:val="auto"/>
              </w:rPr>
            </w:pPr>
            <w:r>
              <w:rPr>
                <w:rFonts w:ascii="Arial" w:cs="Arial" w:eastAsia="Arial" w:hAnsi="Arial"/>
                <w:sz w:val="13"/>
                <w:szCs w:val="13"/>
                <w:color w:val="345988"/>
              </w:rPr>
              <w:t xml:space="preserve">●   </w:t>
            </w:r>
            <w:r>
              <w:rPr>
                <w:rFonts w:ascii="Arial" w:cs="Arial" w:eastAsia="Arial" w:hAnsi="Arial"/>
                <w:sz w:val="13"/>
                <w:szCs w:val="13"/>
                <w:color w:val="000000"/>
              </w:rPr>
              <w:t>No longer compensated as</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Emeritus; no longer</w:t>
            </w:r>
          </w:p>
        </w:tc>
        <w:tc>
          <w:tcPr>
            <w:tcW w:w="1500" w:type="dxa"/>
            <w:vAlign w:val="bottom"/>
            <w:vMerge w:val="restart"/>
          </w:tcPr>
          <w:p>
            <w:pPr>
              <w:ind w:left="60"/>
              <w:spacing w:after="0" w:line="149" w:lineRule="exact"/>
              <w:rPr>
                <w:sz w:val="20"/>
                <w:szCs w:val="20"/>
                <w:color w:val="auto"/>
              </w:rPr>
            </w:pPr>
            <w:r>
              <w:rPr>
                <w:rFonts w:ascii="Arial" w:cs="Arial" w:eastAsia="Arial" w:hAnsi="Arial"/>
                <w:sz w:val="14"/>
                <w:szCs w:val="14"/>
                <w:color w:val="auto"/>
              </w:rPr>
              <w:t>Stephen L. Green</w:t>
            </w:r>
          </w:p>
        </w:tc>
        <w:tc>
          <w:tcPr>
            <w:tcW w:w="154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Jan 17, 2019</w:t>
            </w:r>
          </w:p>
        </w:tc>
        <w:tc>
          <w:tcPr>
            <w:tcW w:w="2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compensation</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restart"/>
          </w:tcPr>
          <w:p>
            <w:pPr>
              <w:ind w:left="100"/>
              <w:spacing w:after="0"/>
              <w:rPr>
                <w:sz w:val="20"/>
                <w:szCs w:val="20"/>
                <w:color w:val="auto"/>
              </w:rPr>
            </w:pPr>
            <w:r>
              <w:rPr>
                <w:rFonts w:ascii="Arial" w:cs="Arial" w:eastAsia="Arial" w:hAnsi="Arial"/>
                <w:sz w:val="14"/>
                <w:szCs w:val="14"/>
                <w:color w:val="auto"/>
              </w:rPr>
              <w:t>executive of company</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employee of the</w:t>
            </w:r>
          </w:p>
        </w:tc>
        <w:tc>
          <w:tcPr>
            <w:tcW w:w="15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-3566160</wp:posOffset>
            </wp:positionV>
            <wp:extent cx="7246620" cy="36874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4"/>
          <w:szCs w:val="14"/>
          <w:color w:val="auto"/>
        </w:rPr>
        <w:t>Company</w:t>
      </w:r>
    </w:p>
    <w:p>
      <w:pPr>
        <w:spacing w:after="0" w:line="2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Components of Compensation for CEO and President – Effective in 2019</w:t>
      </w:r>
    </w:p>
    <w:p>
      <w:pPr>
        <w:spacing w:after="0" w:line="223"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Beginning in January 2019 – when our Chief Executive Officer’s and our President’s new employment agreements became effective – their compensation was simplified with enhanced transparency and improved long-term orientation.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shd w:val="clear" w:color="auto" w:fill="345988"/>
          </w:tcPr>
          <w:p>
            <w:pPr>
              <w:spacing w:after="0"/>
              <w:rPr>
                <w:sz w:val="21"/>
                <w:szCs w:val="21"/>
                <w:color w:val="auto"/>
              </w:rPr>
            </w:pPr>
          </w:p>
        </w:tc>
        <w:tc>
          <w:tcPr>
            <w:tcW w:w="1720" w:type="dxa"/>
            <w:vAlign w:val="bottom"/>
            <w:shd w:val="clear" w:color="auto" w:fill="345988"/>
          </w:tcPr>
          <w:p>
            <w:pPr>
              <w:ind w:left="100"/>
              <w:spacing w:after="0"/>
              <w:rPr>
                <w:sz w:val="20"/>
                <w:szCs w:val="20"/>
                <w:color w:val="auto"/>
              </w:rPr>
            </w:pPr>
            <w:r>
              <w:rPr>
                <w:rFonts w:ascii="Arial" w:cs="Arial" w:eastAsia="Arial" w:hAnsi="Arial"/>
                <w:sz w:val="14"/>
                <w:szCs w:val="14"/>
                <w:b w:val="1"/>
                <w:bCs w:val="1"/>
                <w:color w:val="FFFFFF"/>
              </w:rPr>
              <w:t>Pay Element</w:t>
            </w:r>
          </w:p>
        </w:tc>
        <w:tc>
          <w:tcPr>
            <w:tcW w:w="8540" w:type="dxa"/>
            <w:vAlign w:val="bottom"/>
            <w:shd w:val="clear" w:color="auto" w:fill="345988"/>
          </w:tcPr>
          <w:p>
            <w:pPr>
              <w:ind w:left="100"/>
              <w:spacing w:after="0"/>
              <w:rPr>
                <w:sz w:val="20"/>
                <w:szCs w:val="20"/>
                <w:color w:val="auto"/>
              </w:rPr>
            </w:pPr>
            <w:r>
              <w:rPr>
                <w:rFonts w:ascii="Arial" w:cs="Arial" w:eastAsia="Arial" w:hAnsi="Arial"/>
                <w:sz w:val="14"/>
                <w:szCs w:val="14"/>
                <w:b w:val="1"/>
                <w:bCs w:val="1"/>
                <w:color w:val="FFFFFF"/>
              </w:rPr>
              <w:t>Key Changes / Characteristics</w:t>
            </w:r>
          </w:p>
        </w:tc>
        <w:tc>
          <w:tcPr>
            <w:tcW w:w="0" w:type="dxa"/>
            <w:vAlign w:val="bottom"/>
          </w:tcPr>
          <w:p>
            <w:pPr>
              <w:spacing w:after="0"/>
              <w:rPr>
                <w:sz w:val="1"/>
                <w:szCs w:val="1"/>
                <w:color w:val="auto"/>
              </w:rPr>
            </w:pPr>
          </w:p>
        </w:tc>
      </w:tr>
      <w:tr>
        <w:trPr>
          <w:trHeight w:val="270"/>
        </w:trPr>
        <w:tc>
          <w:tcPr>
            <w:tcW w:w="1160" w:type="dxa"/>
            <w:vAlign w:val="bottom"/>
            <w:tcBorders>
              <w:bottom w:val="single" w:sz="8" w:color="8590A9"/>
            </w:tcBorders>
            <w:shd w:val="clear" w:color="auto" w:fill="8590A9"/>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1720" w:type="dxa"/>
            <w:vAlign w:val="bottom"/>
            <w:tcBorders>
              <w:bottom w:val="single" w:sz="8" w:color="D0D3DB"/>
            </w:tcBorders>
            <w:shd w:val="clear" w:color="auto" w:fill="D0D3DB"/>
          </w:tcPr>
          <w:p>
            <w:pPr>
              <w:ind w:left="100"/>
              <w:spacing w:after="0"/>
              <w:rPr>
                <w:sz w:val="20"/>
                <w:szCs w:val="20"/>
                <w:color w:val="auto"/>
              </w:rPr>
            </w:pPr>
            <w:r>
              <w:rPr>
                <w:rFonts w:ascii="Arial" w:cs="Arial" w:eastAsia="Arial" w:hAnsi="Arial"/>
                <w:sz w:val="18"/>
                <w:szCs w:val="18"/>
                <w:color w:val="auto"/>
              </w:rPr>
              <w:t>Base Salary</w:t>
            </w:r>
          </w:p>
        </w:tc>
        <w:tc>
          <w:tcPr>
            <w:tcW w:w="8540" w:type="dxa"/>
            <w:vAlign w:val="bottom"/>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Only fixed component of compensation awarded to our CEO and President</w:t>
            </w:r>
          </w:p>
        </w:tc>
        <w:tc>
          <w:tcPr>
            <w:tcW w:w="0" w:type="dxa"/>
            <w:vAlign w:val="bottom"/>
          </w:tcPr>
          <w:p>
            <w:pPr>
              <w:spacing w:after="0"/>
              <w:rPr>
                <w:sz w:val="1"/>
                <w:szCs w:val="1"/>
                <w:color w:val="auto"/>
              </w:rPr>
            </w:pPr>
          </w:p>
        </w:tc>
      </w:tr>
      <w:tr>
        <w:trPr>
          <w:trHeight w:val="204"/>
        </w:trPr>
        <w:tc>
          <w:tcPr>
            <w:tcW w:w="1160" w:type="dxa"/>
            <w:vAlign w:val="bottom"/>
            <w:tcBorders>
              <w:top w:val="single" w:sz="8" w:color="959595"/>
            </w:tcBorders>
            <w:shd w:val="clear" w:color="auto" w:fill="959595"/>
          </w:tcPr>
          <w:p>
            <w:pPr>
              <w:jc w:val="center"/>
              <w:spacing w:after="0" w:line="204" w:lineRule="exact"/>
              <w:rPr>
                <w:sz w:val="20"/>
                <w:szCs w:val="20"/>
                <w:color w:val="auto"/>
              </w:rPr>
            </w:pPr>
            <w:r>
              <w:rPr>
                <w:rFonts w:ascii="Arial" w:cs="Arial" w:eastAsia="Arial" w:hAnsi="Arial"/>
                <w:sz w:val="18"/>
                <w:szCs w:val="18"/>
                <w:b w:val="1"/>
                <w:bCs w:val="1"/>
                <w:color w:val="FFFFFF"/>
                <w:w w:val="98"/>
              </w:rPr>
              <w:t>Annual</w:t>
            </w:r>
          </w:p>
        </w:tc>
        <w:tc>
          <w:tcPr>
            <w:tcW w:w="1720" w:type="dxa"/>
            <w:vAlign w:val="bottom"/>
            <w:tcBorders>
              <w:top w:val="single" w:sz="8" w:color="8590A9"/>
            </w:tcBorders>
            <w:shd w:val="clear" w:color="auto" w:fill="D6D6D6"/>
          </w:tcPr>
          <w:p>
            <w:pPr>
              <w:ind w:left="100"/>
              <w:spacing w:after="0" w:line="204" w:lineRule="exact"/>
              <w:rPr>
                <w:sz w:val="20"/>
                <w:szCs w:val="20"/>
                <w:color w:val="auto"/>
              </w:rPr>
            </w:pPr>
            <w:r>
              <w:rPr>
                <w:rFonts w:ascii="Arial" w:cs="Arial" w:eastAsia="Arial" w:hAnsi="Arial"/>
                <w:sz w:val="18"/>
                <w:szCs w:val="18"/>
                <w:color w:val="auto"/>
              </w:rPr>
              <w:t>Annual Cash</w:t>
            </w:r>
          </w:p>
        </w:tc>
        <w:tc>
          <w:tcPr>
            <w:tcW w:w="8540" w:type="dxa"/>
            <w:vAlign w:val="bottom"/>
            <w:tcBorders>
              <w:top w:val="single" w:sz="8" w:color="8590A9"/>
            </w:tcBorders>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100% formulaic based on specific performance criteria and weightings that link to our strategy; criteria</w:t>
            </w:r>
          </w:p>
        </w:tc>
        <w:tc>
          <w:tcPr>
            <w:tcW w:w="0" w:type="dxa"/>
            <w:vAlign w:val="bottom"/>
          </w:tcPr>
          <w:p>
            <w:pPr>
              <w:spacing w:after="0"/>
              <w:rPr>
                <w:sz w:val="1"/>
                <w:szCs w:val="1"/>
                <w:color w:val="auto"/>
              </w:rPr>
            </w:pPr>
          </w:p>
        </w:tc>
      </w:tr>
      <w:tr>
        <w:trPr>
          <w:trHeight w:val="255"/>
        </w:trPr>
        <w:tc>
          <w:tcPr>
            <w:tcW w:w="1160" w:type="dxa"/>
            <w:vAlign w:val="bottom"/>
            <w:tcBorders>
              <w:bottom w:val="single" w:sz="8" w:color="8590A9"/>
            </w:tcBorders>
            <w:shd w:val="clear" w:color="auto" w:fill="959595"/>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720" w:type="dxa"/>
            <w:vAlign w:val="bottom"/>
            <w:tcBorders>
              <w:bottom w:val="single" w:sz="8" w:color="8590A9"/>
            </w:tcBorders>
            <w:shd w:val="clear" w:color="auto" w:fill="D6D6D6"/>
          </w:tcPr>
          <w:p>
            <w:pPr>
              <w:ind w:left="100"/>
              <w:spacing w:after="0"/>
              <w:rPr>
                <w:sz w:val="20"/>
                <w:szCs w:val="20"/>
                <w:color w:val="auto"/>
              </w:rPr>
            </w:pPr>
            <w:r>
              <w:rPr>
                <w:rFonts w:ascii="Arial" w:cs="Arial" w:eastAsia="Arial" w:hAnsi="Arial"/>
                <w:sz w:val="18"/>
                <w:szCs w:val="18"/>
                <w:color w:val="auto"/>
              </w:rPr>
              <w:t>Bonus</w:t>
            </w:r>
          </w:p>
        </w:tc>
        <w:tc>
          <w:tcPr>
            <w:tcW w:w="8540" w:type="dxa"/>
            <w:vAlign w:val="bottom"/>
            <w:tcBorders>
              <w:bottom w:val="single" w:sz="8" w:color="8590A9"/>
            </w:tcBorders>
          </w:tcPr>
          <w:p>
            <w:pPr>
              <w:ind w:left="360"/>
              <w:spacing w:after="0"/>
              <w:rPr>
                <w:sz w:val="20"/>
                <w:szCs w:val="20"/>
                <w:color w:val="auto"/>
              </w:rPr>
            </w:pPr>
            <w:r>
              <w:rPr>
                <w:rFonts w:ascii="Arial" w:cs="Arial" w:eastAsia="Arial" w:hAnsi="Arial"/>
                <w:sz w:val="18"/>
                <w:szCs w:val="18"/>
                <w:color w:val="auto"/>
              </w:rPr>
              <w:t>and weightings were revised in 2018</w:t>
            </w:r>
          </w:p>
        </w:tc>
        <w:tc>
          <w:tcPr>
            <w:tcW w:w="0" w:type="dxa"/>
            <w:vAlign w:val="bottom"/>
          </w:tcPr>
          <w:p>
            <w:pPr>
              <w:spacing w:after="0"/>
              <w:rPr>
                <w:sz w:val="1"/>
                <w:szCs w:val="1"/>
                <w:color w:val="auto"/>
              </w:rPr>
            </w:pPr>
          </w:p>
        </w:tc>
      </w:tr>
      <w:tr>
        <w:trPr>
          <w:trHeight w:val="241"/>
        </w:trPr>
        <w:tc>
          <w:tcPr>
            <w:tcW w:w="1160" w:type="dxa"/>
            <w:vAlign w:val="bottom"/>
            <w:shd w:val="clear" w:color="auto" w:fill="8590A9"/>
          </w:tcPr>
          <w:p>
            <w:pPr>
              <w:spacing w:after="0"/>
              <w:rPr>
                <w:sz w:val="20"/>
                <w:szCs w:val="20"/>
                <w:color w:val="auto"/>
              </w:rPr>
            </w:pPr>
          </w:p>
        </w:tc>
        <w:tc>
          <w:tcPr>
            <w:tcW w:w="1720" w:type="dxa"/>
            <w:vAlign w:val="bottom"/>
            <w:vMerge w:val="restart"/>
            <w:shd w:val="clear" w:color="auto" w:fill="D0D3DB"/>
          </w:tcPr>
          <w:p>
            <w:pPr>
              <w:ind w:left="100"/>
              <w:spacing w:after="0"/>
              <w:rPr>
                <w:sz w:val="20"/>
                <w:szCs w:val="20"/>
                <w:color w:val="auto"/>
              </w:rPr>
            </w:pPr>
            <w:r>
              <w:rPr>
                <w:rFonts w:ascii="Arial" w:cs="Arial" w:eastAsia="Arial" w:hAnsi="Arial"/>
                <w:sz w:val="18"/>
                <w:szCs w:val="18"/>
                <w:color w:val="auto"/>
              </w:rPr>
              <w:t>Performance-</w:t>
            </w:r>
          </w:p>
        </w:tc>
        <w:tc>
          <w:tcPr>
            <w:tcW w:w="8540" w:type="dxa"/>
            <w:vAlign w:val="bottom"/>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50% based on performance against annual operating goals (Manhattan same store occupancy,</w:t>
            </w:r>
          </w:p>
        </w:tc>
        <w:tc>
          <w:tcPr>
            <w:tcW w:w="0" w:type="dxa"/>
            <w:vAlign w:val="bottom"/>
          </w:tcPr>
          <w:p>
            <w:pPr>
              <w:spacing w:after="0"/>
              <w:rPr>
                <w:sz w:val="1"/>
                <w:szCs w:val="1"/>
                <w:color w:val="auto"/>
              </w:rPr>
            </w:pPr>
          </w:p>
        </w:tc>
      </w:tr>
      <w:tr>
        <w:trPr>
          <w:trHeight w:val="59"/>
        </w:trPr>
        <w:tc>
          <w:tcPr>
            <w:tcW w:w="1160" w:type="dxa"/>
            <w:vAlign w:val="bottom"/>
            <w:shd w:val="clear" w:color="auto" w:fill="8590A9"/>
          </w:tcPr>
          <w:p>
            <w:pPr>
              <w:spacing w:after="0"/>
              <w:rPr>
                <w:sz w:val="5"/>
                <w:szCs w:val="5"/>
                <w:color w:val="auto"/>
              </w:rPr>
            </w:pPr>
          </w:p>
        </w:tc>
        <w:tc>
          <w:tcPr>
            <w:tcW w:w="1720" w:type="dxa"/>
            <w:vAlign w:val="bottom"/>
            <w:vMerge w:val="continue"/>
            <w:shd w:val="clear" w:color="auto" w:fill="D0D3DB"/>
          </w:tcPr>
          <w:p>
            <w:pPr>
              <w:spacing w:after="0"/>
              <w:rPr>
                <w:sz w:val="5"/>
                <w:szCs w:val="5"/>
                <w:color w:val="auto"/>
              </w:rPr>
            </w:pPr>
          </w:p>
        </w:tc>
        <w:tc>
          <w:tcPr>
            <w:tcW w:w="8540" w:type="dxa"/>
            <w:vAlign w:val="bottom"/>
            <w:vMerge w:val="restart"/>
          </w:tcPr>
          <w:p>
            <w:pPr>
              <w:ind w:left="360"/>
              <w:spacing w:after="0"/>
              <w:rPr>
                <w:sz w:val="20"/>
                <w:szCs w:val="20"/>
                <w:color w:val="auto"/>
              </w:rPr>
            </w:pPr>
            <w:r>
              <w:rPr>
                <w:rFonts w:ascii="Arial" w:cs="Arial" w:eastAsia="Arial" w:hAnsi="Arial"/>
                <w:sz w:val="18"/>
                <w:szCs w:val="18"/>
                <w:color w:val="auto"/>
                <w:w w:val="98"/>
              </w:rPr>
              <w:t>Manhattan leasing volume, debt to EBITDA and FAD) determined by the Committee, subject to modifier</w:t>
            </w:r>
          </w:p>
        </w:tc>
        <w:tc>
          <w:tcPr>
            <w:tcW w:w="0" w:type="dxa"/>
            <w:vAlign w:val="bottom"/>
          </w:tcPr>
          <w:p>
            <w:pPr>
              <w:spacing w:after="0"/>
              <w:rPr>
                <w:sz w:val="1"/>
                <w:szCs w:val="1"/>
                <w:color w:val="auto"/>
              </w:rPr>
            </w:pPr>
          </w:p>
        </w:tc>
      </w:tr>
      <w:tr>
        <w:trPr>
          <w:trHeight w:val="149"/>
        </w:trPr>
        <w:tc>
          <w:tcPr>
            <w:tcW w:w="1160" w:type="dxa"/>
            <w:vAlign w:val="bottom"/>
            <w:shd w:val="clear" w:color="auto" w:fill="8590A9"/>
          </w:tcPr>
          <w:p>
            <w:pPr>
              <w:spacing w:after="0"/>
              <w:rPr>
                <w:sz w:val="12"/>
                <w:szCs w:val="12"/>
                <w:color w:val="auto"/>
              </w:rPr>
            </w:pPr>
          </w:p>
        </w:tc>
        <w:tc>
          <w:tcPr>
            <w:tcW w:w="1720" w:type="dxa"/>
            <w:vAlign w:val="bottom"/>
            <w:vMerge w:val="restart"/>
            <w:shd w:val="clear" w:color="auto" w:fill="D0D3DB"/>
          </w:tcPr>
          <w:p>
            <w:pPr>
              <w:ind w:left="100"/>
              <w:spacing w:after="0" w:line="202" w:lineRule="exact"/>
              <w:rPr>
                <w:sz w:val="20"/>
                <w:szCs w:val="20"/>
                <w:color w:val="auto"/>
              </w:rPr>
            </w:pPr>
            <w:r>
              <w:rPr>
                <w:rFonts w:ascii="Arial" w:cs="Arial" w:eastAsia="Arial" w:hAnsi="Arial"/>
                <w:sz w:val="18"/>
                <w:szCs w:val="18"/>
                <w:color w:val="auto"/>
              </w:rPr>
              <w:t>Based LTIP Units</w:t>
            </w: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60" w:type="dxa"/>
            <w:vAlign w:val="bottom"/>
            <w:shd w:val="clear" w:color="auto" w:fill="8590A9"/>
          </w:tcPr>
          <w:p>
            <w:pPr>
              <w:spacing w:after="0"/>
              <w:rPr>
                <w:sz w:val="4"/>
                <w:szCs w:val="4"/>
                <w:color w:val="auto"/>
              </w:rPr>
            </w:pPr>
          </w:p>
        </w:tc>
        <w:tc>
          <w:tcPr>
            <w:tcW w:w="1720" w:type="dxa"/>
            <w:vAlign w:val="bottom"/>
            <w:vMerge w:val="continue"/>
            <w:shd w:val="clear" w:color="auto" w:fill="D0D3DB"/>
          </w:tcPr>
          <w:p>
            <w:pPr>
              <w:spacing w:after="0"/>
              <w:rPr>
                <w:sz w:val="4"/>
                <w:szCs w:val="4"/>
                <w:color w:val="auto"/>
              </w:rPr>
            </w:pPr>
          </w:p>
        </w:tc>
        <w:tc>
          <w:tcPr>
            <w:tcW w:w="8540" w:type="dxa"/>
            <w:vAlign w:val="bottom"/>
            <w:vMerge w:val="restart"/>
          </w:tcPr>
          <w:p>
            <w:pPr>
              <w:ind w:left="360"/>
              <w:spacing w:after="0"/>
              <w:rPr>
                <w:sz w:val="20"/>
                <w:szCs w:val="20"/>
                <w:color w:val="auto"/>
              </w:rPr>
            </w:pPr>
            <w:r>
              <w:rPr>
                <w:rFonts w:ascii="Arial" w:cs="Arial" w:eastAsia="Arial" w:hAnsi="Arial"/>
                <w:sz w:val="18"/>
                <w:szCs w:val="18"/>
                <w:color w:val="auto"/>
              </w:rPr>
              <w:t>measured on absolute TSR over three-year performance period</w:t>
            </w:r>
          </w:p>
        </w:tc>
        <w:tc>
          <w:tcPr>
            <w:tcW w:w="0" w:type="dxa"/>
            <w:vAlign w:val="bottom"/>
          </w:tcPr>
          <w:p>
            <w:pPr>
              <w:spacing w:after="0"/>
              <w:rPr>
                <w:sz w:val="1"/>
                <w:szCs w:val="1"/>
                <w:color w:val="auto"/>
              </w:rPr>
            </w:pPr>
          </w:p>
        </w:tc>
      </w:tr>
      <w:tr>
        <w:trPr>
          <w:trHeight w:val="203"/>
        </w:trPr>
        <w:tc>
          <w:tcPr>
            <w:tcW w:w="1160" w:type="dxa"/>
            <w:vAlign w:val="bottom"/>
            <w:shd w:val="clear" w:color="auto" w:fill="8590A9"/>
          </w:tcPr>
          <w:p>
            <w:pPr>
              <w:spacing w:after="0"/>
              <w:rPr>
                <w:sz w:val="17"/>
                <w:szCs w:val="17"/>
                <w:color w:val="auto"/>
              </w:rPr>
            </w:pPr>
          </w:p>
        </w:tc>
        <w:tc>
          <w:tcPr>
            <w:tcW w:w="1720" w:type="dxa"/>
            <w:vAlign w:val="bottom"/>
            <w:shd w:val="clear" w:color="auto" w:fill="D0D3DB"/>
          </w:tcPr>
          <w:p>
            <w:pPr>
              <w:ind w:left="100"/>
              <w:spacing w:after="0" w:line="202" w:lineRule="exact"/>
              <w:rPr>
                <w:sz w:val="20"/>
                <w:szCs w:val="20"/>
                <w:color w:val="auto"/>
              </w:rPr>
            </w:pPr>
            <w:r>
              <w:rPr>
                <w:rFonts w:ascii="Arial" w:cs="Arial" w:eastAsia="Arial" w:hAnsi="Arial"/>
                <w:sz w:val="18"/>
                <w:szCs w:val="18"/>
                <w:color w:val="auto"/>
              </w:rPr>
              <w:t>(approximately</w:t>
            </w:r>
          </w:p>
        </w:tc>
        <w:tc>
          <w:tcPr>
            <w:tcW w:w="8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160" w:type="dxa"/>
            <w:vAlign w:val="bottom"/>
            <w:tcBorders>
              <w:bottom w:val="single" w:sz="8" w:color="8590A9"/>
            </w:tcBorders>
            <w:shd w:val="clear" w:color="auto" w:fill="8590A9"/>
          </w:tcPr>
          <w:p>
            <w:pPr>
              <w:jc w:val="center"/>
              <w:spacing w:after="0"/>
              <w:rPr>
                <w:sz w:val="20"/>
                <w:szCs w:val="20"/>
                <w:color w:val="auto"/>
              </w:rPr>
            </w:pPr>
            <w:r>
              <w:rPr>
                <w:rFonts w:ascii="Arial" w:cs="Arial" w:eastAsia="Arial" w:hAnsi="Arial"/>
                <w:sz w:val="18"/>
                <w:szCs w:val="18"/>
                <w:b w:val="1"/>
                <w:bCs w:val="1"/>
                <w:color w:val="FFFFFF"/>
                <w:w w:val="95"/>
              </w:rPr>
              <w:t>Long-Term</w:t>
            </w:r>
          </w:p>
        </w:tc>
        <w:tc>
          <w:tcPr>
            <w:tcW w:w="1720" w:type="dxa"/>
            <w:vAlign w:val="bottom"/>
            <w:tcBorders>
              <w:bottom w:val="single" w:sz="8" w:color="8590A9"/>
            </w:tcBorders>
            <w:shd w:val="clear" w:color="auto" w:fill="D0D3DB"/>
          </w:tcPr>
          <w:p>
            <w:pPr>
              <w:ind w:left="100"/>
              <w:spacing w:after="0"/>
              <w:rPr>
                <w:sz w:val="20"/>
                <w:szCs w:val="20"/>
                <w:color w:val="auto"/>
              </w:rPr>
            </w:pPr>
            <w:r>
              <w:rPr>
                <w:rFonts w:ascii="Arial" w:cs="Arial" w:eastAsia="Arial" w:hAnsi="Arial"/>
                <w:sz w:val="18"/>
                <w:szCs w:val="18"/>
                <w:color w:val="auto"/>
              </w:rPr>
              <w:t>63% of total)</w:t>
            </w:r>
          </w:p>
        </w:tc>
        <w:tc>
          <w:tcPr>
            <w:tcW w:w="8540" w:type="dxa"/>
            <w:vAlign w:val="bottom"/>
            <w:tcBorders>
              <w:bottom w:val="single" w:sz="8" w:color="8590A9"/>
            </w:tcBorders>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50% based on relative TSR over three-year performance period</w:t>
            </w:r>
          </w:p>
        </w:tc>
        <w:tc>
          <w:tcPr>
            <w:tcW w:w="0" w:type="dxa"/>
            <w:vAlign w:val="bottom"/>
          </w:tcPr>
          <w:p>
            <w:pPr>
              <w:spacing w:after="0"/>
              <w:rPr>
                <w:sz w:val="1"/>
                <w:szCs w:val="1"/>
                <w:color w:val="auto"/>
              </w:rPr>
            </w:pPr>
          </w:p>
        </w:tc>
      </w:tr>
      <w:tr>
        <w:trPr>
          <w:trHeight w:val="235"/>
        </w:trPr>
        <w:tc>
          <w:tcPr>
            <w:tcW w:w="1160" w:type="dxa"/>
            <w:vAlign w:val="bottom"/>
            <w:shd w:val="clear" w:color="auto" w:fill="8590A9"/>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720" w:type="dxa"/>
            <w:vAlign w:val="bottom"/>
            <w:vMerge w:val="restart"/>
            <w:shd w:val="clear" w:color="auto" w:fill="D0D3DB"/>
          </w:tcPr>
          <w:p>
            <w:pPr>
              <w:ind w:left="100"/>
              <w:spacing w:after="0"/>
              <w:rPr>
                <w:sz w:val="20"/>
                <w:szCs w:val="20"/>
                <w:color w:val="auto"/>
              </w:rPr>
            </w:pPr>
            <w:r>
              <w:rPr>
                <w:rFonts w:ascii="Arial" w:cs="Arial" w:eastAsia="Arial" w:hAnsi="Arial"/>
                <w:sz w:val="18"/>
                <w:szCs w:val="18"/>
                <w:color w:val="auto"/>
              </w:rPr>
              <w:t>Time-Based Equity</w:t>
            </w:r>
          </w:p>
        </w:tc>
        <w:tc>
          <w:tcPr>
            <w:tcW w:w="8540" w:type="dxa"/>
            <w:vAlign w:val="bottom"/>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Annual target amount disclosed in connection with new contracts</w:t>
            </w:r>
          </w:p>
        </w:tc>
        <w:tc>
          <w:tcPr>
            <w:tcW w:w="0" w:type="dxa"/>
            <w:vAlign w:val="bottom"/>
          </w:tcPr>
          <w:p>
            <w:pPr>
              <w:spacing w:after="0"/>
              <w:rPr>
                <w:sz w:val="1"/>
                <w:szCs w:val="1"/>
                <w:color w:val="auto"/>
              </w:rPr>
            </w:pPr>
          </w:p>
        </w:tc>
      </w:tr>
      <w:tr>
        <w:trPr>
          <w:trHeight w:val="59"/>
        </w:trPr>
        <w:tc>
          <w:tcPr>
            <w:tcW w:w="1160" w:type="dxa"/>
            <w:vAlign w:val="bottom"/>
            <w:shd w:val="clear" w:color="auto" w:fill="8590A9"/>
          </w:tcPr>
          <w:p>
            <w:pPr>
              <w:spacing w:after="0"/>
              <w:rPr>
                <w:sz w:val="5"/>
                <w:szCs w:val="5"/>
                <w:color w:val="auto"/>
              </w:rPr>
            </w:pPr>
          </w:p>
        </w:tc>
        <w:tc>
          <w:tcPr>
            <w:tcW w:w="1720" w:type="dxa"/>
            <w:vAlign w:val="bottom"/>
            <w:vMerge w:val="continue"/>
            <w:shd w:val="clear" w:color="auto" w:fill="D0D3DB"/>
          </w:tcPr>
          <w:p>
            <w:pPr>
              <w:spacing w:after="0"/>
              <w:rPr>
                <w:sz w:val="5"/>
                <w:szCs w:val="5"/>
                <w:color w:val="auto"/>
              </w:rPr>
            </w:pPr>
          </w:p>
        </w:tc>
        <w:tc>
          <w:tcPr>
            <w:tcW w:w="8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8590A9"/>
          </w:tcPr>
          <w:p>
            <w:pPr>
              <w:spacing w:after="0"/>
              <w:rPr>
                <w:sz w:val="18"/>
                <w:szCs w:val="18"/>
                <w:color w:val="auto"/>
              </w:rPr>
            </w:pPr>
          </w:p>
        </w:tc>
        <w:tc>
          <w:tcPr>
            <w:tcW w:w="1720" w:type="dxa"/>
            <w:vAlign w:val="bottom"/>
            <w:shd w:val="clear" w:color="auto" w:fill="D0D3DB"/>
          </w:tcPr>
          <w:p>
            <w:pPr>
              <w:ind w:left="100"/>
              <w:spacing w:after="0"/>
              <w:rPr>
                <w:sz w:val="20"/>
                <w:szCs w:val="20"/>
                <w:color w:val="auto"/>
              </w:rPr>
            </w:pPr>
            <w:r>
              <w:rPr>
                <w:rFonts w:ascii="Arial" w:cs="Arial" w:eastAsia="Arial" w:hAnsi="Arial"/>
                <w:sz w:val="18"/>
                <w:szCs w:val="18"/>
                <w:color w:val="auto"/>
              </w:rPr>
              <w:t>Award</w:t>
            </w:r>
          </w:p>
        </w:tc>
        <w:tc>
          <w:tcPr>
            <w:tcW w:w="8540" w:type="dxa"/>
            <w:vAlign w:val="bottom"/>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Adjustments to target amount to be determined by the Committee, based on the short-term and long-</w:t>
            </w:r>
          </w:p>
        </w:tc>
        <w:tc>
          <w:tcPr>
            <w:tcW w:w="0" w:type="dxa"/>
            <w:vAlign w:val="bottom"/>
          </w:tcPr>
          <w:p>
            <w:pPr>
              <w:spacing w:after="0"/>
              <w:rPr>
                <w:sz w:val="1"/>
                <w:szCs w:val="1"/>
                <w:color w:val="auto"/>
              </w:rPr>
            </w:pPr>
          </w:p>
        </w:tc>
      </w:tr>
      <w:tr>
        <w:trPr>
          <w:trHeight w:val="192"/>
        </w:trPr>
        <w:tc>
          <w:tcPr>
            <w:tcW w:w="1160" w:type="dxa"/>
            <w:vAlign w:val="bottom"/>
            <w:shd w:val="clear" w:color="auto" w:fill="8590A9"/>
          </w:tcPr>
          <w:p>
            <w:pPr>
              <w:spacing w:after="0"/>
              <w:rPr>
                <w:sz w:val="16"/>
                <w:szCs w:val="16"/>
                <w:color w:val="auto"/>
              </w:rPr>
            </w:pPr>
          </w:p>
        </w:tc>
        <w:tc>
          <w:tcPr>
            <w:tcW w:w="1720" w:type="dxa"/>
            <w:vAlign w:val="bottom"/>
            <w:shd w:val="clear" w:color="auto" w:fill="D0D3DB"/>
          </w:tcPr>
          <w:p>
            <w:pPr>
              <w:ind w:left="100"/>
              <w:spacing w:after="0" w:line="192" w:lineRule="exact"/>
              <w:rPr>
                <w:sz w:val="20"/>
                <w:szCs w:val="20"/>
                <w:color w:val="auto"/>
              </w:rPr>
            </w:pPr>
            <w:r>
              <w:rPr>
                <w:rFonts w:ascii="Arial" w:cs="Arial" w:eastAsia="Arial" w:hAnsi="Arial"/>
                <w:sz w:val="18"/>
                <w:szCs w:val="18"/>
                <w:color w:val="auto"/>
              </w:rPr>
              <w:t>(approximately</w:t>
            </w:r>
          </w:p>
        </w:tc>
        <w:tc>
          <w:tcPr>
            <w:tcW w:w="8540" w:type="dxa"/>
            <w:vAlign w:val="bottom"/>
            <w:vMerge w:val="restart"/>
          </w:tcPr>
          <w:p>
            <w:pPr>
              <w:ind w:left="360"/>
              <w:spacing w:after="0"/>
              <w:rPr>
                <w:sz w:val="20"/>
                <w:szCs w:val="20"/>
                <w:color w:val="auto"/>
              </w:rPr>
            </w:pPr>
            <w:r>
              <w:rPr>
                <w:rFonts w:ascii="Arial" w:cs="Arial" w:eastAsia="Arial" w:hAnsi="Arial"/>
                <w:sz w:val="18"/>
                <w:szCs w:val="18"/>
                <w:color w:val="auto"/>
                <w:w w:val="98"/>
              </w:rPr>
              <w:t>term performance of our Company and the executive; subject to three-year ratable vesting and a no-sell</w:t>
            </w:r>
          </w:p>
        </w:tc>
        <w:tc>
          <w:tcPr>
            <w:tcW w:w="0" w:type="dxa"/>
            <w:vAlign w:val="bottom"/>
          </w:tcPr>
          <w:p>
            <w:pPr>
              <w:spacing w:after="0"/>
              <w:rPr>
                <w:sz w:val="1"/>
                <w:szCs w:val="1"/>
                <w:color w:val="auto"/>
              </w:rPr>
            </w:pPr>
          </w:p>
        </w:tc>
      </w:tr>
      <w:tr>
        <w:trPr>
          <w:trHeight w:val="68"/>
        </w:trPr>
        <w:tc>
          <w:tcPr>
            <w:tcW w:w="1160" w:type="dxa"/>
            <w:vAlign w:val="bottom"/>
            <w:shd w:val="clear" w:color="auto" w:fill="8590A9"/>
          </w:tcPr>
          <w:p>
            <w:pPr>
              <w:spacing w:after="0"/>
              <w:rPr>
                <w:sz w:val="5"/>
                <w:szCs w:val="5"/>
                <w:color w:val="auto"/>
              </w:rPr>
            </w:pPr>
          </w:p>
        </w:tc>
        <w:tc>
          <w:tcPr>
            <w:tcW w:w="1720" w:type="dxa"/>
            <w:vAlign w:val="bottom"/>
            <w:vMerge w:val="restart"/>
            <w:shd w:val="clear" w:color="auto" w:fill="D0D3DB"/>
          </w:tcPr>
          <w:p>
            <w:pPr>
              <w:ind w:left="100"/>
              <w:spacing w:after="0"/>
              <w:rPr>
                <w:sz w:val="20"/>
                <w:szCs w:val="20"/>
                <w:color w:val="auto"/>
              </w:rPr>
            </w:pPr>
            <w:r>
              <w:rPr>
                <w:rFonts w:ascii="Arial" w:cs="Arial" w:eastAsia="Arial" w:hAnsi="Arial"/>
                <w:sz w:val="18"/>
                <w:szCs w:val="18"/>
                <w:color w:val="auto"/>
              </w:rPr>
              <w:t>37% of total)</w:t>
            </w:r>
          </w:p>
        </w:tc>
        <w:tc>
          <w:tcPr>
            <w:tcW w:w="8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160" w:type="dxa"/>
            <w:vAlign w:val="bottom"/>
            <w:shd w:val="clear" w:color="auto" w:fill="8590A9"/>
          </w:tcPr>
          <w:p>
            <w:pPr>
              <w:spacing w:after="0"/>
              <w:rPr>
                <w:sz w:val="12"/>
                <w:szCs w:val="12"/>
                <w:color w:val="auto"/>
              </w:rPr>
            </w:pPr>
          </w:p>
        </w:tc>
        <w:tc>
          <w:tcPr>
            <w:tcW w:w="1720" w:type="dxa"/>
            <w:vAlign w:val="bottom"/>
            <w:vMerge w:val="continue"/>
            <w:shd w:val="clear" w:color="auto" w:fill="D0D3DB"/>
          </w:tcPr>
          <w:p>
            <w:pPr>
              <w:spacing w:after="0"/>
              <w:rPr>
                <w:sz w:val="12"/>
                <w:szCs w:val="12"/>
                <w:color w:val="auto"/>
              </w:rPr>
            </w:pPr>
          </w:p>
        </w:tc>
        <w:tc>
          <w:tcPr>
            <w:tcW w:w="8540" w:type="dxa"/>
            <w:vAlign w:val="bottom"/>
            <w:vMerge w:val="restart"/>
          </w:tcPr>
          <w:p>
            <w:pPr>
              <w:ind w:left="360"/>
              <w:spacing w:after="0"/>
              <w:rPr>
                <w:sz w:val="20"/>
                <w:szCs w:val="20"/>
                <w:color w:val="auto"/>
              </w:rPr>
            </w:pPr>
            <w:r>
              <w:rPr>
                <w:rFonts w:ascii="Arial" w:cs="Arial" w:eastAsia="Arial" w:hAnsi="Arial"/>
                <w:sz w:val="18"/>
                <w:szCs w:val="18"/>
                <w:color w:val="auto"/>
              </w:rPr>
              <w:t>restriction for three years after grant date</w:t>
            </w:r>
          </w:p>
        </w:tc>
        <w:tc>
          <w:tcPr>
            <w:tcW w:w="0" w:type="dxa"/>
            <w:vAlign w:val="bottom"/>
          </w:tcPr>
          <w:p>
            <w:pPr>
              <w:spacing w:after="0"/>
              <w:rPr>
                <w:sz w:val="1"/>
                <w:szCs w:val="1"/>
                <w:color w:val="auto"/>
              </w:rPr>
            </w:pPr>
          </w:p>
        </w:tc>
      </w:tr>
      <w:tr>
        <w:trPr>
          <w:trHeight w:val="77"/>
        </w:trPr>
        <w:tc>
          <w:tcPr>
            <w:tcW w:w="1160" w:type="dxa"/>
            <w:vAlign w:val="bottom"/>
            <w:shd w:val="clear" w:color="auto" w:fill="8590A9"/>
          </w:tcPr>
          <w:p>
            <w:pPr>
              <w:spacing w:after="0"/>
              <w:rPr>
                <w:sz w:val="6"/>
                <w:szCs w:val="6"/>
                <w:color w:val="auto"/>
              </w:rPr>
            </w:pPr>
          </w:p>
        </w:tc>
        <w:tc>
          <w:tcPr>
            <w:tcW w:w="1720" w:type="dxa"/>
            <w:vAlign w:val="bottom"/>
            <w:tcBorders>
              <w:bottom w:val="single" w:sz="8" w:color="8590A9"/>
            </w:tcBorders>
            <w:shd w:val="clear" w:color="auto" w:fill="D0D3DB"/>
          </w:tcPr>
          <w:p>
            <w:pPr>
              <w:spacing w:after="0"/>
              <w:rPr>
                <w:sz w:val="6"/>
                <w:szCs w:val="6"/>
                <w:color w:val="auto"/>
              </w:rPr>
            </w:pPr>
          </w:p>
        </w:tc>
        <w:tc>
          <w:tcPr>
            <w:tcW w:w="8540" w:type="dxa"/>
            <w:vAlign w:val="bottom"/>
            <w:tcBorders>
              <w:bottom w:val="single" w:sz="8" w:color="8590A9"/>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Similar changes were incorporated into the structure of our Chief Legal Officer and General Counsel’s new employment agreement also effective in 2019. We intend to align our Chief Financial Officer’s next employment agreement with the revised structure upon expiration of his current employment agreement, including elimination of retesting periods for earning performance-based LTIP units.</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following charts illustrate the target compensation of our Chief Executive Officer, President and Chief Legal Officer and General Counsel effective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89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689735"/>
                    </a:xfrm>
                    <a:prstGeom prst="rect">
                      <a:avLst/>
                    </a:prstGeom>
                    <a:noFill/>
                  </pic:spPr>
                </pic:pic>
              </a:graphicData>
            </a:graphic>
          </wp:anchor>
        </w:drawing>
      </w:r>
    </w:p>
    <w:p>
      <w:pPr>
        <w:spacing w:after="0" w:line="196" w:lineRule="exact"/>
        <w:rPr>
          <w:sz w:val="20"/>
          <w:szCs w:val="20"/>
          <w:color w:val="auto"/>
        </w:rPr>
      </w:pPr>
    </w:p>
    <w:p>
      <w:pPr>
        <w:ind w:left="180"/>
        <w:spacing w:after="0"/>
        <w:tabs>
          <w:tab w:leader="none" w:pos="5720" w:val="left"/>
        </w:tabs>
        <w:rPr>
          <w:sz w:val="20"/>
          <w:szCs w:val="20"/>
          <w:color w:val="auto"/>
        </w:rPr>
      </w:pPr>
      <w:r>
        <w:rPr>
          <w:rFonts w:ascii="Arial" w:cs="Arial" w:eastAsia="Arial" w:hAnsi="Arial"/>
          <w:sz w:val="14"/>
          <w:szCs w:val="14"/>
          <w:b w:val="1"/>
          <w:bCs w:val="1"/>
          <w:color w:val="345988"/>
        </w:rPr>
        <w:t>CEO Target Compensation</w:t>
      </w:r>
      <w:r>
        <w:rPr>
          <w:sz w:val="20"/>
          <w:szCs w:val="20"/>
          <w:color w:val="auto"/>
        </w:rPr>
        <w:tab/>
      </w:r>
      <w:r>
        <w:rPr>
          <w:rFonts w:ascii="Arial" w:cs="Arial" w:eastAsia="Arial" w:hAnsi="Arial"/>
          <w:sz w:val="12"/>
          <w:szCs w:val="12"/>
          <w:b w:val="1"/>
          <w:bCs w:val="1"/>
          <w:color w:val="345988"/>
        </w:rPr>
        <w:t>Pres/CLO Target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Our Executive Compensation Philosophy</w:t>
      </w:r>
    </w:p>
    <w:p>
      <w:pPr>
        <w:spacing w:after="0" w:line="233"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adopted an executive compensation philosophy that rewards the achievement of annual and long-term goals of both the Company and individual executives, while achieving the following objectives:</w:t>
      </w:r>
    </w:p>
    <w:p>
      <w:pPr>
        <w:spacing w:after="0" w:line="205" w:lineRule="exact"/>
        <w:rPr>
          <w:sz w:val="20"/>
          <w:szCs w:val="20"/>
          <w:color w:val="auto"/>
        </w:rPr>
      </w:pPr>
    </w:p>
    <w:p>
      <w:pPr>
        <w:ind w:left="540" w:hanging="262"/>
        <w:spacing w:after="0"/>
        <w:tabs>
          <w:tab w:leader="none" w:pos="540" w:val="left"/>
        </w:tabs>
        <w:numPr>
          <w:ilvl w:val="0"/>
          <w:numId w:val="65"/>
        </w:numPr>
        <w:rPr>
          <w:rFonts w:ascii="Arial" w:cs="Arial" w:eastAsia="Arial" w:hAnsi="Arial"/>
          <w:sz w:val="17"/>
          <w:szCs w:val="17"/>
          <w:color w:val="345988"/>
        </w:rPr>
      </w:pPr>
      <w:r>
        <w:rPr>
          <w:rFonts w:ascii="Arial" w:cs="Arial" w:eastAsia="Arial" w:hAnsi="Arial"/>
          <w:sz w:val="18"/>
          <w:szCs w:val="18"/>
          <w:color w:val="auto"/>
        </w:rPr>
        <w:t>providing performance-based incentives that create a strong alignment of management and stockholder interests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65"/>
        </w:numPr>
        <w:rPr>
          <w:rFonts w:ascii="Arial" w:cs="Arial" w:eastAsia="Arial" w:hAnsi="Arial"/>
          <w:sz w:val="17"/>
          <w:szCs w:val="17"/>
          <w:color w:val="345988"/>
        </w:rPr>
      </w:pPr>
      <w:r>
        <w:rPr>
          <w:rFonts w:ascii="Arial" w:cs="Arial" w:eastAsia="Arial" w:hAnsi="Arial"/>
          <w:sz w:val="18"/>
          <w:szCs w:val="18"/>
          <w:color w:val="auto"/>
        </w:rPr>
        <w:t>attracting and retain top talent in a market that is highly competitive for New York City commercial real estate management</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65"/>
        </w:numPr>
        <w:rPr>
          <w:rFonts w:ascii="Arial" w:cs="Arial" w:eastAsia="Arial" w:hAnsi="Arial"/>
          <w:sz w:val="17"/>
          <w:szCs w:val="17"/>
          <w:color w:val="345988"/>
        </w:rPr>
      </w:pPr>
      <w:r>
        <w:rPr>
          <w:rFonts w:ascii="Arial" w:cs="Arial" w:eastAsia="Arial" w:hAnsi="Arial"/>
          <w:sz w:val="18"/>
          <w:szCs w:val="18"/>
          <w:color w:val="auto"/>
        </w:rPr>
        <w:t>motivating our executives to achieve, and reward them for achieving, superior performance</w:t>
      </w:r>
    </w:p>
    <w:p>
      <w:pPr>
        <w:spacing w:after="0" w:line="103" w:lineRule="exact"/>
        <w:rPr>
          <w:rFonts w:ascii="Arial" w:cs="Arial" w:eastAsia="Arial" w:hAnsi="Arial"/>
          <w:sz w:val="17"/>
          <w:szCs w:val="17"/>
          <w:color w:val="345988"/>
        </w:rPr>
      </w:pPr>
    </w:p>
    <w:p>
      <w:pPr>
        <w:ind w:left="540" w:right="980" w:hanging="262"/>
        <w:spacing w:after="0" w:line="246" w:lineRule="auto"/>
        <w:tabs>
          <w:tab w:leader="none" w:pos="540" w:val="left"/>
        </w:tabs>
        <w:numPr>
          <w:ilvl w:val="0"/>
          <w:numId w:val="65"/>
        </w:numPr>
        <w:rPr>
          <w:rFonts w:ascii="Arial" w:cs="Arial" w:eastAsia="Arial" w:hAnsi="Arial"/>
          <w:sz w:val="17"/>
          <w:szCs w:val="17"/>
          <w:color w:val="345988"/>
        </w:rPr>
      </w:pPr>
      <w:r>
        <w:rPr>
          <w:rFonts w:ascii="Arial" w:cs="Arial" w:eastAsia="Arial" w:hAnsi="Arial"/>
          <w:sz w:val="18"/>
          <w:szCs w:val="18"/>
          <w:color w:val="auto"/>
        </w:rPr>
        <w:t>achieving an appropriate balance between risk and reward in our compensation programs that does not create incentives for unnecessary or excessive risk taking</w:t>
      </w:r>
    </w:p>
    <w:p>
      <w:pPr>
        <w:spacing w:after="0" w:line="88" w:lineRule="exact"/>
        <w:rPr>
          <w:rFonts w:ascii="Arial" w:cs="Arial" w:eastAsia="Arial" w:hAnsi="Arial"/>
          <w:sz w:val="17"/>
          <w:szCs w:val="17"/>
          <w:color w:val="345988"/>
        </w:rPr>
      </w:pPr>
    </w:p>
    <w:p>
      <w:pPr>
        <w:ind w:left="540" w:hanging="262"/>
        <w:spacing w:after="0"/>
        <w:tabs>
          <w:tab w:leader="none" w:pos="540" w:val="left"/>
        </w:tabs>
        <w:numPr>
          <w:ilvl w:val="0"/>
          <w:numId w:val="65"/>
        </w:numPr>
        <w:rPr>
          <w:rFonts w:ascii="Arial" w:cs="Arial" w:eastAsia="Arial" w:hAnsi="Arial"/>
          <w:sz w:val="17"/>
          <w:szCs w:val="17"/>
          <w:color w:val="345988"/>
        </w:rPr>
      </w:pPr>
      <w:r>
        <w:rPr>
          <w:rFonts w:ascii="Arial" w:cs="Arial" w:eastAsia="Arial" w:hAnsi="Arial"/>
          <w:sz w:val="18"/>
          <w:szCs w:val="18"/>
          <w:color w:val="auto"/>
        </w:rPr>
        <w:t>fostering the dedication required to succeed against our competitors, while maintaining low overall general and administrative expense</w:t>
      </w:r>
    </w:p>
    <w:p>
      <w:pPr>
        <w:spacing w:after="0" w:line="21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45988"/>
        </w:rPr>
        <w:t>EXECUTIVE COMPENSATION</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order to reach these goals, the Committee, in consultation with our Chief Executive Officer and the Committee’s independent compensation consultant, adopted executive compensation practices that promote a pay-for-performance philosophy. Our primary business objective, of maximizing TSR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Competitive Market for Talent</w:t>
      </w:r>
    </w:p>
    <w:p>
      <w:pPr>
        <w:spacing w:after="0" w:line="22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market for talent and compensation, SLG is most comparable to real estate companies, as well as other complex financial services-related industries. We evaluate our compensation in the same way: as a “fee, expense or load.” To that end, we evaluate our compensation as a function of our total assets and revenue – fundamental performance metrics that industry analysts use to measure efficiency and the effectiveness of management teams.</w:t>
      </w:r>
    </w:p>
    <w:p>
      <w:pPr>
        <w:spacing w:after="0" w:line="209"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As a REIT focused specifically on real estate in New York City – a high cost and complex market – we compete with companies, both public and private, for a small number of talented executives. Among the top 15 New York City real estate companies – in terms of Manhattan office-space ownership – only six of those companies, including SL Green, are public. Many of our competitors are private companies and are not required to publicly disclose their compensation arrangements.</w:t>
      </w:r>
    </w:p>
    <w:p>
      <w:pPr>
        <w:spacing w:after="0" w:line="209"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Given the unique nature of our company – manifested by three primary characteristics: Active and Engaged Business Strategy, Operations on Multiple Platforms, and NYC-Focused Business Model – the Compensation Committee is continuously evaluating our executive compensation program to ensure that it aligns with our current business priorities and external market factors.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Compensation Practices</w:t>
      </w:r>
    </w:p>
    <w:p>
      <w:pPr>
        <w:spacing w:after="0" w:line="2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2179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345988"/>
        </w:rPr>
        <w:t>WHAT WE DO</w:t>
      </w:r>
    </w:p>
    <w:p>
      <w:pPr>
        <w:spacing w:after="0" w:line="169" w:lineRule="exact"/>
        <w:rPr>
          <w:sz w:val="20"/>
          <w:szCs w:val="20"/>
          <w:color w:val="auto"/>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Pay for performance and create alignment with stockholders</w:t>
      </w:r>
    </w:p>
    <w:p>
      <w:pPr>
        <w:spacing w:after="0" w:line="36" w:lineRule="exact"/>
        <w:rPr>
          <w:rFonts w:ascii="MS PGothic" w:cs="MS PGothic" w:eastAsia="MS PGothic" w:hAnsi="MS PGothic"/>
          <w:sz w:val="18"/>
          <w:szCs w:val="18"/>
          <w:color w:val="auto"/>
          <w:shd w:val="clear" w:color="auto" w:fill="345988"/>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Include robust hurdles in our incentive plans</w:t>
      </w:r>
    </w:p>
    <w:p>
      <w:pPr>
        <w:spacing w:after="0" w:line="36" w:lineRule="exact"/>
        <w:rPr>
          <w:rFonts w:ascii="MS PGothic" w:cs="MS PGothic" w:eastAsia="MS PGothic" w:hAnsi="MS PGothic"/>
          <w:sz w:val="18"/>
          <w:szCs w:val="18"/>
          <w:color w:val="auto"/>
          <w:shd w:val="clear" w:color="auto" w:fill="345988"/>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Pay a majority of total compensation for our CEO and named executive officers in equity</w:t>
      </w:r>
    </w:p>
    <w:p>
      <w:pPr>
        <w:spacing w:after="0" w:line="36" w:lineRule="exact"/>
        <w:rPr>
          <w:rFonts w:ascii="MS PGothic" w:cs="MS PGothic" w:eastAsia="MS PGothic" w:hAnsi="MS PGothic"/>
          <w:sz w:val="18"/>
          <w:szCs w:val="18"/>
          <w:color w:val="auto"/>
          <w:shd w:val="clear" w:color="auto" w:fill="345988"/>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Follow robust equity ownership guidelines for our directors and named executive officers</w:t>
      </w:r>
    </w:p>
    <w:p>
      <w:pPr>
        <w:spacing w:after="0" w:line="36" w:lineRule="exact"/>
        <w:rPr>
          <w:rFonts w:ascii="MS PGothic" w:cs="MS PGothic" w:eastAsia="MS PGothic" w:hAnsi="MS PGothic"/>
          <w:sz w:val="18"/>
          <w:szCs w:val="18"/>
          <w:color w:val="auto"/>
          <w:shd w:val="clear" w:color="auto" w:fill="345988"/>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Impose a clawback policy with respect to incentive payments</w:t>
      </w:r>
    </w:p>
    <w:p>
      <w:pPr>
        <w:spacing w:after="0" w:line="36" w:lineRule="exact"/>
        <w:rPr>
          <w:rFonts w:ascii="MS PGothic" w:cs="MS PGothic" w:eastAsia="MS PGothic" w:hAnsi="MS PGothic"/>
          <w:sz w:val="18"/>
          <w:szCs w:val="18"/>
          <w:color w:val="auto"/>
          <w:shd w:val="clear" w:color="auto" w:fill="345988"/>
        </w:rPr>
      </w:pPr>
    </w:p>
    <w:p>
      <w:pPr>
        <w:ind w:left="440" w:hanging="297"/>
        <w:spacing w:after="0"/>
        <w:tabs>
          <w:tab w:leader="none" w:pos="440" w:val="left"/>
        </w:tabs>
        <w:numPr>
          <w:ilvl w:val="0"/>
          <w:numId w:val="67"/>
        </w:numPr>
        <w:rPr>
          <w:rFonts w:ascii="MS PGothic" w:cs="MS PGothic" w:eastAsia="MS PGothic" w:hAnsi="MS PGothic"/>
          <w:sz w:val="18"/>
          <w:szCs w:val="18"/>
          <w:color w:val="auto"/>
          <w:shd w:val="clear" w:color="auto" w:fill="345988"/>
        </w:rPr>
      </w:pPr>
      <w:r>
        <w:rPr>
          <w:rFonts w:ascii="Arial" w:cs="Arial" w:eastAsia="Arial" w:hAnsi="Arial"/>
          <w:sz w:val="18"/>
          <w:szCs w:val="18"/>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063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959595"/>
        </w:rPr>
        <w:t>WHAT WE DON’T DO</w:t>
      </w:r>
    </w:p>
    <w:p>
      <w:pPr>
        <w:spacing w:after="0" w:line="169" w:lineRule="exact"/>
        <w:rPr>
          <w:sz w:val="20"/>
          <w:szCs w:val="20"/>
          <w:color w:val="auto"/>
        </w:rPr>
      </w:pPr>
    </w:p>
    <w:p>
      <w:pPr>
        <w:ind w:left="440" w:hanging="297"/>
        <w:spacing w:after="0"/>
        <w:tabs>
          <w:tab w:leader="none" w:pos="440" w:val="left"/>
        </w:tabs>
        <w:numPr>
          <w:ilvl w:val="0"/>
          <w:numId w:val="68"/>
        </w:numPr>
        <w:rPr>
          <w:rFonts w:ascii="MS PGothic" w:cs="MS PGothic" w:eastAsia="MS PGothic" w:hAnsi="MS PGothic"/>
          <w:sz w:val="18"/>
          <w:szCs w:val="18"/>
          <w:color w:val="auto"/>
          <w:shd w:val="clear" w:color="auto" w:fill="959595"/>
        </w:rPr>
      </w:pPr>
      <w:r>
        <w:rPr>
          <w:rFonts w:ascii="Arial" w:cs="Arial" w:eastAsia="Arial" w:hAnsi="Arial"/>
          <w:sz w:val="18"/>
          <w:szCs w:val="18"/>
          <w:color w:val="auto"/>
        </w:rPr>
        <w:t>No dividends or distributions paid on unearned equity awards subject to performance-based vesting</w:t>
      </w:r>
    </w:p>
    <w:p>
      <w:pPr>
        <w:spacing w:after="0" w:line="36" w:lineRule="exact"/>
        <w:rPr>
          <w:rFonts w:ascii="MS PGothic" w:cs="MS PGothic" w:eastAsia="MS PGothic" w:hAnsi="MS PGothic"/>
          <w:sz w:val="18"/>
          <w:szCs w:val="18"/>
          <w:color w:val="auto"/>
          <w:shd w:val="clear" w:color="auto" w:fill="959595"/>
        </w:rPr>
      </w:pPr>
    </w:p>
    <w:p>
      <w:pPr>
        <w:ind w:left="440" w:hanging="297"/>
        <w:spacing w:after="0"/>
        <w:tabs>
          <w:tab w:leader="none" w:pos="440" w:val="left"/>
        </w:tabs>
        <w:numPr>
          <w:ilvl w:val="0"/>
          <w:numId w:val="68"/>
        </w:numPr>
        <w:rPr>
          <w:rFonts w:ascii="MS PGothic" w:cs="MS PGothic" w:eastAsia="MS PGothic" w:hAnsi="MS PGothic"/>
          <w:sz w:val="18"/>
          <w:szCs w:val="18"/>
          <w:color w:val="auto"/>
          <w:shd w:val="clear" w:color="auto" w:fill="959595"/>
        </w:rPr>
      </w:pPr>
      <w:r>
        <w:rPr>
          <w:rFonts w:ascii="Arial" w:cs="Arial" w:eastAsia="Arial" w:hAnsi="Arial"/>
          <w:sz w:val="18"/>
          <w:szCs w:val="18"/>
          <w:color w:val="auto"/>
        </w:rPr>
        <w:t>No excise tax gross-up provisions</w:t>
      </w:r>
    </w:p>
    <w:p>
      <w:pPr>
        <w:spacing w:after="0" w:line="36" w:lineRule="exact"/>
        <w:rPr>
          <w:rFonts w:ascii="MS PGothic" w:cs="MS PGothic" w:eastAsia="MS PGothic" w:hAnsi="MS PGothic"/>
          <w:sz w:val="18"/>
          <w:szCs w:val="18"/>
          <w:color w:val="auto"/>
          <w:shd w:val="clear" w:color="auto" w:fill="959595"/>
        </w:rPr>
      </w:pPr>
    </w:p>
    <w:p>
      <w:pPr>
        <w:ind w:left="440" w:hanging="297"/>
        <w:spacing w:after="0"/>
        <w:tabs>
          <w:tab w:leader="none" w:pos="440" w:val="left"/>
        </w:tabs>
        <w:numPr>
          <w:ilvl w:val="0"/>
          <w:numId w:val="68"/>
        </w:numPr>
        <w:rPr>
          <w:rFonts w:ascii="MS PGothic" w:cs="MS PGothic" w:eastAsia="MS PGothic" w:hAnsi="MS PGothic"/>
          <w:sz w:val="18"/>
          <w:szCs w:val="18"/>
          <w:color w:val="auto"/>
          <w:shd w:val="clear" w:color="auto" w:fill="959595"/>
        </w:rPr>
      </w:pPr>
      <w:r>
        <w:rPr>
          <w:rFonts w:ascii="Arial" w:cs="Arial" w:eastAsia="Arial" w:hAnsi="Arial"/>
          <w:sz w:val="18"/>
          <w:szCs w:val="18"/>
          <w:color w:val="auto"/>
        </w:rPr>
        <w:t>No repricing of stock options</w:t>
      </w:r>
    </w:p>
    <w:p>
      <w:pPr>
        <w:spacing w:after="0" w:line="36" w:lineRule="exact"/>
        <w:rPr>
          <w:rFonts w:ascii="MS PGothic" w:cs="MS PGothic" w:eastAsia="MS PGothic" w:hAnsi="MS PGothic"/>
          <w:sz w:val="18"/>
          <w:szCs w:val="18"/>
          <w:color w:val="auto"/>
          <w:shd w:val="clear" w:color="auto" w:fill="959595"/>
        </w:rPr>
      </w:pPr>
    </w:p>
    <w:p>
      <w:pPr>
        <w:ind w:left="440" w:hanging="297"/>
        <w:spacing w:after="0"/>
        <w:tabs>
          <w:tab w:leader="none" w:pos="440" w:val="left"/>
        </w:tabs>
        <w:numPr>
          <w:ilvl w:val="0"/>
          <w:numId w:val="68"/>
        </w:numPr>
        <w:rPr>
          <w:rFonts w:ascii="MS PGothic" w:cs="MS PGothic" w:eastAsia="MS PGothic" w:hAnsi="MS PGothic"/>
          <w:sz w:val="18"/>
          <w:szCs w:val="18"/>
          <w:color w:val="auto"/>
          <w:shd w:val="clear" w:color="auto" w:fill="959595"/>
        </w:rPr>
      </w:pPr>
      <w:r>
        <w:rPr>
          <w:rFonts w:ascii="Arial" w:cs="Arial" w:eastAsia="Arial" w:hAnsi="Arial"/>
          <w:sz w:val="18"/>
          <w:szCs w:val="18"/>
          <w:color w:val="auto"/>
        </w:rPr>
        <w:t>No single trigger cash severance or accelerated vesting in connection with a change in control</w:t>
      </w:r>
    </w:p>
    <w:p>
      <w:pPr>
        <w:spacing w:after="0" w:line="36" w:lineRule="exact"/>
        <w:rPr>
          <w:rFonts w:ascii="MS PGothic" w:cs="MS PGothic" w:eastAsia="MS PGothic" w:hAnsi="MS PGothic"/>
          <w:sz w:val="18"/>
          <w:szCs w:val="18"/>
          <w:color w:val="auto"/>
          <w:shd w:val="clear" w:color="auto" w:fill="959595"/>
        </w:rPr>
      </w:pPr>
    </w:p>
    <w:p>
      <w:pPr>
        <w:ind w:left="440" w:hanging="297"/>
        <w:spacing w:after="0"/>
        <w:tabs>
          <w:tab w:leader="none" w:pos="440" w:val="left"/>
        </w:tabs>
        <w:numPr>
          <w:ilvl w:val="0"/>
          <w:numId w:val="68"/>
        </w:numPr>
        <w:rPr>
          <w:rFonts w:ascii="MS PGothic" w:cs="MS PGothic" w:eastAsia="MS PGothic" w:hAnsi="MS PGothic"/>
          <w:sz w:val="18"/>
          <w:szCs w:val="18"/>
          <w:color w:val="auto"/>
          <w:shd w:val="clear" w:color="auto" w:fill="959595"/>
        </w:rPr>
      </w:pPr>
      <w:r>
        <w:rPr>
          <w:rFonts w:ascii="Arial" w:cs="Arial" w:eastAsia="Arial" w:hAnsi="Arial"/>
          <w:sz w:val="18"/>
          <w:szCs w:val="18"/>
          <w:color w:val="auto"/>
        </w:rPr>
        <w:t>Don’t allow directors or officers to hedge our securities</w:t>
      </w:r>
    </w:p>
    <w:p>
      <w:pPr>
        <w:spacing w:after="0" w:line="3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Our 2018 Executive Compensation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compensation in 2018, which has been simplified and changed for 2019, had three primary components:</w:t>
      </w:r>
    </w:p>
    <w:p>
      <w:pPr>
        <w:spacing w:after="0" w:line="212" w:lineRule="exact"/>
        <w:rPr>
          <w:sz w:val="20"/>
          <w:szCs w:val="20"/>
          <w:color w:val="auto"/>
        </w:rPr>
      </w:pPr>
    </w:p>
    <w:p>
      <w:pPr>
        <w:ind w:left="540" w:hanging="262"/>
        <w:spacing w:after="0"/>
        <w:tabs>
          <w:tab w:leader="none" w:pos="540" w:val="left"/>
        </w:tabs>
        <w:numPr>
          <w:ilvl w:val="0"/>
          <w:numId w:val="69"/>
        </w:numPr>
        <w:rPr>
          <w:rFonts w:ascii="Arial" w:cs="Arial" w:eastAsia="Arial" w:hAnsi="Arial"/>
          <w:sz w:val="17"/>
          <w:szCs w:val="17"/>
          <w:color w:val="345988"/>
        </w:rPr>
      </w:pPr>
      <w:r>
        <w:rPr>
          <w:rFonts w:ascii="Arial" w:cs="Arial" w:eastAsia="Arial" w:hAnsi="Arial"/>
          <w:sz w:val="18"/>
          <w:szCs w:val="18"/>
          <w:color w:val="auto"/>
        </w:rPr>
        <w:t>annual base salary and deferred compensation</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69"/>
        </w:numPr>
        <w:rPr>
          <w:rFonts w:ascii="Arial" w:cs="Arial" w:eastAsia="Arial" w:hAnsi="Arial"/>
          <w:sz w:val="17"/>
          <w:szCs w:val="17"/>
          <w:color w:val="345988"/>
        </w:rPr>
      </w:pPr>
      <w:r>
        <w:rPr>
          <w:rFonts w:ascii="Arial" w:cs="Arial" w:eastAsia="Arial" w:hAnsi="Arial"/>
          <w:sz w:val="18"/>
          <w:szCs w:val="18"/>
          <w:color w:val="auto"/>
        </w:rPr>
        <w:t>annual incentive awards, which include cash and equity bonuses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69"/>
        </w:numPr>
        <w:rPr>
          <w:rFonts w:ascii="Arial" w:cs="Arial" w:eastAsia="Arial" w:hAnsi="Arial"/>
          <w:sz w:val="17"/>
          <w:szCs w:val="17"/>
          <w:color w:val="345988"/>
        </w:rPr>
      </w:pPr>
      <w:r>
        <w:rPr>
          <w:rFonts w:ascii="Arial" w:cs="Arial" w:eastAsia="Arial" w:hAnsi="Arial"/>
          <w:sz w:val="18"/>
          <w:szCs w:val="18"/>
          <w:color w:val="auto"/>
        </w:rPr>
        <w:t>long-term equity incentive awards</w:t>
      </w:r>
    </w:p>
    <w:p>
      <w:pPr>
        <w:spacing w:after="0" w:line="212"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Variable pay constitutes the vast majority of our executives’ compensation, which allows the Committee to reward superior performance, while the substantial long-term equity incentive portions of our compensation programs serve to align the interests of our named executive officers with our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shd w:val="clear" w:color="auto" w:fill="345988"/>
          </w:tcPr>
          <w:p>
            <w:pPr>
              <w:spacing w:after="0"/>
              <w:rPr>
                <w:sz w:val="17"/>
                <w:szCs w:val="17"/>
                <w:color w:val="auto"/>
              </w:rPr>
            </w:pPr>
          </w:p>
        </w:tc>
        <w:tc>
          <w:tcPr>
            <w:tcW w:w="1840" w:type="dxa"/>
            <w:vAlign w:val="bottom"/>
            <w:shd w:val="clear" w:color="auto" w:fill="345988"/>
          </w:tcPr>
          <w:p>
            <w:pPr>
              <w:ind w:left="60"/>
              <w:spacing w:after="0"/>
              <w:rPr>
                <w:sz w:val="20"/>
                <w:szCs w:val="20"/>
                <w:color w:val="auto"/>
              </w:rPr>
            </w:pPr>
            <w:r>
              <w:rPr>
                <w:rFonts w:ascii="Arial" w:cs="Arial" w:eastAsia="Arial" w:hAnsi="Arial"/>
                <w:sz w:val="14"/>
                <w:szCs w:val="14"/>
                <w:b w:val="1"/>
                <w:bCs w:val="1"/>
                <w:color w:val="FFFFFF"/>
              </w:rPr>
              <w:t>Pay Element</w:t>
            </w:r>
          </w:p>
        </w:tc>
        <w:tc>
          <w:tcPr>
            <w:tcW w:w="4140" w:type="dxa"/>
            <w:vAlign w:val="bottom"/>
            <w:gridSpan w:val="2"/>
            <w:shd w:val="clear" w:color="auto" w:fill="345988"/>
          </w:tcPr>
          <w:p>
            <w:pPr>
              <w:ind w:left="60"/>
              <w:spacing w:after="0"/>
              <w:rPr>
                <w:sz w:val="20"/>
                <w:szCs w:val="20"/>
                <w:color w:val="auto"/>
              </w:rPr>
            </w:pPr>
            <w:r>
              <w:rPr>
                <w:rFonts w:ascii="Arial" w:cs="Arial" w:eastAsia="Arial" w:hAnsi="Arial"/>
                <w:sz w:val="14"/>
                <w:szCs w:val="14"/>
                <w:b w:val="1"/>
                <w:bCs w:val="1"/>
                <w:color w:val="FFFFFF"/>
              </w:rPr>
              <w:t>Key Characteristics</w:t>
            </w:r>
          </w:p>
        </w:tc>
        <w:tc>
          <w:tcPr>
            <w:tcW w:w="4280" w:type="dxa"/>
            <w:vAlign w:val="bottom"/>
            <w:shd w:val="clear" w:color="auto" w:fill="345988"/>
          </w:tcPr>
          <w:p>
            <w:pPr>
              <w:ind w:left="140"/>
              <w:spacing w:after="0"/>
              <w:rPr>
                <w:sz w:val="20"/>
                <w:szCs w:val="20"/>
                <w:color w:val="auto"/>
              </w:rPr>
            </w:pPr>
            <w:r>
              <w:rPr>
                <w:rFonts w:ascii="Arial" w:cs="Arial" w:eastAsia="Arial" w:hAnsi="Arial"/>
                <w:sz w:val="14"/>
                <w:szCs w:val="14"/>
                <w:b w:val="1"/>
                <w:bCs w:val="1"/>
                <w:color w:val="FFFFFF"/>
              </w:rPr>
              <w:t>Changes for 2019 Employment Agreements</w:t>
            </w:r>
          </w:p>
        </w:tc>
        <w:tc>
          <w:tcPr>
            <w:tcW w:w="0" w:type="dxa"/>
            <w:vAlign w:val="bottom"/>
          </w:tcPr>
          <w:p>
            <w:pPr>
              <w:spacing w:after="0"/>
              <w:rPr>
                <w:sz w:val="1"/>
                <w:szCs w:val="1"/>
                <w:color w:val="auto"/>
              </w:rPr>
            </w:pPr>
          </w:p>
        </w:tc>
      </w:tr>
      <w:tr>
        <w:trPr>
          <w:trHeight w:val="241"/>
        </w:trPr>
        <w:tc>
          <w:tcPr>
            <w:tcW w:w="1160" w:type="dxa"/>
            <w:vAlign w:val="bottom"/>
            <w:shd w:val="clear" w:color="auto" w:fill="8591A9"/>
          </w:tcPr>
          <w:p>
            <w:pPr>
              <w:spacing w:after="0"/>
              <w:rPr>
                <w:sz w:val="20"/>
                <w:szCs w:val="20"/>
                <w:color w:val="auto"/>
              </w:rPr>
            </w:pPr>
          </w:p>
        </w:tc>
        <w:tc>
          <w:tcPr>
            <w:tcW w:w="1840" w:type="dxa"/>
            <w:vAlign w:val="bottom"/>
            <w:shd w:val="clear" w:color="auto" w:fill="D0D3DB"/>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345988"/>
              </w:rPr>
              <w:t>●</w:t>
            </w:r>
          </w:p>
        </w:tc>
        <w:tc>
          <w:tcPr>
            <w:tcW w:w="3900" w:type="dxa"/>
            <w:vAlign w:val="bottom"/>
          </w:tcPr>
          <w:p>
            <w:pPr>
              <w:ind w:left="80"/>
              <w:spacing w:after="0"/>
              <w:rPr>
                <w:sz w:val="20"/>
                <w:szCs w:val="20"/>
                <w:color w:val="auto"/>
              </w:rPr>
            </w:pPr>
            <w:r>
              <w:rPr>
                <w:rFonts w:ascii="Arial" w:cs="Arial" w:eastAsia="Arial" w:hAnsi="Arial"/>
                <w:sz w:val="18"/>
                <w:szCs w:val="18"/>
                <w:color w:val="auto"/>
              </w:rPr>
              <w:t>Reflects the scope of each executive officer’s</w:t>
            </w:r>
          </w:p>
        </w:tc>
        <w:tc>
          <w:tcPr>
            <w:tcW w:w="4280" w:type="dxa"/>
            <w:vAlign w:val="bottom"/>
          </w:tcPr>
          <w:p>
            <w:pPr>
              <w:ind w:left="14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Decreased base salary by $100,000 for our CEO</w:t>
            </w:r>
          </w:p>
        </w:tc>
        <w:tc>
          <w:tcPr>
            <w:tcW w:w="0" w:type="dxa"/>
            <w:vAlign w:val="bottom"/>
          </w:tcPr>
          <w:p>
            <w:pPr>
              <w:spacing w:after="0"/>
              <w:rPr>
                <w:sz w:val="1"/>
                <w:szCs w:val="1"/>
                <w:color w:val="auto"/>
              </w:rPr>
            </w:pPr>
          </w:p>
        </w:tc>
      </w:tr>
      <w:tr>
        <w:trPr>
          <w:trHeight w:val="208"/>
        </w:trPr>
        <w:tc>
          <w:tcPr>
            <w:tcW w:w="1160" w:type="dxa"/>
            <w:vAlign w:val="bottom"/>
            <w:shd w:val="clear" w:color="auto" w:fill="8591A9"/>
          </w:tcPr>
          <w:p>
            <w:pPr>
              <w:spacing w:after="0"/>
              <w:rPr>
                <w:sz w:val="18"/>
                <w:szCs w:val="18"/>
                <w:color w:val="auto"/>
              </w:rPr>
            </w:pPr>
          </w:p>
        </w:tc>
        <w:tc>
          <w:tcPr>
            <w:tcW w:w="1840" w:type="dxa"/>
            <w:vAlign w:val="bottom"/>
            <w:vMerge w:val="restart"/>
            <w:shd w:val="clear" w:color="auto" w:fill="D0D3DB"/>
          </w:tcPr>
          <w:p>
            <w:pPr>
              <w:ind w:left="60"/>
              <w:spacing w:after="0"/>
              <w:rPr>
                <w:sz w:val="20"/>
                <w:szCs w:val="20"/>
                <w:color w:val="auto"/>
              </w:rPr>
            </w:pPr>
            <w:r>
              <w:rPr>
                <w:rFonts w:ascii="Arial" w:cs="Arial" w:eastAsia="Arial" w:hAnsi="Arial"/>
                <w:sz w:val="18"/>
                <w:szCs w:val="18"/>
                <w:color w:val="auto"/>
              </w:rPr>
              <w:t>Base Salary</w:t>
            </w:r>
          </w:p>
        </w:tc>
        <w:tc>
          <w:tcPr>
            <w:tcW w:w="2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duties and responsibilities taking into account</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8591A9"/>
          </w:tcPr>
          <w:p>
            <w:pPr>
              <w:spacing w:after="0"/>
              <w:rPr>
                <w:sz w:val="8"/>
                <w:szCs w:val="8"/>
                <w:color w:val="auto"/>
              </w:rPr>
            </w:pPr>
          </w:p>
        </w:tc>
        <w:tc>
          <w:tcPr>
            <w:tcW w:w="1840" w:type="dxa"/>
            <w:vAlign w:val="bottom"/>
            <w:vMerge w:val="continue"/>
            <w:shd w:val="clear" w:color="auto" w:fill="D0D3DB"/>
          </w:tcPr>
          <w:p>
            <w:pPr>
              <w:spacing w:after="0"/>
              <w:rPr>
                <w:sz w:val="8"/>
                <w:szCs w:val="8"/>
                <w:color w:val="auto"/>
              </w:rPr>
            </w:pPr>
          </w:p>
        </w:tc>
        <w:tc>
          <w:tcPr>
            <w:tcW w:w="240" w:type="dxa"/>
            <w:vAlign w:val="bottom"/>
          </w:tcPr>
          <w:p>
            <w:pPr>
              <w:spacing w:after="0"/>
              <w:rPr>
                <w:sz w:val="8"/>
                <w:szCs w:val="8"/>
                <w:color w:val="auto"/>
              </w:rPr>
            </w:pPr>
          </w:p>
        </w:tc>
        <w:tc>
          <w:tcPr>
            <w:tcW w:w="390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the competitive market compensation paid by</w:t>
            </w: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shd w:val="clear" w:color="auto" w:fill="8591A9"/>
          </w:tcPr>
          <w:p>
            <w:pPr>
              <w:spacing w:after="0"/>
              <w:rPr>
                <w:sz w:val="8"/>
                <w:szCs w:val="8"/>
                <w:color w:val="auto"/>
              </w:rPr>
            </w:pPr>
          </w:p>
        </w:tc>
        <w:tc>
          <w:tcPr>
            <w:tcW w:w="1840" w:type="dxa"/>
            <w:vAlign w:val="bottom"/>
            <w:shd w:val="clear" w:color="auto" w:fill="D0D3DB"/>
          </w:tcPr>
          <w:p>
            <w:pPr>
              <w:spacing w:after="0"/>
              <w:rPr>
                <w:sz w:val="8"/>
                <w:szCs w:val="8"/>
                <w:color w:val="auto"/>
              </w:rPr>
            </w:pPr>
          </w:p>
        </w:tc>
        <w:tc>
          <w:tcPr>
            <w:tcW w:w="24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160" w:type="dxa"/>
            <w:vAlign w:val="bottom"/>
            <w:tcBorders>
              <w:bottom w:val="single" w:sz="8" w:color="8591A9"/>
            </w:tcBorders>
            <w:vMerge w:val="restart"/>
            <w:shd w:val="clear" w:color="auto" w:fill="8591A9"/>
          </w:tcPr>
          <w:p>
            <w:pPr>
              <w:ind w:left="360"/>
              <w:spacing w:after="0"/>
              <w:rPr>
                <w:sz w:val="20"/>
                <w:szCs w:val="20"/>
                <w:color w:val="auto"/>
              </w:rPr>
            </w:pPr>
            <w:r>
              <w:rPr>
                <w:rFonts w:ascii="Arial" w:cs="Arial" w:eastAsia="Arial" w:hAnsi="Arial"/>
                <w:sz w:val="18"/>
                <w:szCs w:val="18"/>
                <w:b w:val="1"/>
                <w:bCs w:val="1"/>
                <w:color w:val="FFFFFF"/>
              </w:rPr>
              <w:t>Fixed</w:t>
            </w:r>
          </w:p>
        </w:tc>
        <w:tc>
          <w:tcPr>
            <w:tcW w:w="1840" w:type="dxa"/>
            <w:vAlign w:val="bottom"/>
            <w:tcBorders>
              <w:bottom w:val="single" w:sz="8" w:color="8591A9"/>
            </w:tcBorders>
            <w:shd w:val="clear" w:color="auto" w:fill="D0D3DB"/>
          </w:tcPr>
          <w:p>
            <w:pPr>
              <w:spacing w:after="0"/>
              <w:rPr>
                <w:sz w:val="19"/>
                <w:szCs w:val="19"/>
                <w:color w:val="auto"/>
              </w:rPr>
            </w:pPr>
          </w:p>
        </w:tc>
        <w:tc>
          <w:tcPr>
            <w:tcW w:w="240" w:type="dxa"/>
            <w:vAlign w:val="bottom"/>
            <w:tcBorders>
              <w:bottom w:val="single" w:sz="8" w:color="8591A9"/>
            </w:tcBorders>
          </w:tcPr>
          <w:p>
            <w:pPr>
              <w:spacing w:after="0"/>
              <w:rPr>
                <w:sz w:val="19"/>
                <w:szCs w:val="19"/>
                <w:color w:val="auto"/>
              </w:rPr>
            </w:pPr>
          </w:p>
        </w:tc>
        <w:tc>
          <w:tcPr>
            <w:tcW w:w="3900" w:type="dxa"/>
            <w:vAlign w:val="bottom"/>
            <w:tcBorders>
              <w:bottom w:val="single" w:sz="8" w:color="8591A9"/>
            </w:tcBorders>
          </w:tcPr>
          <w:p>
            <w:pPr>
              <w:ind w:left="100"/>
              <w:spacing w:after="0"/>
              <w:rPr>
                <w:sz w:val="20"/>
                <w:szCs w:val="20"/>
                <w:color w:val="auto"/>
              </w:rPr>
            </w:pPr>
            <w:r>
              <w:rPr>
                <w:rFonts w:ascii="Arial" w:cs="Arial" w:eastAsia="Arial" w:hAnsi="Arial"/>
                <w:sz w:val="18"/>
                <w:szCs w:val="18"/>
                <w:color w:val="auto"/>
              </w:rPr>
              <w:t>other companies for similar positions</w:t>
            </w:r>
          </w:p>
        </w:tc>
        <w:tc>
          <w:tcPr>
            <w:tcW w:w="4280" w:type="dxa"/>
            <w:vAlign w:val="bottom"/>
            <w:tcBorders>
              <w:bottom w:val="single" w:sz="8" w:color="8591A9"/>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shd w:val="clear" w:color="auto" w:fill="8591A9"/>
          </w:tcPr>
          <w:p>
            <w:pPr>
              <w:spacing w:after="0"/>
              <w:rPr>
                <w:sz w:val="9"/>
                <w:szCs w:val="9"/>
                <w:color w:val="auto"/>
              </w:rPr>
            </w:pPr>
          </w:p>
        </w:tc>
        <w:tc>
          <w:tcPr>
            <w:tcW w:w="1840" w:type="dxa"/>
            <w:vAlign w:val="bottom"/>
            <w:vMerge w:val="restart"/>
            <w:shd w:val="clear" w:color="auto" w:fill="D0D3DB"/>
          </w:tcPr>
          <w:p>
            <w:pPr>
              <w:ind w:left="60"/>
              <w:spacing w:after="0"/>
              <w:rPr>
                <w:sz w:val="20"/>
                <w:szCs w:val="20"/>
                <w:color w:val="auto"/>
              </w:rPr>
            </w:pPr>
            <w:r>
              <w:rPr>
                <w:rFonts w:ascii="Arial" w:cs="Arial" w:eastAsia="Arial" w:hAnsi="Arial"/>
                <w:sz w:val="18"/>
                <w:szCs w:val="18"/>
                <w:color w:val="auto"/>
              </w:rPr>
              <w:t>Deferred</w:t>
            </w:r>
          </w:p>
        </w:tc>
        <w:tc>
          <w:tcPr>
            <w:tcW w:w="240" w:type="dxa"/>
            <w:vAlign w:val="bottom"/>
            <w:vMerge w:val="restart"/>
          </w:tcPr>
          <w:p>
            <w:pPr>
              <w:ind w:left="80"/>
              <w:spacing w:after="0"/>
              <w:rPr>
                <w:sz w:val="20"/>
                <w:szCs w:val="20"/>
                <w:color w:val="auto"/>
              </w:rPr>
            </w:pPr>
            <w:r>
              <w:rPr>
                <w:rFonts w:ascii="Arial" w:cs="Arial" w:eastAsia="Arial" w:hAnsi="Arial"/>
                <w:sz w:val="17"/>
                <w:szCs w:val="17"/>
                <w:color w:val="345988"/>
              </w:rPr>
              <w:t>●</w:t>
            </w:r>
          </w:p>
        </w:tc>
        <w:tc>
          <w:tcPr>
            <w:tcW w:w="3900" w:type="dxa"/>
            <w:vAlign w:val="bottom"/>
            <w:vMerge w:val="restart"/>
          </w:tcPr>
          <w:p>
            <w:pPr>
              <w:ind w:left="80"/>
              <w:spacing w:after="0"/>
              <w:rPr>
                <w:sz w:val="20"/>
                <w:szCs w:val="20"/>
                <w:color w:val="auto"/>
              </w:rPr>
            </w:pPr>
            <w:r>
              <w:rPr>
                <w:rFonts w:ascii="Arial" w:cs="Arial" w:eastAsia="Arial" w:hAnsi="Arial"/>
                <w:sz w:val="18"/>
                <w:szCs w:val="18"/>
                <w:color w:val="auto"/>
              </w:rPr>
              <w:t>Delivered as stock units to our top three named</w:t>
            </w:r>
          </w:p>
        </w:tc>
        <w:tc>
          <w:tcPr>
            <w:tcW w:w="4280" w:type="dxa"/>
            <w:vAlign w:val="bottom"/>
            <w:vMerge w:val="restart"/>
          </w:tcPr>
          <w:p>
            <w:pPr>
              <w:ind w:left="14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Removed in 2019</w:t>
            </w:r>
          </w:p>
        </w:tc>
        <w:tc>
          <w:tcPr>
            <w:tcW w:w="0" w:type="dxa"/>
            <w:vAlign w:val="bottom"/>
          </w:tcPr>
          <w:p>
            <w:pPr>
              <w:spacing w:after="0"/>
              <w:rPr>
                <w:sz w:val="1"/>
                <w:szCs w:val="1"/>
                <w:color w:val="auto"/>
              </w:rPr>
            </w:pPr>
          </w:p>
        </w:tc>
      </w:tr>
      <w:tr>
        <w:trPr>
          <w:trHeight w:val="135"/>
        </w:trPr>
        <w:tc>
          <w:tcPr>
            <w:tcW w:w="1160" w:type="dxa"/>
            <w:vAlign w:val="bottom"/>
            <w:shd w:val="clear" w:color="auto" w:fill="8591A9"/>
          </w:tcPr>
          <w:p>
            <w:pPr>
              <w:spacing w:after="0"/>
              <w:rPr>
                <w:sz w:val="11"/>
                <w:szCs w:val="11"/>
                <w:color w:val="auto"/>
              </w:rPr>
            </w:pPr>
          </w:p>
        </w:tc>
        <w:tc>
          <w:tcPr>
            <w:tcW w:w="1840" w:type="dxa"/>
            <w:vAlign w:val="bottom"/>
            <w:vMerge w:val="continue"/>
            <w:shd w:val="clear" w:color="auto" w:fill="D0D3DB"/>
          </w:tcPr>
          <w:p>
            <w:pPr>
              <w:spacing w:after="0"/>
              <w:rPr>
                <w:sz w:val="11"/>
                <w:szCs w:val="11"/>
                <w:color w:val="auto"/>
              </w:rPr>
            </w:pPr>
          </w:p>
        </w:tc>
        <w:tc>
          <w:tcPr>
            <w:tcW w:w="240" w:type="dxa"/>
            <w:vAlign w:val="bottom"/>
            <w:vMerge w:val="continue"/>
          </w:tcPr>
          <w:p>
            <w:pPr>
              <w:spacing w:after="0"/>
              <w:rPr>
                <w:sz w:val="11"/>
                <w:szCs w:val="11"/>
                <w:color w:val="auto"/>
              </w:rPr>
            </w:pPr>
          </w:p>
        </w:tc>
        <w:tc>
          <w:tcPr>
            <w:tcW w:w="3900" w:type="dxa"/>
            <w:vAlign w:val="bottom"/>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8591A9"/>
          </w:tcPr>
          <w:p>
            <w:pPr>
              <w:spacing w:after="0"/>
              <w:rPr>
                <w:sz w:val="16"/>
                <w:szCs w:val="16"/>
                <w:color w:val="auto"/>
              </w:rPr>
            </w:pPr>
          </w:p>
        </w:tc>
        <w:tc>
          <w:tcPr>
            <w:tcW w:w="1840" w:type="dxa"/>
            <w:vAlign w:val="bottom"/>
            <w:vMerge w:val="continue"/>
            <w:shd w:val="clear" w:color="auto" w:fill="D0D3DB"/>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executive officers; subject to one year vesting;</w:t>
            </w:r>
          </w:p>
        </w:tc>
        <w:tc>
          <w:tcPr>
            <w:tcW w:w="4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8591A9"/>
          </w:tcPr>
          <w:p>
            <w:pPr>
              <w:spacing w:after="0"/>
              <w:rPr>
                <w:sz w:val="18"/>
                <w:szCs w:val="18"/>
                <w:color w:val="auto"/>
              </w:rPr>
            </w:pPr>
          </w:p>
        </w:tc>
        <w:tc>
          <w:tcPr>
            <w:tcW w:w="1840" w:type="dxa"/>
            <w:vAlign w:val="bottom"/>
            <w:shd w:val="clear" w:color="auto" w:fill="D0D3DB"/>
          </w:tcPr>
          <w:p>
            <w:pPr>
              <w:ind w:left="60"/>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delivered at the termination of employment;</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shd w:val="clear" w:color="auto" w:fill="8591A9"/>
          </w:tcPr>
          <w:p>
            <w:pPr>
              <w:spacing w:after="0"/>
              <w:rPr>
                <w:sz w:val="19"/>
                <w:szCs w:val="19"/>
                <w:color w:val="auto"/>
              </w:rPr>
            </w:pPr>
          </w:p>
        </w:tc>
        <w:tc>
          <w:tcPr>
            <w:tcW w:w="1840" w:type="dxa"/>
            <w:vAlign w:val="bottom"/>
            <w:tcBorders>
              <w:bottom w:val="single" w:sz="8" w:color="8591A9"/>
            </w:tcBorders>
            <w:shd w:val="clear" w:color="auto" w:fill="D0D3DB"/>
          </w:tcPr>
          <w:p>
            <w:pPr>
              <w:spacing w:after="0"/>
              <w:rPr>
                <w:sz w:val="19"/>
                <w:szCs w:val="19"/>
                <w:color w:val="auto"/>
              </w:rPr>
            </w:pPr>
          </w:p>
        </w:tc>
        <w:tc>
          <w:tcPr>
            <w:tcW w:w="240" w:type="dxa"/>
            <w:vAlign w:val="bottom"/>
            <w:tcBorders>
              <w:bottom w:val="single" w:sz="8" w:color="8591A9"/>
            </w:tcBorders>
          </w:tcPr>
          <w:p>
            <w:pPr>
              <w:spacing w:after="0"/>
              <w:rPr>
                <w:sz w:val="19"/>
                <w:szCs w:val="19"/>
                <w:color w:val="auto"/>
              </w:rPr>
            </w:pPr>
          </w:p>
        </w:tc>
        <w:tc>
          <w:tcPr>
            <w:tcW w:w="3900" w:type="dxa"/>
            <w:vAlign w:val="bottom"/>
            <w:tcBorders>
              <w:bottom w:val="single" w:sz="8" w:color="8591A9"/>
            </w:tcBorders>
          </w:tcPr>
          <w:p>
            <w:pPr>
              <w:ind w:left="100"/>
              <w:spacing w:after="0"/>
              <w:rPr>
                <w:sz w:val="20"/>
                <w:szCs w:val="20"/>
                <w:color w:val="auto"/>
              </w:rPr>
            </w:pPr>
            <w:r>
              <w:rPr>
                <w:rFonts w:ascii="Arial" w:cs="Arial" w:eastAsia="Arial" w:hAnsi="Arial"/>
                <w:sz w:val="18"/>
                <w:szCs w:val="18"/>
                <w:color w:val="auto"/>
              </w:rPr>
              <w:t>encourages retention of key executives</w:t>
            </w:r>
          </w:p>
        </w:tc>
        <w:tc>
          <w:tcPr>
            <w:tcW w:w="4280" w:type="dxa"/>
            <w:vAlign w:val="bottom"/>
            <w:tcBorders>
              <w:bottom w:val="single" w:sz="8" w:color="8591A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132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1322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Annual</w:t>
      </w:r>
    </w:p>
    <w:p>
      <w:pPr>
        <w:spacing w:after="0" w:line="18"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FFFFFF"/>
        </w:rPr>
        <w:t>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8980" cy="1003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1003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0"/>
        <w:spacing w:after="0"/>
        <w:tabs>
          <w:tab w:leader="none" w:pos="2080" w:val="left"/>
          <w:tab w:leader="none" w:pos="6040" w:val="left"/>
          <w:tab w:leader="none" w:pos="6280" w:val="left"/>
        </w:tabs>
        <w:rPr>
          <w:sz w:val="20"/>
          <w:szCs w:val="20"/>
          <w:color w:val="auto"/>
        </w:rPr>
      </w:pPr>
      <w:r>
        <w:rPr>
          <w:rFonts w:ascii="Arial" w:cs="Arial" w:eastAsia="Arial" w:hAnsi="Arial"/>
          <w:sz w:val="17"/>
          <w:szCs w:val="17"/>
          <w:color w:val="345988"/>
        </w:rPr>
        <w:t>●</w:t>
      </w:r>
      <w:r>
        <w:rPr>
          <w:sz w:val="20"/>
          <w:szCs w:val="20"/>
          <w:color w:val="auto"/>
        </w:rPr>
        <w:tab/>
      </w:r>
      <w:r>
        <w:rPr>
          <w:rFonts w:ascii="Arial" w:cs="Arial" w:eastAsia="Arial" w:hAnsi="Arial"/>
          <w:sz w:val="18"/>
          <w:szCs w:val="18"/>
          <w:color w:val="auto"/>
        </w:rPr>
        <w:t>100% formulaic payout for our top three named</w:t>
      </w:r>
      <w:r>
        <w:rPr>
          <w:sz w:val="20"/>
          <w:szCs w:val="20"/>
          <w:color w:val="auto"/>
        </w:rPr>
        <w:tab/>
      </w:r>
      <w:r>
        <w:rPr>
          <w:rFonts w:ascii="Arial" w:cs="Arial" w:eastAsia="Arial" w:hAnsi="Arial"/>
          <w:sz w:val="17"/>
          <w:szCs w:val="17"/>
          <w:color w:val="345988"/>
        </w:rPr>
        <w:t>●</w:t>
      </w:r>
      <w:r>
        <w:rPr>
          <w:sz w:val="20"/>
          <w:szCs w:val="20"/>
          <w:color w:val="auto"/>
        </w:rPr>
        <w:tab/>
      </w:r>
      <w:r>
        <w:rPr>
          <w:rFonts w:ascii="Arial" w:cs="Arial" w:eastAsia="Arial" w:hAnsi="Arial"/>
          <w:sz w:val="16"/>
          <w:szCs w:val="16"/>
          <w:color w:val="auto"/>
        </w:rPr>
        <w:t>No change</w:t>
      </w:r>
    </w:p>
    <w:p>
      <w:pPr>
        <w:spacing w:after="0" w:line="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Annual Cash Bonus</w:t>
      </w:r>
      <w:r>
        <w:rPr>
          <w:sz w:val="20"/>
          <w:szCs w:val="20"/>
          <w:color w:val="auto"/>
        </w:rPr>
        <w:tab/>
      </w:r>
      <w:r>
        <w:rPr>
          <w:rFonts w:ascii="Arial" w:cs="Arial" w:eastAsia="Arial" w:hAnsi="Arial"/>
          <w:sz w:val="16"/>
          <w:szCs w:val="16"/>
          <w:color w:val="auto"/>
        </w:rPr>
        <w:t>executives, based on specific performance</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criteria linked to our strategy</w:t>
      </w:r>
    </w:p>
    <w:p>
      <w:pPr>
        <w:spacing w:after="0" w:line="56" w:lineRule="exact"/>
        <w:rPr>
          <w:sz w:val="20"/>
          <w:szCs w:val="20"/>
          <w:color w:val="auto"/>
        </w:rPr>
      </w:pPr>
    </w:p>
    <w:p>
      <w:pPr>
        <w:ind w:left="2100" w:hanging="246"/>
        <w:spacing w:after="0"/>
        <w:tabs>
          <w:tab w:leader="none" w:pos="2100" w:val="left"/>
        </w:tabs>
        <w:numPr>
          <w:ilvl w:val="0"/>
          <w:numId w:val="70"/>
        </w:numPr>
        <w:rPr>
          <w:rFonts w:ascii="Arial" w:cs="Arial" w:eastAsia="Arial" w:hAnsi="Arial"/>
          <w:sz w:val="17"/>
          <w:szCs w:val="17"/>
          <w:color w:val="345988"/>
        </w:rPr>
      </w:pPr>
      <w:r>
        <w:rPr>
          <w:rFonts w:ascii="Arial" w:cs="Arial" w:eastAsia="Arial" w:hAnsi="Arial"/>
          <w:sz w:val="18"/>
          <w:szCs w:val="18"/>
          <w:color w:val="auto"/>
        </w:rPr>
        <w:t>Equity award determined by the Committee,</w:t>
      </w:r>
      <w:r>
        <w:rPr>
          <w:rFonts w:ascii="Arial" w:cs="Arial" w:eastAsia="Arial" w:hAnsi="Arial"/>
          <w:sz w:val="17"/>
          <w:szCs w:val="17"/>
          <w:color w:val="345988"/>
        </w:rPr>
        <w:t xml:space="preserve">●  </w:t>
      </w:r>
      <w:r>
        <w:rPr>
          <w:rFonts w:ascii="Arial" w:cs="Arial" w:eastAsia="Arial" w:hAnsi="Arial"/>
          <w:sz w:val="17"/>
          <w:szCs w:val="17"/>
          <w:color w:val="000000"/>
        </w:rPr>
        <w:t>Removed; all equity now granted under the long-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vMerge w:val="restart"/>
          </w:tcPr>
          <w:p>
            <w:pPr>
              <w:spacing w:after="0"/>
              <w:rPr>
                <w:sz w:val="20"/>
                <w:szCs w:val="20"/>
                <w:color w:val="auto"/>
              </w:rPr>
            </w:pPr>
            <w:r>
              <w:rPr>
                <w:rFonts w:ascii="Arial" w:cs="Arial" w:eastAsia="Arial" w:hAnsi="Arial"/>
                <w:sz w:val="18"/>
                <w:szCs w:val="18"/>
                <w:color w:val="auto"/>
              </w:rPr>
              <w:t>Annual Equity Bonus</w:t>
            </w:r>
          </w:p>
        </w:tc>
        <w:tc>
          <w:tcPr>
            <w:tcW w:w="4220" w:type="dxa"/>
            <w:vAlign w:val="bottom"/>
          </w:tcPr>
          <w:p>
            <w:pPr>
              <w:ind w:left="240"/>
              <w:spacing w:after="0"/>
              <w:rPr>
                <w:sz w:val="20"/>
                <w:szCs w:val="20"/>
                <w:color w:val="auto"/>
              </w:rPr>
            </w:pPr>
            <w:r>
              <w:rPr>
                <w:rFonts w:ascii="Arial" w:cs="Arial" w:eastAsia="Arial" w:hAnsi="Arial"/>
                <w:sz w:val="18"/>
                <w:szCs w:val="18"/>
                <w:color w:val="auto"/>
              </w:rPr>
              <w:t>based on the short-term and long-term</w:t>
            </w:r>
          </w:p>
        </w:tc>
        <w:tc>
          <w:tcPr>
            <w:tcW w:w="3340" w:type="dxa"/>
            <w:vAlign w:val="bottom"/>
          </w:tcPr>
          <w:p>
            <w:pPr>
              <w:ind w:left="220"/>
              <w:spacing w:after="0"/>
              <w:rPr>
                <w:sz w:val="20"/>
                <w:szCs w:val="20"/>
                <w:color w:val="auto"/>
              </w:rPr>
            </w:pPr>
            <w:r>
              <w:rPr>
                <w:rFonts w:ascii="Arial" w:cs="Arial" w:eastAsia="Arial" w:hAnsi="Arial"/>
                <w:sz w:val="18"/>
                <w:szCs w:val="18"/>
                <w:color w:val="auto"/>
                <w:w w:val="97"/>
              </w:rPr>
              <w:t>term incentive element of compensation</w:t>
            </w:r>
          </w:p>
        </w:tc>
        <w:tc>
          <w:tcPr>
            <w:tcW w:w="0" w:type="dxa"/>
            <w:vAlign w:val="bottom"/>
          </w:tcPr>
          <w:p>
            <w:pPr>
              <w:spacing w:after="0"/>
              <w:rPr>
                <w:sz w:val="1"/>
                <w:szCs w:val="1"/>
                <w:color w:val="auto"/>
              </w:rPr>
            </w:pPr>
          </w:p>
        </w:tc>
      </w:tr>
      <w:tr>
        <w:trPr>
          <w:trHeight w:val="203"/>
        </w:trPr>
        <w:tc>
          <w:tcPr>
            <w:tcW w:w="1880" w:type="dxa"/>
            <w:vAlign w:val="bottom"/>
            <w:vMerge w:val="continue"/>
          </w:tcPr>
          <w:p>
            <w:pPr>
              <w:spacing w:after="0"/>
              <w:rPr>
                <w:sz w:val="17"/>
                <w:szCs w:val="17"/>
                <w:color w:val="auto"/>
              </w:rPr>
            </w:pPr>
          </w:p>
        </w:tc>
        <w:tc>
          <w:tcPr>
            <w:tcW w:w="4220" w:type="dxa"/>
            <w:vAlign w:val="bottom"/>
          </w:tcPr>
          <w:p>
            <w:pPr>
              <w:ind w:left="240"/>
              <w:spacing w:after="0" w:line="202" w:lineRule="exact"/>
              <w:rPr>
                <w:sz w:val="20"/>
                <w:szCs w:val="20"/>
                <w:color w:val="auto"/>
              </w:rPr>
            </w:pPr>
            <w:r>
              <w:rPr>
                <w:rFonts w:ascii="Arial" w:cs="Arial" w:eastAsia="Arial" w:hAnsi="Arial"/>
                <w:sz w:val="18"/>
                <w:szCs w:val="18"/>
                <w:color w:val="auto"/>
              </w:rPr>
              <w:t>performance of our Company and the executive;</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4220" w:type="dxa"/>
            <w:vAlign w:val="bottom"/>
          </w:tcPr>
          <w:p>
            <w:pPr>
              <w:ind w:left="240"/>
              <w:spacing w:after="0" w:line="202" w:lineRule="exact"/>
              <w:rPr>
                <w:sz w:val="20"/>
                <w:szCs w:val="20"/>
                <w:color w:val="auto"/>
              </w:rPr>
            </w:pPr>
            <w:r>
              <w:rPr>
                <w:rFonts w:ascii="Arial" w:cs="Arial" w:eastAsia="Arial" w:hAnsi="Arial"/>
                <w:sz w:val="18"/>
                <w:szCs w:val="18"/>
                <w:color w:val="auto"/>
              </w:rPr>
              <w:t>subject to a no-sell restriction until three years</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after grant date</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10160</wp:posOffset>
            </wp:positionV>
            <wp:extent cx="6517640" cy="1003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7640" cy="100330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1020" w:space="200"/>
            <w:col w:w="10200"/>
          </w:cols>
          <w:pgMar w:left="240" w:top="121" w:right="239" w:bottom="1440" w:gutter="0" w:footer="0" w:header="0"/>
          <w:type w:val="continuous"/>
        </w:sectPr>
      </w:pPr>
    </w:p>
    <w:p>
      <w:pPr>
        <w:ind w:left="3080"/>
        <w:spacing w:after="0"/>
        <w:tabs>
          <w:tab w:leader="none" w:pos="3300" w:val="left"/>
        </w:tabs>
        <w:rPr>
          <w:sz w:val="20"/>
          <w:szCs w:val="20"/>
          <w:color w:val="auto"/>
        </w:rPr>
      </w:pPr>
      <w:r>
        <w:rPr>
          <w:rFonts w:ascii="Arial" w:cs="Arial" w:eastAsia="Arial" w:hAnsi="Arial"/>
          <w:sz w:val="17"/>
          <w:szCs w:val="17"/>
          <w:color w:val="345988"/>
        </w:rPr>
        <w:t>●</w:t>
      </w:r>
      <w:r>
        <w:rPr>
          <w:sz w:val="20"/>
          <w:szCs w:val="20"/>
          <w:color w:val="auto"/>
        </w:rPr>
        <w:tab/>
      </w:r>
      <w:r>
        <w:rPr>
          <w:rFonts w:ascii="Arial" w:cs="Arial" w:eastAsia="Arial" w:hAnsi="Arial"/>
          <w:sz w:val="16"/>
          <w:szCs w:val="16"/>
          <w:color w:val="auto"/>
        </w:rPr>
        <w:t>Long-term equity incentives granted in</w:t>
      </w:r>
    </w:p>
    <w:p>
      <w:pPr>
        <w:spacing w:after="0" w:line="2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Contract Equity</w:t>
            </w:r>
          </w:p>
        </w:tc>
        <w:tc>
          <w:tcPr>
            <w:tcW w:w="4220" w:type="dxa"/>
            <w:vAlign w:val="bottom"/>
          </w:tcPr>
          <w:p>
            <w:pPr>
              <w:ind w:left="360"/>
              <w:spacing w:after="0"/>
              <w:rPr>
                <w:sz w:val="20"/>
                <w:szCs w:val="20"/>
                <w:color w:val="auto"/>
              </w:rPr>
            </w:pPr>
            <w:r>
              <w:rPr>
                <w:rFonts w:ascii="Arial" w:cs="Arial" w:eastAsia="Arial" w:hAnsi="Arial"/>
                <w:sz w:val="18"/>
                <w:szCs w:val="18"/>
                <w:color w:val="auto"/>
              </w:rPr>
              <w:t>connection with new or extended employment</w:t>
            </w: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4220" w:type="dxa"/>
            <w:vAlign w:val="bottom"/>
            <w:vMerge w:val="restart"/>
          </w:tcPr>
          <w:p>
            <w:pPr>
              <w:ind w:left="360"/>
              <w:spacing w:after="0" w:line="202" w:lineRule="exact"/>
              <w:rPr>
                <w:sz w:val="20"/>
                <w:szCs w:val="20"/>
                <w:color w:val="auto"/>
              </w:rPr>
            </w:pPr>
            <w:r>
              <w:rPr>
                <w:rFonts w:ascii="Arial" w:cs="Arial" w:eastAsia="Arial" w:hAnsi="Arial"/>
                <w:sz w:val="18"/>
                <w:szCs w:val="18"/>
                <w:color w:val="auto"/>
              </w:rPr>
              <w:t>agreements; includes performance-based LTIP</w:t>
            </w:r>
          </w:p>
        </w:tc>
        <w:tc>
          <w:tcPr>
            <w:tcW w:w="0" w:type="dxa"/>
            <w:vAlign w:val="bottom"/>
          </w:tcPr>
          <w:p>
            <w:pPr>
              <w:spacing w:after="0"/>
              <w:rPr>
                <w:sz w:val="1"/>
                <w:szCs w:val="1"/>
                <w:color w:val="auto"/>
              </w:rPr>
            </w:pPr>
          </w:p>
        </w:tc>
      </w:tr>
      <w:tr>
        <w:trPr>
          <w:trHeight w:val="108"/>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 xml:space="preserve">Long-Term  </w:t>
            </w:r>
            <w:r>
              <w:rPr>
                <w:rFonts w:ascii="Arial" w:cs="Arial" w:eastAsia="Arial" w:hAnsi="Arial"/>
                <w:sz w:val="18"/>
                <w:szCs w:val="18"/>
                <w:color w:val="000000"/>
              </w:rPr>
              <w:t>Awards</w:t>
            </w: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840" w:type="dxa"/>
            <w:vAlign w:val="bottom"/>
            <w:gridSpan w:val="2"/>
            <w:vMerge w:val="continue"/>
          </w:tcPr>
          <w:p>
            <w:pPr>
              <w:spacing w:after="0"/>
              <w:rPr>
                <w:sz w:val="8"/>
                <w:szCs w:val="8"/>
                <w:color w:val="auto"/>
              </w:rPr>
            </w:pPr>
          </w:p>
        </w:tc>
        <w:tc>
          <w:tcPr>
            <w:tcW w:w="4220" w:type="dxa"/>
            <w:vAlign w:val="bottom"/>
            <w:vMerge w:val="restart"/>
          </w:tcPr>
          <w:p>
            <w:pPr>
              <w:ind w:left="360"/>
              <w:spacing w:after="0" w:line="202" w:lineRule="exact"/>
              <w:rPr>
                <w:sz w:val="20"/>
                <w:szCs w:val="20"/>
                <w:color w:val="auto"/>
              </w:rPr>
            </w:pPr>
            <w:r>
              <w:rPr>
                <w:rFonts w:ascii="Arial" w:cs="Arial" w:eastAsia="Arial" w:hAnsi="Arial"/>
                <w:sz w:val="18"/>
                <w:szCs w:val="18"/>
                <w:color w:val="auto"/>
              </w:rPr>
              <w:t>units and time-based LTIP units. Previously</w:t>
            </w:r>
          </w:p>
        </w:tc>
        <w:tc>
          <w:tcPr>
            <w:tcW w:w="0" w:type="dxa"/>
            <w:vAlign w:val="bottom"/>
          </w:tcPr>
          <w:p>
            <w:pPr>
              <w:spacing w:after="0"/>
              <w:rPr>
                <w:sz w:val="1"/>
                <w:szCs w:val="1"/>
                <w:color w:val="auto"/>
              </w:rPr>
            </w:pPr>
          </w:p>
        </w:tc>
      </w:tr>
      <w:tr>
        <w:trPr>
          <w:trHeight w:val="103"/>
        </w:trPr>
        <w:tc>
          <w:tcPr>
            <w:tcW w:w="2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FFFFFF"/>
              </w:rPr>
              <w:t>Incentives</w:t>
            </w:r>
          </w:p>
        </w:tc>
        <w:tc>
          <w:tcPr>
            <w:tcW w:w="4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840" w:type="dxa"/>
            <w:vAlign w:val="bottom"/>
            <w:gridSpan w:val="2"/>
            <w:vMerge w:val="continue"/>
          </w:tcPr>
          <w:p>
            <w:pPr>
              <w:spacing w:after="0"/>
              <w:rPr>
                <w:sz w:val="11"/>
                <w:szCs w:val="11"/>
                <w:color w:val="auto"/>
              </w:rPr>
            </w:pPr>
          </w:p>
        </w:tc>
        <w:tc>
          <w:tcPr>
            <w:tcW w:w="4220" w:type="dxa"/>
            <w:vAlign w:val="bottom"/>
            <w:vMerge w:val="restart"/>
          </w:tcPr>
          <w:p>
            <w:pPr>
              <w:ind w:left="360"/>
              <w:spacing w:after="0"/>
              <w:rPr>
                <w:sz w:val="20"/>
                <w:szCs w:val="20"/>
                <w:color w:val="auto"/>
              </w:rPr>
            </w:pPr>
            <w:r>
              <w:rPr>
                <w:rFonts w:ascii="Arial" w:cs="Arial" w:eastAsia="Arial" w:hAnsi="Arial"/>
                <w:sz w:val="18"/>
                <w:szCs w:val="18"/>
                <w:color w:val="auto"/>
              </w:rPr>
              <w:t>included stock options or Class O LTIP units</w:t>
            </w: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1820" w:type="dxa"/>
            <w:vAlign w:val="bottom"/>
            <w:tcBorders>
              <w:bottom w:val="single" w:sz="8" w:color="8591A9"/>
            </w:tcBorders>
          </w:tcPr>
          <w:p>
            <w:pPr>
              <w:spacing w:after="0"/>
              <w:rPr>
                <w:sz w:val="7"/>
                <w:szCs w:val="7"/>
                <w:color w:val="auto"/>
              </w:rPr>
            </w:pPr>
          </w:p>
        </w:tc>
        <w:tc>
          <w:tcPr>
            <w:tcW w:w="4220" w:type="dxa"/>
            <w:vAlign w:val="bottom"/>
            <w:tcBorders>
              <w:bottom w:val="single" w:sz="8" w:color="8591A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Outperformance Plan</w:t>
            </w:r>
          </w:p>
        </w:tc>
        <w:tc>
          <w:tcPr>
            <w:tcW w:w="4220" w:type="dxa"/>
            <w:vAlign w:val="bottom"/>
          </w:tcPr>
          <w:p>
            <w:pPr>
              <w:ind w:left="10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Multi-year equity awards that are subject to</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(OPP) Awards</w:t>
            </w:r>
          </w:p>
        </w:tc>
        <w:tc>
          <w:tcPr>
            <w:tcW w:w="4220" w:type="dxa"/>
            <w:vAlign w:val="bottom"/>
          </w:tcPr>
          <w:p>
            <w:pPr>
              <w:ind w:left="360"/>
              <w:spacing w:after="0"/>
              <w:rPr>
                <w:sz w:val="20"/>
                <w:szCs w:val="20"/>
                <w:color w:val="auto"/>
              </w:rPr>
            </w:pPr>
            <w:r>
              <w:rPr>
                <w:rFonts w:ascii="Arial" w:cs="Arial" w:eastAsia="Arial" w:hAnsi="Arial"/>
                <w:sz w:val="18"/>
                <w:szCs w:val="18"/>
                <w:color w:val="auto"/>
              </w:rPr>
              <w:t>challenging performance-based hurdles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wp:posOffset>
            </wp:positionV>
            <wp:extent cx="65176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3" w:right="120" w:hanging="253"/>
        <w:spacing w:after="0" w:line="239" w:lineRule="auto"/>
        <w:tabs>
          <w:tab w:leader="none" w:pos="230" w:val="left"/>
        </w:tabs>
        <w:numPr>
          <w:ilvl w:val="0"/>
          <w:numId w:val="71"/>
        </w:numPr>
        <w:rPr>
          <w:rFonts w:ascii="Arial" w:cs="Arial" w:eastAsia="Arial" w:hAnsi="Arial"/>
          <w:sz w:val="17"/>
          <w:szCs w:val="17"/>
          <w:color w:val="345988"/>
        </w:rPr>
      </w:pPr>
      <w:r>
        <w:rPr>
          <w:rFonts w:ascii="Arial" w:cs="Arial" w:eastAsia="Arial" w:hAnsi="Arial"/>
          <w:sz w:val="18"/>
          <w:szCs w:val="18"/>
          <w:color w:val="auto"/>
        </w:rPr>
        <w:t>Removed; long-term incentives now include a target performance-based equity award that can be earned based on operational measures with an absolute TSR modifier and relative TSR (with no “retesting” feature) and a target time-based equity award</w:t>
      </w:r>
    </w:p>
    <w:p>
      <w:pPr>
        <w:spacing w:after="0" w:line="484" w:lineRule="exact"/>
        <w:rPr>
          <w:sz w:val="20"/>
          <w:szCs w:val="20"/>
          <w:color w:val="auto"/>
        </w:rPr>
      </w:pPr>
    </w:p>
    <w:p>
      <w:pPr>
        <w:sectPr>
          <w:pgSz w:w="11900" w:h="16838" w:orient="portrait"/>
          <w:cols w:equalWidth="0" w:num="2">
            <w:col w:w="7200" w:space="87"/>
            <w:col w:w="4133"/>
          </w:cols>
          <w:pgMar w:left="240" w:top="121"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2018 Pay Outcomes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Annual Base Salary</w:t>
      </w:r>
    </w:p>
    <w:p>
      <w:pPr>
        <w:spacing w:after="0" w:line="2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other companies for similar positions. Since such salaries are not based on performance, they are intentionally structured to be a relatively low percentage of total compensation.</w:t>
      </w:r>
    </w:p>
    <w:p>
      <w:pPr>
        <w:spacing w:after="0" w:line="208"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45988"/>
        </w:rPr>
        <w:t>EXECUTIVE COMPENSATION</w:t>
      </w:r>
    </w:p>
    <w:p>
      <w:pPr>
        <w:spacing w:after="0" w:line="2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sets forth the annual base salaries for our named executive officers for 2017 and 2018. In connection with entry into his new employment agreement effective starting in 2019, Mr. Holliday consented to a reduction of the aggregate per annum minimum base salary payable pursuant to Mr. Holliday’s then-current employment agreement, from $1.35 million to $1.25 million, effective for calendar year 2018, retroactive to January 18,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2017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2018</w:t>
            </w:r>
          </w:p>
        </w:tc>
        <w:tc>
          <w:tcPr>
            <w:tcW w:w="660" w:type="dxa"/>
            <w:vAlign w:val="bottom"/>
          </w:tcPr>
          <w:p>
            <w:pPr>
              <w:spacing w:after="0"/>
              <w:rPr>
                <w:sz w:val="14"/>
                <w:szCs w:val="14"/>
                <w:color w:val="auto"/>
              </w:rPr>
            </w:pPr>
          </w:p>
        </w:tc>
      </w:tr>
      <w:tr>
        <w:trPr>
          <w:trHeight w:val="199"/>
        </w:trPr>
        <w:tc>
          <w:tcPr>
            <w:tcW w:w="8200" w:type="dxa"/>
            <w:vAlign w:val="bottom"/>
            <w:tcBorders>
              <w:bottom w:val="single" w:sz="8" w:color="345988"/>
            </w:tcBorders>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7"/>
                <w:szCs w:val="17"/>
                <w:color w:val="auto"/>
              </w:rPr>
            </w:pPr>
          </w:p>
        </w:tc>
        <w:tc>
          <w:tcPr>
            <w:tcW w:w="180" w:type="dxa"/>
            <w:vAlign w:val="bottom"/>
            <w:tcBorders>
              <w:bottom w:val="single" w:sz="8" w:color="345988"/>
            </w:tcBorders>
          </w:tcPr>
          <w:p>
            <w:pPr>
              <w:spacing w:after="0"/>
              <w:rPr>
                <w:sz w:val="17"/>
                <w:szCs w:val="17"/>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4"/>
                <w:szCs w:val="14"/>
                <w:b w:val="1"/>
                <w:bCs w:val="1"/>
                <w:color w:val="345988"/>
              </w:rPr>
              <w:t>Base Salary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345988"/>
            </w:tcBorders>
          </w:tcPr>
          <w:p>
            <w:pPr>
              <w:spacing w:after="0"/>
              <w:rPr>
                <w:sz w:val="17"/>
                <w:szCs w:val="17"/>
                <w:color w:val="auto"/>
              </w:rPr>
            </w:pPr>
          </w:p>
        </w:tc>
        <w:tc>
          <w:tcPr>
            <w:tcW w:w="860" w:type="dxa"/>
            <w:vAlign w:val="bottom"/>
            <w:tcBorders>
              <w:bottom w:val="single" w:sz="8" w:color="345988"/>
            </w:tcBorders>
          </w:tcPr>
          <w:p>
            <w:pPr>
              <w:jc w:val="right"/>
              <w:spacing w:after="0"/>
              <w:rPr>
                <w:sz w:val="20"/>
                <w:szCs w:val="20"/>
                <w:color w:val="auto"/>
              </w:rPr>
            </w:pPr>
            <w:r>
              <w:rPr>
                <w:rFonts w:ascii="Arial" w:cs="Arial" w:eastAsia="Arial" w:hAnsi="Arial"/>
                <w:sz w:val="14"/>
                <w:szCs w:val="14"/>
                <w:b w:val="1"/>
                <w:bCs w:val="1"/>
                <w:color w:val="345988"/>
              </w:rPr>
              <w:t>Base Salary</w:t>
            </w:r>
          </w:p>
        </w:tc>
        <w:tc>
          <w:tcPr>
            <w:tcW w:w="160" w:type="dxa"/>
            <w:vAlign w:val="bottom"/>
          </w:tcPr>
          <w:p>
            <w:pPr>
              <w:spacing w:after="0"/>
              <w:rPr>
                <w:sz w:val="17"/>
                <w:szCs w:val="17"/>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4"/>
                <w:szCs w:val="14"/>
                <w:b w:val="1"/>
                <w:bCs w:val="1"/>
                <w:color w:val="345988"/>
                <w:w w:val="94"/>
              </w:rPr>
              <w:t>% Change</w:t>
            </w: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Marc Holliday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
        </w:trPr>
        <w:tc>
          <w:tcPr>
            <w:tcW w:w="82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Stephen L. Green</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2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Andrew Mathias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800,000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900,000</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
        </w:trPr>
        <w:tc>
          <w:tcPr>
            <w:tcW w:w="82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Matthew J. DiLiberto</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550,000</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820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8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Andrew S. Levine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550,000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550,000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82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shd w:val="clear" w:color="auto" w:fill="345988"/>
          </w:tcPr>
          <w:p>
            <w:pPr>
              <w:spacing w:after="0"/>
              <w:rPr>
                <w:sz w:val="3"/>
                <w:szCs w:val="3"/>
                <w:color w:val="auto"/>
              </w:rPr>
            </w:pPr>
          </w:p>
        </w:tc>
        <w:tc>
          <w:tcPr>
            <w:tcW w:w="86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345988"/>
          </w:tcPr>
          <w:p>
            <w:pPr>
              <w:spacing w:after="0"/>
              <w:rPr>
                <w:sz w:val="3"/>
                <w:szCs w:val="3"/>
                <w:color w:val="auto"/>
              </w:rPr>
            </w:pPr>
          </w:p>
        </w:tc>
        <w:tc>
          <w:tcPr>
            <w:tcW w:w="8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45988"/>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009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3009900"/>
                    </a:xfrm>
                    <a:prstGeom prst="rect">
                      <a:avLst/>
                    </a:prstGeom>
                    <a:noFill/>
                  </pic:spPr>
                </pic:pic>
              </a:graphicData>
            </a:graphic>
          </wp:anchor>
        </w:drawing>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shd w:val="clear" w:color="auto" w:fill="345988"/>
        </w:rPr>
        <w:t>Eliminated in 2019</w:t>
      </w:r>
    </w:p>
    <w:p>
      <w:pPr>
        <w:spacing w:after="0" w:line="223" w:lineRule="exact"/>
        <w:rPr>
          <w:sz w:val="20"/>
          <w:szCs w:val="20"/>
          <w:color w:val="auto"/>
        </w:rPr>
      </w:pPr>
    </w:p>
    <w:p>
      <w:pPr>
        <w:jc w:val="both"/>
        <w:ind w:left="120" w:right="440"/>
        <w:spacing w:after="0" w:line="237" w:lineRule="auto"/>
        <w:rPr>
          <w:sz w:val="20"/>
          <w:szCs w:val="20"/>
          <w:color w:val="auto"/>
        </w:rPr>
      </w:pPr>
      <w:r>
        <w:rPr>
          <w:rFonts w:ascii="Arial" w:cs="Arial" w:eastAsia="Arial" w:hAnsi="Arial"/>
          <w:sz w:val="18"/>
          <w:szCs w:val="18"/>
          <w:color w:val="auto"/>
        </w:rPr>
        <w:t>In addition to base salary, each of Messrs. Holliday, Green and Mathias also received a contribution of deferred notional stock units that are subject to vesting based on continued employment during a one-year period following the contribution and are only paid upon termination of employment or a change in control. The executives will not receive this deferred compensation until the termination of their employment or a change in control.</w:t>
      </w:r>
    </w:p>
    <w:p>
      <w:pPr>
        <w:spacing w:after="0" w:line="209"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amount of deferred compensation that each of Messrs. Holliday, Green and Mathias received for 2018 was equal to the base amount provided for under the executive’s employment agreement and associated deferred compensation agreement that were in effect for 2018. The following table sets forth the deferred compensation grants made to our executives in 2018.</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9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rPr>
              <w:t>Deferred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345988"/>
                <w:w w:val="92"/>
              </w:rPr>
              <w:t>Notional</w:t>
            </w:r>
          </w:p>
        </w:tc>
      </w:tr>
      <w:tr>
        <w:trPr>
          <w:trHeight w:val="149"/>
        </w:trPr>
        <w:tc>
          <w:tcPr>
            <w:tcW w:w="9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45988"/>
                <w:w w:val="96"/>
              </w:rPr>
              <w:t>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Stock</w:t>
            </w:r>
          </w:p>
        </w:tc>
      </w:tr>
      <w:tr>
        <w:trPr>
          <w:trHeight w:val="210"/>
        </w:trPr>
        <w:tc>
          <w:tcPr>
            <w:tcW w:w="922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rPr>
              <w:t>Amount</w:t>
            </w:r>
          </w:p>
        </w:tc>
        <w:tc>
          <w:tcPr>
            <w:tcW w:w="540" w:type="dxa"/>
            <w:vAlign w:val="bottom"/>
          </w:tcPr>
          <w:p>
            <w:pPr>
              <w:jc w:val="right"/>
              <w:spacing w:after="0" w:line="203" w:lineRule="exact"/>
              <w:rPr>
                <w:sz w:val="20"/>
                <w:szCs w:val="20"/>
                <w:color w:val="auto"/>
              </w:rPr>
            </w:pPr>
            <w:r>
              <w:rPr>
                <w:rFonts w:ascii="Arial" w:cs="Arial" w:eastAsia="Arial" w:hAnsi="Arial"/>
                <w:sz w:val="14"/>
                <w:szCs w:val="14"/>
                <w:b w:val="1"/>
                <w:bCs w:val="1"/>
                <w:color w:val="345988"/>
                <w:w w:val="98"/>
              </w:rPr>
              <w:t>Units</w:t>
            </w:r>
            <w:r>
              <w:rPr>
                <w:rFonts w:ascii="Arial" w:cs="Arial" w:eastAsia="Arial" w:hAnsi="Arial"/>
                <w:sz w:val="22"/>
                <w:szCs w:val="22"/>
                <w:b w:val="1"/>
                <w:bCs w:val="1"/>
                <w:color w:val="345988"/>
                <w:w w:val="98"/>
                <w:vertAlign w:val="superscript"/>
              </w:rPr>
              <w:t>(1)</w:t>
            </w:r>
          </w:p>
        </w:tc>
      </w:tr>
      <w:tr>
        <w:trPr>
          <w:trHeight w:val="237"/>
        </w:trPr>
        <w:tc>
          <w:tcPr>
            <w:tcW w:w="9220" w:type="dxa"/>
            <w:vAlign w:val="bottom"/>
            <w:tcBorders>
              <w:top w:val="single" w:sz="8" w:color="345988"/>
              <w:bottom w:val="single" w:sz="8" w:color="8591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4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p>
        </w:tc>
        <w:tc>
          <w:tcPr>
            <w:tcW w:w="54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7,692</w:t>
            </w:r>
          </w:p>
        </w:tc>
      </w:tr>
      <w:tr>
        <w:trPr>
          <w:trHeight w:val="237"/>
        </w:trPr>
        <w:tc>
          <w:tcPr>
            <w:tcW w:w="922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14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20"/>
                <w:szCs w:val="20"/>
                <w:color w:val="auto"/>
              </w:rPr>
            </w:pPr>
          </w:p>
        </w:tc>
        <w:tc>
          <w:tcPr>
            <w:tcW w:w="54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1,482</w:t>
            </w:r>
          </w:p>
        </w:tc>
      </w:tr>
      <w:tr>
        <w:trPr>
          <w:trHeight w:val="250"/>
        </w:trPr>
        <w:tc>
          <w:tcPr>
            <w:tcW w:w="922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1"/>
                <w:szCs w:val="21"/>
                <w:color w:val="auto"/>
              </w:rPr>
            </w:pPr>
          </w:p>
        </w:tc>
        <w:tc>
          <w:tcPr>
            <w:tcW w:w="1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21"/>
                <w:szCs w:val="21"/>
                <w:color w:val="auto"/>
              </w:rPr>
            </w:pPr>
          </w:p>
        </w:tc>
        <w:tc>
          <w:tcPr>
            <w:tcW w:w="5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5,436</w:t>
            </w:r>
          </w:p>
        </w:tc>
      </w:tr>
    </w:tbl>
    <w:p>
      <w:pPr>
        <w:spacing w:after="0" w:line="215" w:lineRule="exact"/>
        <w:rPr>
          <w:sz w:val="20"/>
          <w:szCs w:val="20"/>
          <w:color w:val="auto"/>
        </w:rPr>
      </w:pPr>
    </w:p>
    <w:p>
      <w:pPr>
        <w:ind w:left="500" w:hanging="384"/>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Deferred compensation contributions were converted into notional stock units based on the market price of our common stock on the date of the contribution.</w:t>
      </w:r>
    </w:p>
    <w:p>
      <w:pPr>
        <w:spacing w:after="0" w:line="207" w:lineRule="exact"/>
        <w:rPr>
          <w:sz w:val="20"/>
          <w:szCs w:val="20"/>
          <w:color w:val="auto"/>
        </w:rPr>
      </w:pPr>
    </w:p>
    <w:p>
      <w:pPr>
        <w:ind w:left="120" w:right="400"/>
        <w:spacing w:after="0" w:line="299" w:lineRule="auto"/>
        <w:rPr>
          <w:sz w:val="20"/>
          <w:szCs w:val="20"/>
          <w:color w:val="auto"/>
        </w:rPr>
      </w:pPr>
      <w:r>
        <w:rPr>
          <w:rFonts w:ascii="Arial" w:cs="Arial" w:eastAsia="Arial" w:hAnsi="Arial"/>
          <w:sz w:val="16"/>
          <w:szCs w:val="16"/>
          <w:color w:val="auto"/>
        </w:rPr>
        <w:t>Under our new employment agreements with our executives and as part of our simplified executive compensation program, we will no longer make deferred compensation contributions on behalf of our executives. Outstanding stock units previously granted will remain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Annual Incentive Awards</w:t>
      </w:r>
    </w:p>
    <w:p>
      <w:pPr>
        <w:spacing w:after="0" w:line="2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pay annual incentive awards in the form of annual cash and equity bonuses to reward our named executive officers for achieving key corporate financial and operational objectives and individual goals. In 2018, the entire amount of the annual cash bonuses paid to our top three named executive officers was determined pursuant to this annual cash bonus program, which is described in more detail below.</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Annual Cash Bonus Program (Top Three Named Executive Officers)</w:t>
      </w:r>
    </w:p>
    <w:p>
      <w:pPr>
        <w:spacing w:after="0" w:line="22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noted above, the annual cash bonuses paid to our top three named executive officers for 2018 were determined pursuant to our annual cash bonus program. Under this program, the Committee established specific threshold, target and maximum cash bonus amounts that each of our top three named executive officers could earn for 2018 and established specific performance criteria that were to be used in a formulaic manner to determine 100% of each of these executives’ cash bonuses. For 2018, each of Messrs. Holliday, Green and Mathias were eligible to earn the following percentages of his base salary (with linear interpolation used to determine the percentage earned for performance that falls between threshold, target and/or maximum):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w w:val="94"/>
              </w:rPr>
              <w:t>Threshold</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345988"/>
              </w:rPr>
              <w:t>Target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345988"/>
                <w:w w:val="95"/>
              </w:rPr>
              <w:t>Maximum</w:t>
            </w:r>
          </w:p>
        </w:tc>
      </w:tr>
      <w:tr>
        <w:trPr>
          <w:trHeight w:val="48"/>
        </w:trPr>
        <w:tc>
          <w:tcPr>
            <w:tcW w:w="91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45988"/>
            </w:tcBorders>
          </w:tcPr>
          <w:p>
            <w:pPr>
              <w:spacing w:after="0"/>
              <w:rPr>
                <w:sz w:val="4"/>
                <w:szCs w:val="4"/>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200%</w:t>
            </w: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
        </w:trPr>
        <w:tc>
          <w:tcPr>
            <w:tcW w:w="91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
        </w:trPr>
        <w:tc>
          <w:tcPr>
            <w:tcW w:w="918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1A9"/>
          </w:tcPr>
          <w:p>
            <w:pPr>
              <w:spacing w:after="0" w:line="20" w:lineRule="exact"/>
              <w:rPr>
                <w:sz w:val="1"/>
                <w:szCs w:val="1"/>
                <w:color w:val="auto"/>
              </w:rPr>
            </w:pPr>
          </w:p>
        </w:tc>
      </w:tr>
      <w:tr>
        <w:trPr>
          <w:trHeight w:val="235"/>
        </w:trPr>
        <w:tc>
          <w:tcPr>
            <w:tcW w:w="91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5"/>
        </w:trPr>
        <w:tc>
          <w:tcPr>
            <w:tcW w:w="91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45988"/>
          </w:tcPr>
          <w:p>
            <w:pPr>
              <w:spacing w:after="0"/>
              <w:rPr>
                <w:sz w:val="3"/>
                <w:szCs w:val="3"/>
                <w:color w:val="auto"/>
              </w:rPr>
            </w:pPr>
          </w:p>
        </w:tc>
      </w:tr>
    </w:tbl>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One hundred percent of each executive’s annual cash bonus was determined in a formulaic manner based on the level of our achievement of a number of performance criteria as compared to the level established in advance by the Committee. The following sets forth the specific performance criteria selected for 2018, the relative weighting of each, the threshold, target and maximum performance levels established by the Committee in advance for each, and our actual 2018 results for each.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2018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6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w w:val="94"/>
              </w:rPr>
              <w:t>Weighting</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w w:val="95"/>
              </w:rPr>
              <w:t>2018 Actual</w:t>
            </w:r>
          </w:p>
        </w:tc>
      </w:tr>
      <w:tr>
        <w:trPr>
          <w:trHeight w:val="199"/>
        </w:trPr>
        <w:tc>
          <w:tcPr>
            <w:tcW w:w="6920" w:type="dxa"/>
            <w:vAlign w:val="bottom"/>
          </w:tcPr>
          <w:p>
            <w:pPr>
              <w:spacing w:after="0"/>
              <w:rPr>
                <w:sz w:val="20"/>
                <w:szCs w:val="20"/>
                <w:color w:val="auto"/>
              </w:rPr>
            </w:pPr>
            <w:r>
              <w:rPr>
                <w:rFonts w:ascii="Arial" w:cs="Arial" w:eastAsia="Arial" w:hAnsi="Arial"/>
                <w:sz w:val="14"/>
                <w:szCs w:val="14"/>
                <w:b w:val="1"/>
                <w:bCs w:val="1"/>
                <w:color w:val="auto"/>
              </w:rPr>
              <w:t>Performance criteria</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Levels</w:t>
            </w:r>
          </w:p>
        </w:tc>
        <w:tc>
          <w:tcPr>
            <w:tcW w:w="1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345988"/>
              </w:rPr>
              <w:t>Threshold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345988"/>
              </w:rPr>
              <w:t>Target</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345988"/>
              </w:rPr>
              <w:t>Maximum</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345988"/>
                <w:w w:val="98"/>
              </w:rPr>
              <w:t>Performance</w:t>
            </w:r>
          </w:p>
        </w:tc>
      </w:tr>
      <w:tr>
        <w:trPr>
          <w:trHeight w:val="311"/>
        </w:trPr>
        <w:tc>
          <w:tcPr>
            <w:tcW w:w="6920" w:type="dxa"/>
            <w:vAlign w:val="bottom"/>
            <w:tcBorders>
              <w:top w:val="single" w:sz="8" w:color="345988"/>
              <w:bottom w:val="single" w:sz="8" w:color="8591A9"/>
            </w:tcBorders>
          </w:tcPr>
          <w:p>
            <w:pPr>
              <w:spacing w:after="0" w:line="310" w:lineRule="exact"/>
              <w:rPr>
                <w:sz w:val="20"/>
                <w:szCs w:val="20"/>
                <w:color w:val="auto"/>
              </w:rPr>
            </w:pPr>
            <w:r>
              <w:rPr>
                <w:rFonts w:ascii="Arial" w:cs="Arial" w:eastAsia="Arial" w:hAnsi="Arial"/>
                <w:sz w:val="18"/>
                <w:szCs w:val="18"/>
                <w:color w:val="auto"/>
              </w:rPr>
              <w:t>Normalized FFO per share</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66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12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345988"/>
              <w:bottom w:val="single" w:sz="8" w:color="8591A9"/>
            </w:tcBorders>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24"/>
                <w:szCs w:val="24"/>
                <w:color w:val="auto"/>
              </w:rPr>
            </w:pPr>
          </w:p>
        </w:tc>
        <w:tc>
          <w:tcPr>
            <w:tcW w:w="160" w:type="dxa"/>
            <w:vAlign w:val="bottom"/>
            <w:tcBorders>
              <w:top w:val="single" w:sz="8" w:color="345988"/>
              <w:bottom w:val="single" w:sz="8" w:color="8591A9"/>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24"/>
                <w:szCs w:val="24"/>
                <w:color w:val="auto"/>
              </w:rPr>
            </w:pPr>
          </w:p>
        </w:tc>
        <w:tc>
          <w:tcPr>
            <w:tcW w:w="10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6.78</w:t>
            </w:r>
          </w:p>
        </w:tc>
      </w:tr>
      <w:tr>
        <w:trPr>
          <w:trHeight w:val="304"/>
        </w:trPr>
        <w:tc>
          <w:tcPr>
            <w:tcW w:w="6920" w:type="dxa"/>
            <w:vAlign w:val="bottom"/>
            <w:tcBorders>
              <w:bottom w:val="single" w:sz="8" w:color="8591A9"/>
            </w:tcBorders>
          </w:tcPr>
          <w:p>
            <w:pPr>
              <w:spacing w:after="0" w:line="303" w:lineRule="exact"/>
              <w:rPr>
                <w:sz w:val="20"/>
                <w:szCs w:val="20"/>
                <w:color w:val="auto"/>
              </w:rPr>
            </w:pPr>
            <w:r>
              <w:rPr>
                <w:rFonts w:ascii="Arial" w:cs="Arial" w:eastAsia="Arial" w:hAnsi="Arial"/>
                <w:sz w:val="18"/>
                <w:szCs w:val="18"/>
                <w:color w:val="auto"/>
              </w:rPr>
              <w:t>Annual same-store cash NOI growth</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6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120" w:type="dxa"/>
            <w:vAlign w:val="bottom"/>
            <w:tcBorders>
              <w:bottom w:val="single" w:sz="8" w:color="8591A9"/>
            </w:tcBorders>
          </w:tcPr>
          <w:p>
            <w:pPr>
              <w:spacing w:after="0"/>
              <w:rPr>
                <w:sz w:val="24"/>
                <w:szCs w:val="24"/>
                <w:color w:val="auto"/>
              </w:rPr>
            </w:pPr>
          </w:p>
        </w:tc>
        <w:tc>
          <w:tcPr>
            <w:tcW w:w="6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8591A9"/>
            </w:tcBorders>
          </w:tcPr>
          <w:p>
            <w:pPr>
              <w:spacing w:after="0"/>
              <w:rPr>
                <w:sz w:val="24"/>
                <w:szCs w:val="24"/>
                <w:color w:val="auto"/>
              </w:rPr>
            </w:pPr>
          </w:p>
        </w:tc>
        <w:tc>
          <w:tcPr>
            <w:tcW w:w="54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60" w:type="dxa"/>
            <w:vAlign w:val="bottom"/>
            <w:tcBorders>
              <w:bottom w:val="single" w:sz="8" w:color="8591A9"/>
            </w:tcBorders>
          </w:tcPr>
          <w:p>
            <w:pPr>
              <w:spacing w:after="0"/>
              <w:rPr>
                <w:sz w:val="24"/>
                <w:szCs w:val="24"/>
                <w:color w:val="auto"/>
              </w:rPr>
            </w:pPr>
          </w:p>
        </w:tc>
        <w:tc>
          <w:tcPr>
            <w:tcW w:w="50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00" w:type="dxa"/>
            <w:vAlign w:val="bottom"/>
            <w:tcBorders>
              <w:bottom w:val="single" w:sz="8" w:color="8591A9"/>
            </w:tcBorders>
          </w:tcPr>
          <w:p>
            <w:pPr>
              <w:spacing w:after="0"/>
              <w:rPr>
                <w:sz w:val="24"/>
                <w:szCs w:val="24"/>
                <w:color w:val="auto"/>
              </w:rPr>
            </w:pP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920" w:type="dxa"/>
            <w:vAlign w:val="bottom"/>
            <w:tcBorders>
              <w:bottom w:val="single" w:sz="8" w:color="8591A9"/>
            </w:tcBorders>
          </w:tcPr>
          <w:p>
            <w:pPr>
              <w:spacing w:after="0"/>
              <w:rPr>
                <w:sz w:val="20"/>
                <w:szCs w:val="20"/>
                <w:color w:val="auto"/>
              </w:rPr>
            </w:pPr>
            <w:r>
              <w:rPr>
                <w:rFonts w:ascii="Arial" w:cs="Arial" w:eastAsia="Arial" w:hAnsi="Arial"/>
                <w:sz w:val="18"/>
                <w:szCs w:val="18"/>
                <w:color w:val="auto"/>
              </w:rPr>
              <w:t>Dividend growth</w:t>
            </w:r>
          </w:p>
        </w:tc>
        <w:tc>
          <w:tcPr>
            <w:tcW w:w="160" w:type="dxa"/>
            <w:vAlign w:val="bottom"/>
          </w:tcPr>
          <w:p>
            <w:pPr>
              <w:spacing w:after="0"/>
              <w:rPr>
                <w:sz w:val="20"/>
                <w:szCs w:val="20"/>
                <w:color w:val="auto"/>
              </w:rPr>
            </w:pPr>
          </w:p>
        </w:tc>
        <w:tc>
          <w:tcPr>
            <w:tcW w:w="6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120" w:type="dxa"/>
            <w:vAlign w:val="bottom"/>
            <w:tcBorders>
              <w:bottom w:val="single" w:sz="8" w:color="8591A9"/>
            </w:tcBorders>
          </w:tcPr>
          <w:p>
            <w:pPr>
              <w:spacing w:after="0"/>
              <w:rPr>
                <w:sz w:val="20"/>
                <w:szCs w:val="20"/>
                <w:color w:val="auto"/>
              </w:rPr>
            </w:pPr>
          </w:p>
        </w:tc>
        <w:tc>
          <w:tcPr>
            <w:tcW w:w="6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8591A9"/>
            </w:tcBorders>
          </w:tcPr>
          <w:p>
            <w:pPr>
              <w:spacing w:after="0"/>
              <w:rPr>
                <w:sz w:val="20"/>
                <w:szCs w:val="20"/>
                <w:color w:val="auto"/>
              </w:rPr>
            </w:pPr>
          </w:p>
        </w:tc>
        <w:tc>
          <w:tcPr>
            <w:tcW w:w="54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60" w:type="dxa"/>
            <w:vAlign w:val="bottom"/>
            <w:tcBorders>
              <w:bottom w:val="single" w:sz="8" w:color="8591A9"/>
            </w:tcBorders>
          </w:tcPr>
          <w:p>
            <w:pPr>
              <w:spacing w:after="0"/>
              <w:rPr>
                <w:sz w:val="20"/>
                <w:szCs w:val="20"/>
                <w:color w:val="auto"/>
              </w:rPr>
            </w:pPr>
          </w:p>
        </w:tc>
        <w:tc>
          <w:tcPr>
            <w:tcW w:w="50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100" w:type="dxa"/>
            <w:vAlign w:val="bottom"/>
            <w:tcBorders>
              <w:bottom w:val="single" w:sz="8" w:color="8591A9"/>
            </w:tcBorders>
          </w:tcPr>
          <w:p>
            <w:pPr>
              <w:spacing w:after="0"/>
              <w:rPr>
                <w:sz w:val="20"/>
                <w:szCs w:val="20"/>
                <w:color w:val="auto"/>
              </w:rPr>
            </w:pPr>
          </w:p>
        </w:tc>
        <w:tc>
          <w:tcPr>
            <w:tcW w:w="7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692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G&amp;A expense (in millions)</w:t>
            </w:r>
          </w:p>
        </w:tc>
        <w:tc>
          <w:tcPr>
            <w:tcW w:w="16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1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97.75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345988"/>
            </w:tcBorders>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94.90</w:t>
            </w:r>
          </w:p>
        </w:tc>
        <w:tc>
          <w:tcPr>
            <w:tcW w:w="160" w:type="dxa"/>
            <w:vAlign w:val="bottom"/>
          </w:tcPr>
          <w:p>
            <w:pPr>
              <w:spacing w:after="0"/>
              <w:rPr>
                <w:sz w:val="21"/>
                <w:szCs w:val="21"/>
                <w:color w:val="auto"/>
              </w:rPr>
            </w:pPr>
          </w:p>
        </w:tc>
        <w:tc>
          <w:tcPr>
            <w:tcW w:w="16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92.05</w:t>
            </w:r>
          </w:p>
        </w:tc>
        <w:tc>
          <w:tcPr>
            <w:tcW w:w="160" w:type="dxa"/>
            <w:vAlign w:val="bottom"/>
          </w:tcPr>
          <w:p>
            <w:pPr>
              <w:spacing w:after="0"/>
              <w:rPr>
                <w:sz w:val="21"/>
                <w:szCs w:val="21"/>
                <w:color w:val="auto"/>
              </w:rPr>
            </w:pPr>
          </w:p>
        </w:tc>
        <w:tc>
          <w:tcPr>
            <w:tcW w:w="1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92.63</w:t>
            </w:r>
          </w:p>
        </w:tc>
      </w:tr>
    </w:tbl>
    <w:p>
      <w:pPr>
        <w:spacing w:after="0" w:line="107"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Refer to Appendix A for a reconciliation.</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Excludes lease termination income. Refer to Appendix A for a reconciliation.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 criteria were chosen by the Committee because they are key drivers of stockholder value creation:</w:t>
      </w:r>
    </w:p>
    <w:p>
      <w:pPr>
        <w:spacing w:after="0" w:line="190" w:lineRule="exact"/>
        <w:rPr>
          <w:sz w:val="20"/>
          <w:szCs w:val="20"/>
          <w:color w:val="auto"/>
        </w:rPr>
      </w:pPr>
    </w:p>
    <w:p>
      <w:pPr>
        <w:ind w:left="540" w:right="40" w:hanging="262"/>
        <w:spacing w:after="0" w:line="264" w:lineRule="auto"/>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b w:val="1"/>
          <w:bCs w:val="1"/>
          <w:color w:val="auto"/>
        </w:rPr>
        <w:t xml:space="preserve">FFO per share: </w:t>
      </w:r>
      <w:r>
        <w:rPr>
          <w:rFonts w:ascii="Arial" w:cs="Arial" w:eastAsia="Arial" w:hAnsi="Arial"/>
          <w:sz w:val="18"/>
          <w:szCs w:val="18"/>
          <w:color w:val="auto"/>
        </w:rPr>
        <w:t>is a widely-used non-GAAP measure of earnings performance for REITs, used both by investors and our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 key financial measure for which we provide guidance.</w:t>
      </w:r>
    </w:p>
    <w:p>
      <w:pPr>
        <w:spacing w:after="0" w:line="57" w:lineRule="exact"/>
        <w:rPr>
          <w:rFonts w:ascii="Arial" w:cs="Arial" w:eastAsia="Arial" w:hAnsi="Arial"/>
          <w:sz w:val="17"/>
          <w:szCs w:val="17"/>
          <w:color w:val="345988"/>
        </w:rPr>
      </w:pPr>
    </w:p>
    <w:p>
      <w:pPr>
        <w:ind w:left="540" w:right="80" w:hanging="262"/>
        <w:spacing w:after="0" w:line="249" w:lineRule="auto"/>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b w:val="1"/>
          <w:bCs w:val="1"/>
          <w:color w:val="auto"/>
        </w:rPr>
        <w:t xml:space="preserve">Annual same-store cash NOI growth: </w:t>
      </w:r>
      <w:r>
        <w:rPr>
          <w:rFonts w:ascii="Arial" w:cs="Arial" w:eastAsia="Arial" w:hAnsi="Arial"/>
          <w:sz w:val="18"/>
          <w:szCs w:val="18"/>
          <w:color w:val="auto"/>
        </w:rPr>
        <w:t>cash NOI is a key metric used to evaluate the operating performance of our properties. Same-store</w:t>
      </w:r>
      <w:r>
        <w:rPr>
          <w:rFonts w:ascii="Arial" w:cs="Arial" w:eastAsia="Arial" w:hAnsi="Arial"/>
          <w:sz w:val="18"/>
          <w:szCs w:val="18"/>
          <w:b w:val="1"/>
          <w:bCs w:val="1"/>
          <w:color w:val="auto"/>
        </w:rPr>
        <w:t xml:space="preserve"> </w:t>
      </w:r>
      <w:r>
        <w:rPr>
          <w:rFonts w:ascii="Arial" w:cs="Arial" w:eastAsia="Arial" w:hAnsi="Arial"/>
          <w:sz w:val="18"/>
          <w:szCs w:val="18"/>
          <w:color w:val="auto"/>
        </w:rPr>
        <w:t>cash NOI is used to evaluate the operating performance of the properties owned by us in a similar manner in both reporting periods (year over year).</w:t>
      </w:r>
    </w:p>
    <w:p>
      <w:pPr>
        <w:spacing w:after="0" w:line="71" w:lineRule="exact"/>
        <w:rPr>
          <w:rFonts w:ascii="Arial" w:cs="Arial" w:eastAsia="Arial" w:hAnsi="Arial"/>
          <w:sz w:val="17"/>
          <w:szCs w:val="17"/>
          <w:color w:val="345988"/>
        </w:rPr>
      </w:pPr>
    </w:p>
    <w:p>
      <w:pPr>
        <w:ind w:left="540" w:hanging="262"/>
        <w:spacing w:after="0"/>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b w:val="1"/>
          <w:bCs w:val="1"/>
          <w:color w:val="auto"/>
        </w:rPr>
        <w:t xml:space="preserve">Dividend growth: </w:t>
      </w:r>
      <w:r>
        <w:rPr>
          <w:rFonts w:ascii="Arial" w:cs="Arial" w:eastAsia="Arial" w:hAnsi="Arial"/>
          <w:sz w:val="18"/>
          <w:szCs w:val="18"/>
          <w:color w:val="auto"/>
        </w:rPr>
        <w:t>represents a key measure of the income we return to stockholders each year.</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75"/>
        </w:numPr>
        <w:rPr>
          <w:rFonts w:ascii="Arial" w:cs="Arial" w:eastAsia="Arial" w:hAnsi="Arial"/>
          <w:sz w:val="17"/>
          <w:szCs w:val="17"/>
          <w:color w:val="345988"/>
        </w:rPr>
      </w:pPr>
      <w:r>
        <w:rPr>
          <w:rFonts w:ascii="Arial" w:cs="Arial" w:eastAsia="Arial" w:hAnsi="Arial"/>
          <w:sz w:val="18"/>
          <w:szCs w:val="18"/>
          <w:b w:val="1"/>
          <w:bCs w:val="1"/>
          <w:color w:val="auto"/>
        </w:rPr>
        <w:t xml:space="preserve">G&amp;A expense: </w:t>
      </w:r>
      <w:r>
        <w:rPr>
          <w:rFonts w:ascii="Arial" w:cs="Arial" w:eastAsia="Arial" w:hAnsi="Arial"/>
          <w:sz w:val="18"/>
          <w:szCs w:val="18"/>
          <w:color w:val="auto"/>
        </w:rPr>
        <w:t>represents corporate overhead and is a key metric impacting the overall value of the Company.</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2018, the threshold level goals established for normalized FFO per share and annual same-store cash NOI growth significantly exceeded 2017 maximum level goals, which demonstrates the rigor of our formulaic annual cash bonus program. Our 2018 dividend growth goals were the same as 2017. General and administrative expense was a new category for 2018. The following table reflects the 2018 cash bonuses awarded to Messrs. Holliday, Green and Mathias pursuant to our annual cash bonus program, presented based on the percentages of each executive’s target bonus: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Actual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9"/>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Target Cash</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Bonus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45988"/>
              </w:rPr>
              <w:t>Actual Cash</w:t>
            </w:r>
          </w:p>
        </w:tc>
      </w:tr>
      <w:tr>
        <w:trPr>
          <w:trHeight w:val="210"/>
        </w:trPr>
        <w:tc>
          <w:tcPr>
            <w:tcW w:w="770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Bonus ($)</w:t>
            </w:r>
          </w:p>
        </w:tc>
        <w:tc>
          <w:tcPr>
            <w:tcW w:w="1120" w:type="dxa"/>
            <w:vAlign w:val="bottom"/>
            <w:gridSpan w:val="2"/>
          </w:tcPr>
          <w:p>
            <w:pPr>
              <w:jc w:val="right"/>
              <w:ind w:right="160"/>
              <w:spacing w:after="0" w:line="203" w:lineRule="exact"/>
              <w:rPr>
                <w:sz w:val="20"/>
                <w:szCs w:val="20"/>
                <w:color w:val="auto"/>
              </w:rPr>
            </w:pPr>
            <w:r>
              <w:rPr>
                <w:rFonts w:ascii="Arial" w:cs="Arial" w:eastAsia="Arial" w:hAnsi="Arial"/>
                <w:sz w:val="14"/>
                <w:szCs w:val="14"/>
                <w:b w:val="1"/>
                <w:bCs w:val="1"/>
                <w:color w:val="345988"/>
                <w:w w:val="90"/>
              </w:rPr>
              <w:t>(% of Target)</w:t>
            </w:r>
            <w:r>
              <w:rPr>
                <w:rFonts w:ascii="Arial" w:cs="Arial" w:eastAsia="Arial" w:hAnsi="Arial"/>
                <w:sz w:val="22"/>
                <w:szCs w:val="22"/>
                <w:b w:val="1"/>
                <w:bCs w:val="1"/>
                <w:color w:val="345988"/>
                <w:w w:val="90"/>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45988"/>
              </w:rPr>
              <w:t>Bonus ($)</w:t>
            </w:r>
          </w:p>
        </w:tc>
      </w:tr>
      <w:tr>
        <w:trPr>
          <w:trHeight w:val="237"/>
        </w:trPr>
        <w:tc>
          <w:tcPr>
            <w:tcW w:w="7700" w:type="dxa"/>
            <w:vAlign w:val="bottom"/>
            <w:tcBorders>
              <w:top w:val="single" w:sz="8" w:color="345988"/>
              <w:bottom w:val="single" w:sz="8" w:color="8591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40" w:type="dxa"/>
            <w:vAlign w:val="bottom"/>
            <w:tcBorders>
              <w:top w:val="single" w:sz="8" w:color="345988"/>
              <w:bottom w:val="single" w:sz="8" w:color="8591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20"/>
                <w:szCs w:val="20"/>
                <w:color w:val="auto"/>
              </w:rPr>
            </w:pPr>
          </w:p>
        </w:tc>
        <w:tc>
          <w:tcPr>
            <w:tcW w:w="96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109.86%</w:t>
            </w:r>
          </w:p>
        </w:tc>
        <w:tc>
          <w:tcPr>
            <w:tcW w:w="160" w:type="dxa"/>
            <w:vAlign w:val="bottom"/>
          </w:tcPr>
          <w:p>
            <w:pPr>
              <w:spacing w:after="0"/>
              <w:rPr>
                <w:sz w:val="20"/>
                <w:szCs w:val="20"/>
                <w:color w:val="auto"/>
              </w:rPr>
            </w:pPr>
          </w:p>
        </w:tc>
        <w:tc>
          <w:tcPr>
            <w:tcW w:w="240" w:type="dxa"/>
            <w:vAlign w:val="bottom"/>
            <w:tcBorders>
              <w:top w:val="single" w:sz="8" w:color="345988"/>
              <w:bottom w:val="single" w:sz="8" w:color="8591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345988"/>
              <w:bottom w:val="single" w:sz="8" w:color="8591A9"/>
            </w:tcBorders>
          </w:tcPr>
          <w:p>
            <w:pPr>
              <w:jc w:val="right"/>
              <w:spacing w:after="0"/>
              <w:rPr>
                <w:sz w:val="20"/>
                <w:szCs w:val="20"/>
                <w:color w:val="auto"/>
              </w:rPr>
            </w:pPr>
            <w:r>
              <w:rPr>
                <w:rFonts w:ascii="Arial" w:cs="Arial" w:eastAsia="Arial" w:hAnsi="Arial"/>
                <w:sz w:val="18"/>
                <w:szCs w:val="18"/>
                <w:color w:val="auto"/>
              </w:rPr>
              <w:t>2,746,491</w:t>
            </w:r>
          </w:p>
        </w:tc>
      </w:tr>
      <w:tr>
        <w:trPr>
          <w:trHeight w:val="311"/>
        </w:trPr>
        <w:tc>
          <w:tcPr>
            <w:tcW w:w="7700" w:type="dxa"/>
            <w:vAlign w:val="bottom"/>
            <w:tcBorders>
              <w:bottom w:val="single" w:sz="8" w:color="8591A9"/>
            </w:tcBorders>
          </w:tcPr>
          <w:p>
            <w:pPr>
              <w:spacing w:after="0" w:line="310"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40" w:type="dxa"/>
            <w:vAlign w:val="bottom"/>
            <w:tcBorders>
              <w:bottom w:val="single" w:sz="8" w:color="8591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1,312,500</w:t>
            </w:r>
          </w:p>
        </w:tc>
        <w:tc>
          <w:tcPr>
            <w:tcW w:w="160" w:type="dxa"/>
            <w:vAlign w:val="bottom"/>
          </w:tcPr>
          <w:p>
            <w:pPr>
              <w:spacing w:after="0"/>
              <w:rPr>
                <w:sz w:val="24"/>
                <w:szCs w:val="24"/>
                <w:color w:val="auto"/>
              </w:rPr>
            </w:pPr>
          </w:p>
        </w:tc>
        <w:tc>
          <w:tcPr>
            <w:tcW w:w="96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108.45%</w:t>
            </w:r>
          </w:p>
        </w:tc>
        <w:tc>
          <w:tcPr>
            <w:tcW w:w="160" w:type="dxa"/>
            <w:vAlign w:val="bottom"/>
          </w:tcPr>
          <w:p>
            <w:pPr>
              <w:spacing w:after="0"/>
              <w:rPr>
                <w:sz w:val="24"/>
                <w:szCs w:val="24"/>
                <w:color w:val="auto"/>
              </w:rPr>
            </w:pPr>
          </w:p>
        </w:tc>
        <w:tc>
          <w:tcPr>
            <w:tcW w:w="240" w:type="dxa"/>
            <w:vAlign w:val="bottom"/>
            <w:tcBorders>
              <w:bottom w:val="single" w:sz="8" w:color="8591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1A9"/>
            </w:tcBorders>
          </w:tcPr>
          <w:p>
            <w:pPr>
              <w:jc w:val="right"/>
              <w:spacing w:after="0"/>
              <w:rPr>
                <w:sz w:val="20"/>
                <w:szCs w:val="20"/>
                <w:color w:val="auto"/>
              </w:rPr>
            </w:pPr>
            <w:r>
              <w:rPr>
                <w:rFonts w:ascii="Arial" w:cs="Arial" w:eastAsia="Arial" w:hAnsi="Arial"/>
                <w:sz w:val="18"/>
                <w:szCs w:val="18"/>
                <w:color w:val="auto"/>
              </w:rPr>
              <w:t>1,423,420</w:t>
            </w:r>
          </w:p>
        </w:tc>
      </w:tr>
      <w:tr>
        <w:trPr>
          <w:trHeight w:val="311"/>
        </w:trPr>
        <w:tc>
          <w:tcPr>
            <w:tcW w:w="7700" w:type="dxa"/>
            <w:vAlign w:val="bottom"/>
            <w:tcBorders>
              <w:bottom w:val="single" w:sz="8" w:color="345988"/>
            </w:tcBorders>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1,575,000</w:t>
            </w:r>
          </w:p>
        </w:tc>
        <w:tc>
          <w:tcPr>
            <w:tcW w:w="160" w:type="dxa"/>
            <w:vAlign w:val="bottom"/>
          </w:tcPr>
          <w:p>
            <w:pPr>
              <w:spacing w:after="0"/>
              <w:rPr>
                <w:sz w:val="24"/>
                <w:szCs w:val="24"/>
                <w:color w:val="auto"/>
              </w:rPr>
            </w:pPr>
          </w:p>
        </w:tc>
        <w:tc>
          <w:tcPr>
            <w:tcW w:w="9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108.45%</w:t>
            </w:r>
          </w:p>
        </w:tc>
        <w:tc>
          <w:tcPr>
            <w:tcW w:w="160" w:type="dxa"/>
            <w:vAlign w:val="bottom"/>
          </w:tcPr>
          <w:p>
            <w:pPr>
              <w:spacing w:after="0"/>
              <w:rPr>
                <w:sz w:val="24"/>
                <w:szCs w:val="24"/>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1,708,105</w:t>
            </w:r>
          </w:p>
        </w:tc>
      </w:tr>
    </w:tbl>
    <w:p>
      <w:pPr>
        <w:spacing w:after="0" w:line="107" w:lineRule="exact"/>
        <w:rPr>
          <w:sz w:val="20"/>
          <w:szCs w:val="20"/>
          <w:color w:val="auto"/>
        </w:rPr>
      </w:pPr>
    </w:p>
    <w:p>
      <w:pPr>
        <w:ind w:left="380" w:right="60" w:hanging="372"/>
        <w:spacing w:after="0" w:line="231"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Consistent with the timing of prior years’ annual cash bonus determinations, payouts and determinations under the annual cash bonus program were made in December 2018 based on a combination of actual results through that point in time and estimates of full year results.</w:t>
      </w:r>
    </w:p>
    <w:p>
      <w:pPr>
        <w:spacing w:after="0" w:line="95" w:lineRule="exact"/>
        <w:rPr>
          <w:rFonts w:ascii="Arial" w:cs="Arial" w:eastAsia="Arial" w:hAnsi="Arial"/>
          <w:sz w:val="14"/>
          <w:szCs w:val="14"/>
          <w:color w:val="auto"/>
        </w:rPr>
      </w:pPr>
    </w:p>
    <w:p>
      <w:pPr>
        <w:ind w:left="380" w:right="100" w:hanging="372"/>
        <w:spacing w:after="0" w:line="228"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Compensation Committee approved in advance that executives may elect to receive some or all of their 2018 cash bonus LTIP units. Mr. Green elected to receive 55% of his 2018 cash bonus in LTIP units, and accordingly, Mr. Green was granted 9,862 LTIP units in January 2019. Mr. Mathias elected to receive 100% of his 2018 cash bonus in LTIP units, and accordingly, Mr. Mathias was granted 21,224 LTIP units in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8694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35F8C"/>
        </w:rPr>
        <w:t xml:space="preserve">Equity Bonuses (Top Three Named Executive Officers) </w:t>
      </w:r>
      <w:r>
        <w:rPr>
          <w:rFonts w:ascii="Arial" w:cs="Arial" w:eastAsia="Arial" w:hAnsi="Arial"/>
          <w:sz w:val="14"/>
          <w:szCs w:val="14"/>
          <w:b w:val="1"/>
          <w:bCs w:val="1"/>
          <w:color w:val="FFFFFF"/>
          <w:shd w:val="clear" w:color="auto" w:fill="345988"/>
        </w:rPr>
        <w:t>Eliminated in 2019</w:t>
      </w:r>
    </w:p>
    <w:p>
      <w:pPr>
        <w:spacing w:after="0" w:line="22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In 2018, we also maintained an equity bonus program for our top three named executive officers, which provides annual bonuses that are determined by the Committee based on the short-term and long-term performance of our Company and the executive, the Committee’s view of appropriate annual incentive awards in light of the executive’s historical compensation, skill, experience and position, competitive market factors and such other factors as are determined appropriate by the Committee.</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making these awards for 2018, the Committee sought to find a balance between:</w:t>
      </w:r>
    </w:p>
    <w:p>
      <w:pPr>
        <w:spacing w:after="0" w:line="212" w:lineRule="exact"/>
        <w:rPr>
          <w:sz w:val="20"/>
          <w:szCs w:val="20"/>
          <w:color w:val="auto"/>
        </w:rPr>
      </w:pPr>
    </w:p>
    <w:p>
      <w:pPr>
        <w:ind w:left="640" w:hanging="254"/>
        <w:spacing w:after="0"/>
        <w:tabs>
          <w:tab w:leader="none" w:pos="640" w:val="left"/>
        </w:tabs>
        <w:numPr>
          <w:ilvl w:val="0"/>
          <w:numId w:val="77"/>
        </w:numPr>
        <w:rPr>
          <w:rFonts w:ascii="Arial" w:cs="Arial" w:eastAsia="Arial" w:hAnsi="Arial"/>
          <w:sz w:val="17"/>
          <w:szCs w:val="17"/>
          <w:color w:val="345988"/>
        </w:rPr>
      </w:pPr>
      <w:r>
        <w:rPr>
          <w:rFonts w:ascii="Arial" w:cs="Arial" w:eastAsia="Arial" w:hAnsi="Arial"/>
          <w:sz w:val="18"/>
          <w:szCs w:val="18"/>
          <w:color w:val="auto"/>
        </w:rPr>
        <w:t>acknowledging the significant operational achievements attained during the year, as highlighted below;</w:t>
      </w:r>
    </w:p>
    <w:p>
      <w:pPr>
        <w:spacing w:after="0" w:line="103" w:lineRule="exact"/>
        <w:rPr>
          <w:rFonts w:ascii="Arial" w:cs="Arial" w:eastAsia="Arial" w:hAnsi="Arial"/>
          <w:sz w:val="17"/>
          <w:szCs w:val="17"/>
          <w:color w:val="345988"/>
        </w:rPr>
      </w:pPr>
    </w:p>
    <w:p>
      <w:pPr>
        <w:ind w:left="640" w:right="640" w:hanging="254"/>
        <w:spacing w:after="0" w:line="238" w:lineRule="auto"/>
        <w:tabs>
          <w:tab w:leader="none" w:pos="640" w:val="left"/>
        </w:tabs>
        <w:numPr>
          <w:ilvl w:val="0"/>
          <w:numId w:val="77"/>
        </w:numPr>
        <w:rPr>
          <w:rFonts w:ascii="Arial" w:cs="Arial" w:eastAsia="Arial" w:hAnsi="Arial"/>
          <w:sz w:val="17"/>
          <w:szCs w:val="17"/>
          <w:color w:val="345988"/>
        </w:rPr>
      </w:pPr>
      <w:r>
        <w:rPr>
          <w:rFonts w:ascii="Arial" w:cs="Arial" w:eastAsia="Arial" w:hAnsi="Arial"/>
          <w:sz w:val="18"/>
          <w:szCs w:val="18"/>
          <w:color w:val="auto"/>
        </w:rPr>
        <w:t>ensuring that annual incentive award and total compensation amounts were in line with the prevailing market levels and addressed recruitment and retention needs in the competitive New York City commercial real estate markets where we actively compete for business opportunities and executive talent, including some companies and firms that are not publicly-traded;</w:t>
      </w:r>
    </w:p>
    <w:p>
      <w:pPr>
        <w:spacing w:after="0" w:line="31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7486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7486650"/>
                    </a:xfrm>
                    <a:prstGeom prst="rect">
                      <a:avLst/>
                    </a:prstGeom>
                    <a:noFill/>
                  </pic:spPr>
                </pic:pic>
              </a:graphicData>
            </a:graphic>
          </wp:anchor>
        </w:drawing>
      </w:r>
    </w:p>
    <w:p>
      <w:pPr>
        <w:spacing w:after="0" w:line="300" w:lineRule="exact"/>
        <w:rPr>
          <w:sz w:val="20"/>
          <w:szCs w:val="20"/>
          <w:color w:val="auto"/>
        </w:rPr>
      </w:pPr>
    </w:p>
    <w:p>
      <w:pPr>
        <w:ind w:left="640" w:right="220" w:hanging="254"/>
        <w:spacing w:after="0" w:line="239" w:lineRule="auto"/>
        <w:tabs>
          <w:tab w:leader="none" w:pos="640" w:val="left"/>
        </w:tabs>
        <w:numPr>
          <w:ilvl w:val="0"/>
          <w:numId w:val="79"/>
        </w:numPr>
        <w:rPr>
          <w:rFonts w:ascii="Arial" w:cs="Arial" w:eastAsia="Arial" w:hAnsi="Arial"/>
          <w:sz w:val="17"/>
          <w:szCs w:val="17"/>
          <w:color w:val="345988"/>
        </w:rPr>
      </w:pPr>
      <w:r>
        <w:rPr>
          <w:rFonts w:ascii="Arial" w:cs="Arial" w:eastAsia="Arial" w:hAnsi="Arial"/>
          <w:sz w:val="18"/>
          <w:szCs w:val="18"/>
          <w:color w:val="auto"/>
        </w:rPr>
        <w:t>continuing to ensure our compensation programs create alignment of management and stockholder interests by appropriately rewarding our named executive officers for the attainment of performance achievements that drive long-term value creation; and</w:t>
      </w:r>
    </w:p>
    <w:p>
      <w:pPr>
        <w:spacing w:after="0" w:line="100" w:lineRule="exact"/>
        <w:rPr>
          <w:rFonts w:ascii="Arial" w:cs="Arial" w:eastAsia="Arial" w:hAnsi="Arial"/>
          <w:sz w:val="17"/>
          <w:szCs w:val="17"/>
          <w:color w:val="345988"/>
        </w:rPr>
      </w:pPr>
    </w:p>
    <w:p>
      <w:pPr>
        <w:ind w:left="640" w:hanging="254"/>
        <w:spacing w:after="0"/>
        <w:tabs>
          <w:tab w:leader="none" w:pos="640" w:val="left"/>
        </w:tabs>
        <w:numPr>
          <w:ilvl w:val="0"/>
          <w:numId w:val="79"/>
        </w:numPr>
        <w:rPr>
          <w:rFonts w:ascii="Arial" w:cs="Arial" w:eastAsia="Arial" w:hAnsi="Arial"/>
          <w:sz w:val="17"/>
          <w:szCs w:val="17"/>
          <w:color w:val="345988"/>
        </w:rPr>
      </w:pPr>
      <w:r>
        <w:rPr>
          <w:rFonts w:ascii="Arial" w:cs="Arial" w:eastAsia="Arial" w:hAnsi="Arial"/>
          <w:sz w:val="18"/>
          <w:szCs w:val="18"/>
          <w:color w:val="auto"/>
        </w:rPr>
        <w:t>rewarding our continued superior long-term TSR performance as balanced against our disappointing short-term TSR performance.</w:t>
      </w:r>
    </w:p>
    <w:p>
      <w:pPr>
        <w:spacing w:after="0" w:line="212" w:lineRule="exact"/>
        <w:rPr>
          <w:sz w:val="20"/>
          <w:szCs w:val="20"/>
          <w:color w:val="auto"/>
        </w:rPr>
      </w:pPr>
    </w:p>
    <w:p>
      <w:pPr>
        <w:jc w:val="both"/>
        <w:ind w:left="120" w:right="600"/>
        <w:spacing w:after="0" w:line="238" w:lineRule="auto"/>
        <w:rPr>
          <w:sz w:val="20"/>
          <w:szCs w:val="20"/>
          <w:color w:val="auto"/>
        </w:rPr>
      </w:pPr>
      <w:r>
        <w:rPr>
          <w:rFonts w:ascii="Arial" w:cs="Arial" w:eastAsia="Arial" w:hAnsi="Arial"/>
          <w:sz w:val="18"/>
          <w:szCs w:val="18"/>
          <w:color w:val="auto"/>
        </w:rPr>
        <w:t>The Committee’s decisions regarding the amount of the equity bonuses to be paid also took into account our performance as compared to specific company goals and objectives for 2018 that were presented at our investor day conference in December 2017, which are set forth below:</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2018 Goals and Objectives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1,600,000 square feet of Manhattan offices leases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96% or greater same-store Manhattan portfolio leased occupancy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6-9% mark-to-market on signed Manhattan office leases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 growth in same-store cash NOI excluding lease termination income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Unencumber $300 million of assets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$250 million of office property acquisitions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million of office property dispositions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Dispose of more than $100 million of suburban assets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$300 million index eligible unsecured bonds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Acquire JV partner for 2 Herald Square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million of share repurchases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Keep debt and preferred equity balance flat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 million debt and preferred equity investment income</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Complete installation of structural steel to the 39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One Vanderbilt</w:t>
      </w:r>
    </w:p>
    <w:p>
      <w:pPr>
        <w:ind w:left="120"/>
        <w:spacing w:after="0"/>
        <w:rPr>
          <w:sz w:val="20"/>
          <w:szCs w:val="20"/>
          <w:color w:val="auto"/>
        </w:rPr>
      </w:pPr>
      <w:r>
        <w:rPr>
          <w:rFonts w:ascii="Arial" w:cs="Arial" w:eastAsia="Arial" w:hAnsi="Arial"/>
          <w:sz w:val="18"/>
          <w:szCs w:val="18"/>
          <w:color w:val="auto"/>
        </w:rPr>
        <w:t>Raise $200 million EB-5 financing</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37% of One Vanderbilt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Obtain construction financing for 185 Broadway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Achieve 7.0x or better net debt to EBITDA (per Fitch)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outlook upgrade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TSR greater than 10%</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TSR in excess of MSCI US REIT Index by 250 basis points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860"/>
        <w:spacing w:after="0"/>
        <w:rPr>
          <w:sz w:val="20"/>
          <w:szCs w:val="20"/>
          <w:color w:val="auto"/>
        </w:rPr>
      </w:pPr>
      <w:r>
        <w:rPr>
          <w:rFonts w:ascii="Arial" w:cs="Arial" w:eastAsia="Arial" w:hAnsi="Arial"/>
          <w:sz w:val="12"/>
          <w:szCs w:val="12"/>
          <w:b w:val="1"/>
          <w:bCs w:val="1"/>
          <w:color w:val="345988"/>
        </w:rPr>
        <w:t>2018 Results</w:t>
      </w:r>
    </w:p>
    <w:p>
      <w:pPr>
        <w:spacing w:after="0" w:line="12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Achieved: 2.3 million sq. ft. signed</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96%</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6.5%</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$1.25 billion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$313 million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$1.3 billion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$193 million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$350 million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Closed JV</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$982 million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 billion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$211 million</w:t>
      </w:r>
    </w:p>
    <w:p>
      <w:pPr>
        <w:spacing w:after="0" w:line="4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jc w:val="right"/>
        <w:ind w:right="100"/>
        <w:spacing w:after="0"/>
        <w:rPr>
          <w:sz w:val="20"/>
          <w:szCs w:val="20"/>
          <w:color w:val="auto"/>
        </w:rPr>
      </w:pPr>
      <w:r>
        <w:rPr>
          <w:rFonts w:ascii="Arial" w:cs="Arial" w:eastAsia="Arial" w:hAnsi="Arial"/>
          <w:sz w:val="16"/>
          <w:szCs w:val="16"/>
          <w:color w:val="auto"/>
        </w:rPr>
        <w:t>Achieved: $250 million loan upsize</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52%</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 $225 million</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Achieved</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Not achieved</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-18.8%</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Not achieved</w:t>
      </w:r>
    </w:p>
    <w:p>
      <w:pPr>
        <w:spacing w:after="0" w:line="200" w:lineRule="exact"/>
        <w:rPr>
          <w:sz w:val="20"/>
          <w:szCs w:val="20"/>
          <w:color w:val="auto"/>
        </w:rPr>
      </w:pPr>
    </w:p>
    <w:p>
      <w:pPr>
        <w:sectPr>
          <w:pgSz w:w="11900" w:h="16838" w:orient="portrait"/>
          <w:cols w:equalWidth="0" w:num="2">
            <w:col w:w="7900" w:space="720"/>
            <w:col w:w="2800"/>
          </w:cols>
          <w:pgMar w:left="240" w:top="121" w:right="239" w:bottom="1440" w:gutter="0" w:footer="0" w:header="0"/>
          <w:type w:val="continuous"/>
        </w:sectPr>
      </w:pPr>
    </w:p>
    <w:p>
      <w:pPr>
        <w:spacing w:after="0" w:line="66"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differences in compensation awarded to our named executive officers are generally a function of the executive’s position and authority, as well as the competitive landscape for executives in similar positions. The table below sets forth the annual equity bonus awards that were granted to each of Messrs. Holliday, Green and Mathias for 2017 and 2018, as approved by the Committee: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2017</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rPr>
              <w:t>2018</w:t>
            </w:r>
          </w:p>
        </w:tc>
        <w:tc>
          <w:tcPr>
            <w:tcW w:w="660" w:type="dxa"/>
            <w:vAlign w:val="bottom"/>
          </w:tcPr>
          <w:p>
            <w:pPr>
              <w:spacing w:after="0"/>
              <w:rPr>
                <w:sz w:val="14"/>
                <w:szCs w:val="14"/>
                <w:color w:val="auto"/>
              </w:rPr>
            </w:pPr>
          </w:p>
        </w:tc>
      </w:tr>
      <w:tr>
        <w:trPr>
          <w:trHeight w:val="185"/>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Equity Bonus</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w w:val="97"/>
              </w:rPr>
              <w:t>Equity Bonus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45988"/>
                <w:w w:val="94"/>
              </w:rPr>
              <w:t>% Change</w:t>
            </w:r>
          </w:p>
        </w:tc>
      </w:tr>
      <w:tr>
        <w:trPr>
          <w:trHeight w:val="34"/>
        </w:trPr>
        <w:tc>
          <w:tcPr>
            <w:tcW w:w="20" w:type="dxa"/>
            <w:vAlign w:val="bottom"/>
          </w:tcPr>
          <w:p>
            <w:pPr>
              <w:spacing w:after="0"/>
              <w:rPr>
                <w:sz w:val="2"/>
                <w:szCs w:val="2"/>
                <w:color w:val="auto"/>
              </w:rPr>
            </w:pPr>
          </w:p>
        </w:tc>
        <w:tc>
          <w:tcPr>
            <w:tcW w:w="784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9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90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345988"/>
          </w:tcPr>
          <w:p>
            <w:pPr>
              <w:spacing w:after="0"/>
              <w:rPr>
                <w:sz w:val="2"/>
                <w:szCs w:val="2"/>
                <w:color w:val="auto"/>
              </w:rPr>
            </w:pPr>
          </w:p>
        </w:tc>
      </w:tr>
      <w:tr>
        <w:trPr>
          <w:trHeight w:val="235"/>
        </w:trPr>
        <w:tc>
          <w:tcPr>
            <w:tcW w:w="7860" w:type="dxa"/>
            <w:vAlign w:val="bottom"/>
            <w:gridSpan w:val="2"/>
          </w:tcPr>
          <w:p>
            <w:pPr>
              <w:spacing w:after="0"/>
              <w:rPr>
                <w:sz w:val="20"/>
                <w:szCs w:val="20"/>
                <w:color w:val="auto"/>
              </w:rPr>
            </w:pPr>
            <w:r>
              <w:rPr>
                <w:rFonts w:ascii="Arial" w:cs="Arial" w:eastAsia="Arial" w:hAnsi="Arial"/>
                <w:sz w:val="18"/>
                <w:szCs w:val="18"/>
                <w:color w:val="auto"/>
              </w:rPr>
              <w:t>Marc Holliday</w:t>
            </w:r>
          </w:p>
        </w:tc>
        <w:tc>
          <w:tcPr>
            <w:tcW w:w="3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4,512,750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4,003,509</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20" w:type="dxa"/>
            <w:vAlign w:val="bottom"/>
          </w:tcPr>
          <w:p>
            <w:pPr>
              <w:spacing w:after="0" w:line="20" w:lineRule="exact"/>
              <w:rPr>
                <w:sz w:val="1"/>
                <w:szCs w:val="1"/>
                <w:color w:val="auto"/>
              </w:rPr>
            </w:pPr>
          </w:p>
        </w:tc>
        <w:tc>
          <w:tcPr>
            <w:tcW w:w="7840" w:type="dxa"/>
            <w:vAlign w:val="bottom"/>
            <w:shd w:val="clear" w:color="auto" w:fill="8591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9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1A9"/>
          </w:tcPr>
          <w:p>
            <w:pPr>
              <w:spacing w:after="0" w:line="20" w:lineRule="exact"/>
              <w:rPr>
                <w:sz w:val="1"/>
                <w:szCs w:val="1"/>
                <w:color w:val="auto"/>
              </w:rPr>
            </w:pPr>
          </w:p>
        </w:tc>
        <w:tc>
          <w:tcPr>
            <w:tcW w:w="900" w:type="dxa"/>
            <w:vAlign w:val="bottom"/>
            <w:shd w:val="clear" w:color="auto" w:fill="8591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5"/>
        </w:trPr>
        <w:tc>
          <w:tcPr>
            <w:tcW w:w="7860" w:type="dxa"/>
            <w:vAlign w:val="bottom"/>
            <w:gridSpan w:val="2"/>
          </w:tcPr>
          <w:p>
            <w:pPr>
              <w:spacing w:after="0"/>
              <w:rPr>
                <w:sz w:val="20"/>
                <w:szCs w:val="20"/>
                <w:color w:val="auto"/>
              </w:rPr>
            </w:pPr>
            <w:r>
              <w:rPr>
                <w:rFonts w:ascii="Arial" w:cs="Arial" w:eastAsia="Arial" w:hAnsi="Arial"/>
                <w:sz w:val="18"/>
                <w:szCs w:val="18"/>
                <w:color w:val="auto"/>
              </w:rPr>
              <w:t>Stephen L. Green</w:t>
            </w:r>
          </w:p>
        </w:tc>
        <w:tc>
          <w:tcPr>
            <w:tcW w:w="3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411,563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7840" w:type="dxa"/>
            <w:vAlign w:val="bottom"/>
            <w:shd w:val="clear" w:color="auto" w:fill="8591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8591A9"/>
          </w:tcPr>
          <w:p>
            <w:pPr>
              <w:spacing w:after="0" w:line="20" w:lineRule="exact"/>
              <w:rPr>
                <w:sz w:val="1"/>
                <w:szCs w:val="1"/>
                <w:color w:val="auto"/>
              </w:rPr>
            </w:pPr>
          </w:p>
        </w:tc>
        <w:tc>
          <w:tcPr>
            <w:tcW w:w="940" w:type="dxa"/>
            <w:vAlign w:val="bottom"/>
            <w:shd w:val="clear" w:color="auto" w:fill="8591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1A9"/>
          </w:tcPr>
          <w:p>
            <w:pPr>
              <w:spacing w:after="0" w:line="20" w:lineRule="exact"/>
              <w:rPr>
                <w:sz w:val="1"/>
                <w:szCs w:val="1"/>
                <w:color w:val="auto"/>
              </w:rPr>
            </w:pPr>
          </w:p>
        </w:tc>
        <w:tc>
          <w:tcPr>
            <w:tcW w:w="900" w:type="dxa"/>
            <w:vAlign w:val="bottom"/>
            <w:shd w:val="clear" w:color="auto" w:fill="8591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591A9"/>
          </w:tcPr>
          <w:p>
            <w:pPr>
              <w:spacing w:after="0" w:line="20" w:lineRule="exact"/>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18"/>
                <w:szCs w:val="18"/>
                <w:color w:val="auto"/>
              </w:rPr>
              <w:t>Andrew Mathias</w:t>
            </w:r>
          </w:p>
        </w:tc>
        <w:tc>
          <w:tcPr>
            <w:tcW w:w="3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3,599,000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3,091,895</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50"/>
        </w:trPr>
        <w:tc>
          <w:tcPr>
            <w:tcW w:w="20" w:type="dxa"/>
            <w:vAlign w:val="bottom"/>
          </w:tcPr>
          <w:p>
            <w:pPr>
              <w:spacing w:after="0"/>
              <w:rPr>
                <w:sz w:val="21"/>
                <w:szCs w:val="21"/>
                <w:color w:val="auto"/>
              </w:rPr>
            </w:pPr>
          </w:p>
        </w:tc>
        <w:tc>
          <w:tcPr>
            <w:tcW w:w="7840" w:type="dxa"/>
            <w:vAlign w:val="bottom"/>
            <w:tcBorders>
              <w:top w:val="single" w:sz="8" w:color="8591A9"/>
              <w:bottom w:val="single" w:sz="8" w:color="345988"/>
            </w:tcBorders>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180" w:type="dxa"/>
            <w:vAlign w:val="bottom"/>
            <w:tcBorders>
              <w:top w:val="single" w:sz="8" w:color="8591A9"/>
              <w:bottom w:val="single" w:sz="8" w:color="345988"/>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8591A9"/>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8,523,313</w:t>
            </w:r>
          </w:p>
        </w:tc>
        <w:tc>
          <w:tcPr>
            <w:tcW w:w="160" w:type="dxa"/>
            <w:vAlign w:val="bottom"/>
          </w:tcPr>
          <w:p>
            <w:pPr>
              <w:spacing w:after="0"/>
              <w:rPr>
                <w:sz w:val="21"/>
                <w:szCs w:val="21"/>
                <w:color w:val="auto"/>
              </w:rPr>
            </w:pPr>
          </w:p>
        </w:tc>
        <w:tc>
          <w:tcPr>
            <w:tcW w:w="140" w:type="dxa"/>
            <w:vAlign w:val="bottom"/>
            <w:tcBorders>
              <w:top w:val="single" w:sz="8" w:color="8591A9"/>
              <w:bottom w:val="single" w:sz="8" w:color="345988"/>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1A9"/>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7,095,404</w:t>
            </w:r>
          </w:p>
        </w:tc>
        <w:tc>
          <w:tcPr>
            <w:tcW w:w="180" w:type="dxa"/>
            <w:vAlign w:val="bottom"/>
          </w:tcPr>
          <w:p>
            <w:pPr>
              <w:spacing w:after="0"/>
              <w:rPr>
                <w:sz w:val="21"/>
                <w:szCs w:val="21"/>
                <w:color w:val="auto"/>
              </w:rPr>
            </w:pPr>
          </w:p>
        </w:tc>
        <w:tc>
          <w:tcPr>
            <w:tcW w:w="660" w:type="dxa"/>
            <w:vAlign w:val="bottom"/>
            <w:tcBorders>
              <w:top w:val="single" w:sz="8" w:color="8591A9"/>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-16.8%</w:t>
            </w:r>
          </w:p>
        </w:tc>
      </w:tr>
    </w:tbl>
    <w:p>
      <w:pPr>
        <w:spacing w:after="0" w:line="219" w:lineRule="exact"/>
        <w:rPr>
          <w:sz w:val="20"/>
          <w:szCs w:val="20"/>
          <w:color w:val="auto"/>
        </w:rPr>
      </w:pPr>
    </w:p>
    <w:p>
      <w:pPr>
        <w:ind w:left="120" w:right="160"/>
        <w:spacing w:after="0" w:line="273" w:lineRule="auto"/>
        <w:rPr>
          <w:sz w:val="20"/>
          <w:szCs w:val="20"/>
          <w:color w:val="auto"/>
        </w:rPr>
      </w:pPr>
      <w:r>
        <w:rPr>
          <w:rFonts w:ascii="Arial" w:cs="Arial" w:eastAsia="Arial" w:hAnsi="Arial"/>
          <w:sz w:val="16"/>
          <w:szCs w:val="16"/>
          <w:color w:val="auto"/>
        </w:rPr>
        <w:t>The amounts of the equity bonus awards for our executives in 2018 as compared to 2017 were primarily determined based on our strong operational achievements, as balanced against our disappointing short-term TSR performance in 2018. Additionally, reflecting Mr. Green’s evolving role, we did not pay an equity bonus award to our Executive Chairman for 2018. The 2018 equity bonuses listed above were paid in early 2019 in the form of LTIP units that vested upon grant, but remain subject to a no-sell restriction until three years after their grant date. Our named executive officers received the following number of LTIP units for these equity bonuses: Mr. Holliday—50,435; and Mr. Mathias—38,951.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response to stockholder feedback, we eliminated this discretionary equity bonus program for Messrs. Holliday and Mathias beginning in 2019.</w:t>
      </w:r>
    </w:p>
    <w:p>
      <w:pPr>
        <w:spacing w:after="0" w:line="3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Bonuses to Other Executives</w:t>
      </w:r>
    </w:p>
    <w:p>
      <w:pPr>
        <w:spacing w:after="0" w:line="223"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Consistent with our historical practice, annual bonuses for Messrs. DiLiberto and Levine were determined by the Committee in its discretion in substantially the same manner as the equity bonuses for our top three named executive officers. The table below sets forth the annual bonus awards that were granted to Messrs. DiLiberto and Levine for 2017 and 2018, as approved by the Committee: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2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2017 Bonus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2018 Bonus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345988"/>
                <w:w w:val="94"/>
              </w:rPr>
              <w:t>% Change</w:t>
            </w:r>
          </w:p>
        </w:tc>
      </w:tr>
      <w:tr>
        <w:trPr>
          <w:trHeight w:val="48"/>
        </w:trPr>
        <w:tc>
          <w:tcPr>
            <w:tcW w:w="800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45988"/>
            </w:tcBorders>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345988"/>
            </w:tcBorders>
          </w:tcPr>
          <w:p>
            <w:pPr>
              <w:spacing w:after="0"/>
              <w:rPr>
                <w:sz w:val="4"/>
                <w:szCs w:val="4"/>
                <w:color w:val="auto"/>
              </w:rPr>
            </w:pPr>
          </w:p>
        </w:tc>
        <w:tc>
          <w:tcPr>
            <w:tcW w:w="92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45988"/>
            </w:tcBorders>
          </w:tcPr>
          <w:p>
            <w:pPr>
              <w:spacing w:after="0"/>
              <w:rPr>
                <w:sz w:val="4"/>
                <w:szCs w:val="4"/>
                <w:color w:val="auto"/>
              </w:rPr>
            </w:pPr>
          </w:p>
        </w:tc>
      </w:tr>
      <w:tr>
        <w:trPr>
          <w:trHeight w:val="237"/>
        </w:trPr>
        <w:tc>
          <w:tcPr>
            <w:tcW w:w="80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8590A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20"/>
                <w:szCs w:val="20"/>
                <w:color w:val="auto"/>
              </w:rPr>
            </w:pPr>
          </w:p>
        </w:tc>
        <w:tc>
          <w:tcPr>
            <w:tcW w:w="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800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1,275,000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1"/>
                <w:szCs w:val="21"/>
                <w:color w:val="auto"/>
              </w:rPr>
            </w:pPr>
          </w:p>
        </w:tc>
        <w:tc>
          <w:tcPr>
            <w:tcW w:w="66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5.9%</w:t>
            </w:r>
          </w:p>
        </w:tc>
      </w:tr>
    </w:tbl>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Similar to the annual equity bonus awards that were granted to our top three named executive officers, these annual bonuses for Messrs. DiLiberto and Levine reflected our significant operational achievements for 2018, our continued superior long-term TSR performance and their roles at our company, as balanced against our disappointing short-term TSR performance for 2018. These 2018 bonuses were paid to Messrs. DiLiberto and Levine in the form of cash and LTIP units granted in early 2019 that were vested upon grant, but remain subject to no-sell restriction until three years after their grant date. Mr. DiLiberto received $1,600,000 in cash and 5,039 LTIP units and Mr. Levine received 17,007 LTIP units.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Long-Term Equity Incentive Awards</w:t>
      </w:r>
    </w:p>
    <w:p>
      <w:pPr>
        <w:spacing w:after="0" w:line="2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For 2018, long-term equity incentives were provided to our named executive officers through the grant of performance-based LTIP units and time-based LTIP units in connection with new or extended employment agreements. The majority of these awards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We believe encourages our named executive officers to make decisions with an ownership mentality and provides alignment of interest with our stockholders. The Committee has made long-term equity incentive awards a central part of our executive compensation program due to these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7820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3782060"/>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35F8C"/>
        </w:rPr>
        <w:t xml:space="preserve">2018 Employment Agreement Awards </w:t>
      </w:r>
      <w:r>
        <w:rPr>
          <w:rFonts w:ascii="Arial" w:cs="Arial" w:eastAsia="Arial" w:hAnsi="Arial"/>
          <w:sz w:val="14"/>
          <w:szCs w:val="14"/>
          <w:b w:val="1"/>
          <w:bCs w:val="1"/>
          <w:color w:val="FFFFFF"/>
          <w:shd w:val="clear" w:color="auto" w:fill="345988"/>
        </w:rPr>
        <w:t>Eliminated in 2019</w:t>
      </w:r>
    </w:p>
    <w:p>
      <w:pPr>
        <w:spacing w:after="0" w:line="223"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Our employment agreements with Messrs. Holliday, Mathias and DiLiberto provided for the grants of LTIP units that were made in 2018, as noted in the table below.</w:t>
      </w:r>
    </w:p>
    <w:p>
      <w:pPr>
        <w:spacing w:after="0" w:line="209"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table below indicates equity awards grants made in accordance with the terms of the employments agreements that were in effect with the executives during 2018 and summarizes the terms and grant dates of the long-term equity incentive awards made, to our named executive officers pursuant to these employment agreements during 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345988"/>
                <w:w w:val="95"/>
              </w:rPr>
              <w:t>Performance-based LTIP units</w:t>
            </w:r>
          </w:p>
        </w:tc>
        <w:tc>
          <w:tcPr>
            <w:tcW w:w="204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345988"/>
              </w:rPr>
              <w:t>Time-based LTIP units</w:t>
            </w:r>
          </w:p>
        </w:tc>
      </w:tr>
      <w:tr>
        <w:trPr>
          <w:trHeight w:val="48"/>
        </w:trPr>
        <w:tc>
          <w:tcPr>
            <w:tcW w:w="6820" w:type="dxa"/>
            <w:vAlign w:val="bottom"/>
            <w:gridSpan w:val="2"/>
          </w:tcPr>
          <w:p>
            <w:pPr>
              <w:spacing w:after="0"/>
              <w:rPr>
                <w:sz w:val="4"/>
                <w:szCs w:val="4"/>
                <w:color w:val="auto"/>
              </w:rPr>
            </w:pPr>
          </w:p>
        </w:tc>
        <w:tc>
          <w:tcPr>
            <w:tcW w:w="880" w:type="dxa"/>
            <w:vAlign w:val="bottom"/>
            <w:tcBorders>
              <w:bottom w:val="single" w:sz="8" w:color="345988"/>
            </w:tcBorders>
          </w:tcPr>
          <w:p>
            <w:pPr>
              <w:spacing w:after="0"/>
              <w:rPr>
                <w:sz w:val="4"/>
                <w:szCs w:val="4"/>
                <w:color w:val="auto"/>
              </w:rPr>
            </w:pPr>
          </w:p>
        </w:tc>
        <w:tc>
          <w:tcPr>
            <w:tcW w:w="160" w:type="dxa"/>
            <w:vAlign w:val="bottom"/>
            <w:tcBorders>
              <w:bottom w:val="single" w:sz="8" w:color="345988"/>
            </w:tcBorders>
          </w:tcPr>
          <w:p>
            <w:pPr>
              <w:spacing w:after="0"/>
              <w:rPr>
                <w:sz w:val="4"/>
                <w:szCs w:val="4"/>
                <w:color w:val="auto"/>
              </w:rPr>
            </w:pPr>
          </w:p>
        </w:tc>
        <w:tc>
          <w:tcPr>
            <w:tcW w:w="240" w:type="dxa"/>
            <w:vAlign w:val="bottom"/>
            <w:tcBorders>
              <w:bottom w:val="single" w:sz="8" w:color="345988"/>
            </w:tcBorders>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345988"/>
            </w:tcBorders>
            <w:gridSpan w:val="2"/>
          </w:tcPr>
          <w:p>
            <w:pPr>
              <w:spacing w:after="0"/>
              <w:rPr>
                <w:sz w:val="4"/>
                <w:szCs w:val="4"/>
                <w:color w:val="auto"/>
              </w:rPr>
            </w:pPr>
          </w:p>
        </w:tc>
        <w:tc>
          <w:tcPr>
            <w:tcW w:w="220" w:type="dxa"/>
            <w:vAlign w:val="bottom"/>
            <w:tcBorders>
              <w:bottom w:val="single" w:sz="8" w:color="345988"/>
            </w:tcBorders>
          </w:tcPr>
          <w:p>
            <w:pPr>
              <w:spacing w:after="0"/>
              <w:rPr>
                <w:sz w:val="4"/>
                <w:szCs w:val="4"/>
                <w:color w:val="auto"/>
              </w:rPr>
            </w:pPr>
          </w:p>
        </w:tc>
        <w:tc>
          <w:tcPr>
            <w:tcW w:w="920" w:type="dxa"/>
            <w:vAlign w:val="bottom"/>
            <w:tcBorders>
              <w:bottom w:val="single" w:sz="8" w:color="345988"/>
            </w:tcBorders>
          </w:tcPr>
          <w:p>
            <w:pPr>
              <w:spacing w:after="0"/>
              <w:rPr>
                <w:sz w:val="4"/>
                <w:szCs w:val="4"/>
                <w:color w:val="auto"/>
              </w:rPr>
            </w:pPr>
          </w:p>
        </w:tc>
      </w:tr>
      <w:tr>
        <w:trPr>
          <w:trHeight w:val="202"/>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345988"/>
              </w:rPr>
              <w:t># of Units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Grant Value</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345988"/>
              </w:rPr>
              <w:t># of Units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45988"/>
              </w:rPr>
              <w:t>Grant Value</w:t>
            </w:r>
          </w:p>
        </w:tc>
      </w:tr>
      <w:tr>
        <w:trPr>
          <w:trHeight w:val="48"/>
        </w:trPr>
        <w:tc>
          <w:tcPr>
            <w:tcW w:w="666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45988"/>
            </w:tcBorders>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345988"/>
            </w:tcBorders>
          </w:tcPr>
          <w:p>
            <w:pPr>
              <w:spacing w:after="0"/>
              <w:rPr>
                <w:sz w:val="4"/>
                <w:szCs w:val="4"/>
                <w:color w:val="auto"/>
              </w:rPr>
            </w:pPr>
          </w:p>
        </w:tc>
        <w:tc>
          <w:tcPr>
            <w:tcW w:w="920" w:type="dxa"/>
            <w:vAlign w:val="bottom"/>
            <w:tcBorders>
              <w:bottom w:val="single" w:sz="8" w:color="345988"/>
            </w:tcBorders>
          </w:tcPr>
          <w:p>
            <w:pPr>
              <w:spacing w:after="0"/>
              <w:rPr>
                <w:sz w:val="4"/>
                <w:szCs w:val="4"/>
                <w:color w:val="auto"/>
              </w:rPr>
            </w:pPr>
          </w:p>
        </w:tc>
      </w:tr>
      <w:tr>
        <w:trPr>
          <w:trHeight w:val="270"/>
        </w:trPr>
        <w:tc>
          <w:tcPr>
            <w:tcW w:w="666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Marc Holiday</w:t>
            </w:r>
          </w:p>
        </w:tc>
        <w:tc>
          <w:tcPr>
            <w:tcW w:w="160" w:type="dxa"/>
            <w:vAlign w:val="bottom"/>
          </w:tcPr>
          <w:p>
            <w:pPr>
              <w:spacing w:after="0"/>
              <w:rPr>
                <w:sz w:val="23"/>
                <w:szCs w:val="23"/>
                <w:color w:val="auto"/>
              </w:rPr>
            </w:pPr>
          </w:p>
        </w:tc>
        <w:tc>
          <w:tcPr>
            <w:tcW w:w="880" w:type="dxa"/>
            <w:vAlign w:val="bottom"/>
            <w:tcBorders>
              <w:bottom w:val="single" w:sz="8" w:color="8590A9"/>
            </w:tcBorders>
          </w:tcPr>
          <w:p>
            <w:pPr>
              <w:jc w:val="right"/>
              <w:spacing w:after="0" w:line="270" w:lineRule="exact"/>
              <w:rPr>
                <w:sz w:val="20"/>
                <w:szCs w:val="20"/>
                <w:color w:val="auto"/>
              </w:rPr>
            </w:pPr>
            <w:r>
              <w:rPr>
                <w:rFonts w:ascii="Arial" w:cs="Arial" w:eastAsia="Arial" w:hAnsi="Arial"/>
                <w:sz w:val="18"/>
                <w:szCs w:val="18"/>
                <w:color w:val="auto"/>
              </w:rPr>
              <w:t>61,584</w:t>
            </w:r>
            <w:r>
              <w:rPr>
                <w:rFonts w:ascii="Arial" w:cs="Arial" w:eastAsia="Arial" w:hAnsi="Arial"/>
                <w:sz w:val="29"/>
                <w:szCs w:val="29"/>
                <w:color w:val="auto"/>
                <w:vertAlign w:val="superscript"/>
              </w:rPr>
              <w:t>(1)</w:t>
            </w:r>
          </w:p>
        </w:tc>
        <w:tc>
          <w:tcPr>
            <w:tcW w:w="160" w:type="dxa"/>
            <w:vAlign w:val="bottom"/>
          </w:tcPr>
          <w:p>
            <w:pPr>
              <w:spacing w:after="0"/>
              <w:rPr>
                <w:sz w:val="23"/>
                <w:szCs w:val="23"/>
                <w:color w:val="auto"/>
              </w:rPr>
            </w:pPr>
          </w:p>
        </w:tc>
        <w:tc>
          <w:tcPr>
            <w:tcW w:w="240" w:type="dxa"/>
            <w:vAlign w:val="bottom"/>
            <w:tcBorders>
              <w:bottom w:val="single" w:sz="8" w:color="8590A9"/>
            </w:tcBorders>
          </w:tcPr>
          <w:p>
            <w:pPr>
              <w:jc w:val="center"/>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4,850,525</w:t>
            </w:r>
          </w:p>
        </w:tc>
        <w:tc>
          <w:tcPr>
            <w:tcW w:w="160" w:type="dxa"/>
            <w:vAlign w:val="bottom"/>
          </w:tcPr>
          <w:p>
            <w:pPr>
              <w:spacing w:after="0"/>
              <w:rPr>
                <w:sz w:val="23"/>
                <w:szCs w:val="23"/>
                <w:color w:val="auto"/>
              </w:rPr>
            </w:pPr>
          </w:p>
        </w:tc>
        <w:tc>
          <w:tcPr>
            <w:tcW w:w="7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220" w:type="dxa"/>
            <w:vAlign w:val="bottom"/>
            <w:tcBorders>
              <w:bottom w:val="single" w:sz="8" w:color="8590A9"/>
            </w:tcBorders>
          </w:tcPr>
          <w:p>
            <w:pPr>
              <w:spacing w:after="0"/>
              <w:rPr>
                <w:sz w:val="23"/>
                <w:szCs w:val="23"/>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6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4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63" w:lineRule="exact"/>
              <w:rPr>
                <w:sz w:val="20"/>
                <w:szCs w:val="20"/>
                <w:color w:val="auto"/>
              </w:rPr>
            </w:pPr>
            <w:r>
              <w:rPr>
                <w:rFonts w:ascii="Arial" w:cs="Arial" w:eastAsia="Arial" w:hAnsi="Arial"/>
                <w:sz w:val="18"/>
                <w:szCs w:val="18"/>
                <w:color w:val="auto"/>
                <w:w w:val="88"/>
              </w:rPr>
              <w:t>56,000</w:t>
            </w:r>
            <w:r>
              <w:rPr>
                <w:rFonts w:ascii="Arial" w:cs="Arial" w:eastAsia="Arial" w:hAnsi="Arial"/>
                <w:sz w:val="29"/>
                <w:szCs w:val="29"/>
                <w:color w:val="auto"/>
                <w:w w:val="88"/>
                <w:vertAlign w:val="superscript"/>
              </w:rPr>
              <w:t>(2)</w:t>
            </w:r>
          </w:p>
        </w:tc>
        <w:tc>
          <w:tcPr>
            <w:tcW w:w="160" w:type="dxa"/>
            <w:vAlign w:val="bottom"/>
          </w:tcPr>
          <w:p>
            <w:pPr>
              <w:spacing w:after="0"/>
              <w:rPr>
                <w:sz w:val="22"/>
                <w:szCs w:val="22"/>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4,544,372</w:t>
            </w:r>
          </w:p>
        </w:tc>
      </w:tr>
      <w:tr>
        <w:trPr>
          <w:trHeight w:val="271"/>
        </w:trPr>
        <w:tc>
          <w:tcPr>
            <w:tcW w:w="6660" w:type="dxa"/>
            <w:vAlign w:val="bottom"/>
            <w:tcBorders>
              <w:top w:val="single" w:sz="8" w:color="8590A9"/>
              <w:bottom w:val="single" w:sz="8" w:color="345988"/>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3"/>
                <w:szCs w:val="23"/>
                <w:color w:val="auto"/>
              </w:rPr>
            </w:pPr>
          </w:p>
        </w:tc>
        <w:tc>
          <w:tcPr>
            <w:tcW w:w="880" w:type="dxa"/>
            <w:vAlign w:val="bottom"/>
            <w:tcBorders>
              <w:top w:val="single" w:sz="8" w:color="8590A9"/>
              <w:bottom w:val="single" w:sz="8" w:color="345988"/>
            </w:tcBorders>
          </w:tcPr>
          <w:p>
            <w:pPr>
              <w:jc w:val="right"/>
              <w:spacing w:after="0" w:line="263"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(3)</w:t>
            </w:r>
          </w:p>
        </w:tc>
        <w:tc>
          <w:tcPr>
            <w:tcW w:w="160" w:type="dxa"/>
            <w:vAlign w:val="bottom"/>
          </w:tcPr>
          <w:p>
            <w:pPr>
              <w:spacing w:after="0"/>
              <w:rPr>
                <w:sz w:val="23"/>
                <w:szCs w:val="23"/>
                <w:color w:val="auto"/>
              </w:rPr>
            </w:pPr>
          </w:p>
        </w:tc>
        <w:tc>
          <w:tcPr>
            <w:tcW w:w="240" w:type="dxa"/>
            <w:vAlign w:val="bottom"/>
            <w:tcBorders>
              <w:top w:val="single" w:sz="8" w:color="8590A9"/>
              <w:bottom w:val="single" w:sz="8" w:color="345988"/>
            </w:tcBorders>
          </w:tcPr>
          <w:p>
            <w:pPr>
              <w:jc w:val="center"/>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1,471,050</w:t>
            </w:r>
          </w:p>
        </w:tc>
        <w:tc>
          <w:tcPr>
            <w:tcW w:w="160" w:type="dxa"/>
            <w:vAlign w:val="bottom"/>
          </w:tcPr>
          <w:p>
            <w:pPr>
              <w:spacing w:after="0"/>
              <w:rPr>
                <w:sz w:val="23"/>
                <w:szCs w:val="23"/>
                <w:color w:val="auto"/>
              </w:rPr>
            </w:pPr>
          </w:p>
        </w:tc>
        <w:tc>
          <w:tcPr>
            <w:tcW w:w="740" w:type="dxa"/>
            <w:vAlign w:val="bottom"/>
            <w:tcBorders>
              <w:top w:val="single" w:sz="8" w:color="8590A9"/>
              <w:bottom w:val="single" w:sz="8" w:color="345988"/>
            </w:tcBorders>
          </w:tcPr>
          <w:p>
            <w:pPr>
              <w:jc w:val="right"/>
              <w:spacing w:after="0" w:line="263" w:lineRule="exact"/>
              <w:rPr>
                <w:sz w:val="20"/>
                <w:szCs w:val="20"/>
                <w:color w:val="auto"/>
              </w:rPr>
            </w:pPr>
            <w:r>
              <w:rPr>
                <w:rFonts w:ascii="Arial" w:cs="Arial" w:eastAsia="Arial" w:hAnsi="Arial"/>
                <w:sz w:val="18"/>
                <w:szCs w:val="18"/>
                <w:color w:val="auto"/>
                <w:w w:val="88"/>
              </w:rPr>
              <w:t>15,000</w:t>
            </w:r>
            <w:r>
              <w:rPr>
                <w:rFonts w:ascii="Arial" w:cs="Arial" w:eastAsia="Arial" w:hAnsi="Arial"/>
                <w:sz w:val="29"/>
                <w:szCs w:val="29"/>
                <w:color w:val="auto"/>
                <w:w w:val="88"/>
                <w:vertAlign w:val="superscript"/>
              </w:rPr>
              <w:t>(4)</w:t>
            </w:r>
          </w:p>
        </w:tc>
        <w:tc>
          <w:tcPr>
            <w:tcW w:w="160" w:type="dxa"/>
            <w:vAlign w:val="bottom"/>
          </w:tcPr>
          <w:p>
            <w:pPr>
              <w:spacing w:after="0"/>
              <w:rPr>
                <w:sz w:val="23"/>
                <w:szCs w:val="23"/>
                <w:color w:val="auto"/>
              </w:rPr>
            </w:pPr>
          </w:p>
        </w:tc>
        <w:tc>
          <w:tcPr>
            <w:tcW w:w="220" w:type="dxa"/>
            <w:vAlign w:val="bottom"/>
            <w:tcBorders>
              <w:top w:val="single" w:sz="8" w:color="8590A9"/>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color w:val="auto"/>
              </w:rPr>
              <w:t>1,360,721</w:t>
            </w:r>
          </w:p>
        </w:tc>
      </w:tr>
    </w:tbl>
    <w:p>
      <w:pPr>
        <w:spacing w:after="0" w:line="107" w:lineRule="exact"/>
        <w:rPr>
          <w:sz w:val="20"/>
          <w:szCs w:val="20"/>
          <w:color w:val="auto"/>
        </w:rPr>
      </w:pPr>
    </w:p>
    <w:p>
      <w:pPr>
        <w:ind w:left="500" w:right="240" w:hanging="384"/>
        <w:spacing w:after="0" w:line="268" w:lineRule="auto"/>
        <w:tabs>
          <w:tab w:leader="none" w:pos="50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This grant of LTIP units was subject to the achievement of performance-based vesting hurdles, with 50-100% of the LTIP units vesting based on the achievement of either annual FFO growth or TSR of 5-8% per year or TSR in the top 50-35% of the MSCI US REIT Index, respectively, during 2017 (or on a cumulative basis from 2016 through the end of 2017 or a subsequent quarter during the term of Mr. Holliday’s employment agreement). None of these LTIP units would have vested if threshold performance had not been achieved. Vesting was also subject to Mr. Holliday’s continued employment through January 17, 2018. Performance-based vesting was achieved at 100% based on performance through the end of 2018. These LTIP units remain subject to a restriction on transfer until the earlier of two years after vesting, termination of employment or a change in control.</w:t>
      </w:r>
    </w:p>
    <w:p>
      <w:pPr>
        <w:spacing w:after="0" w:line="120" w:lineRule="exact"/>
        <w:rPr>
          <w:rFonts w:ascii="Arial" w:cs="Arial" w:eastAsia="Arial" w:hAnsi="Arial"/>
          <w:sz w:val="12"/>
          <w:szCs w:val="12"/>
          <w:color w:val="auto"/>
        </w:rPr>
      </w:pPr>
    </w:p>
    <w:p>
      <w:pPr>
        <w:ind w:left="500" w:hanging="384"/>
        <w:spacing w:after="0"/>
        <w:tabs>
          <w:tab w:leader="none" w:pos="5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grant of LTIP units was subject to vesting based on continued employment through December 31, 2018.</w:t>
      </w:r>
    </w:p>
    <w:p>
      <w:pPr>
        <w:spacing w:after="0" w:line="136" w:lineRule="exact"/>
        <w:rPr>
          <w:rFonts w:ascii="Arial" w:cs="Arial" w:eastAsia="Arial" w:hAnsi="Arial"/>
          <w:sz w:val="14"/>
          <w:szCs w:val="14"/>
          <w:color w:val="auto"/>
        </w:rPr>
      </w:pPr>
    </w:p>
    <w:p>
      <w:pPr>
        <w:ind w:left="500" w:right="160" w:hanging="384"/>
        <w:spacing w:after="0" w:line="237" w:lineRule="auto"/>
        <w:tabs>
          <w:tab w:leader="none" w:pos="5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grant of LTIP units was subject to the achievement of performance-based vesting hurdles over three years. One-third of the LTIP units were initially eligible to be earned in each of 2019, 2020 and 2021, with 50-100% of such LTIP units earned upon the achievement of either annual FFO growth of 2.5-5.0% per year or TSR in the top 66.7-33.3% of the MSCI US REIT Index, respectively, during the prior year (or on a cumulative basis from 2018 through the end of such year or a subsequent quarter during the term of Mr. DiLiberto’s employment agreement). None of these LTIP units will vest if threshold performance is not achieved. Vesting is also subject to Mr. DiLiberto’s continued employment through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of the year following the year in which the performance-based vesting hurdles are achieved.</w:t>
      </w:r>
    </w:p>
    <w:p>
      <w:pPr>
        <w:spacing w:after="0" w:line="46" w:lineRule="exact"/>
        <w:rPr>
          <w:rFonts w:ascii="Arial" w:cs="Arial" w:eastAsia="Arial" w:hAnsi="Arial"/>
          <w:sz w:val="14"/>
          <w:szCs w:val="14"/>
          <w:color w:val="auto"/>
        </w:rPr>
      </w:pPr>
    </w:p>
    <w:p>
      <w:pPr>
        <w:ind w:left="500" w:right="380" w:hanging="384"/>
        <w:spacing w:after="0" w:line="231" w:lineRule="auto"/>
        <w:tabs>
          <w:tab w:leader="none" w:pos="5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grant of LTIP units was subject to vesting in equal installments on each of January 1, 2019, January 1, 2020 and January 1, 2021, subject to continued employment through such dates.</w:t>
      </w:r>
    </w:p>
    <w:p>
      <w:pPr>
        <w:spacing w:after="0" w:line="31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2019 Long-Term Equity Incentive Awards</w:t>
      </w:r>
    </w:p>
    <w:p>
      <w:pPr>
        <w:spacing w:after="0" w:line="23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mentioned above, in response to feedback that we received during stockholder engagements meetings, we significantly restructured our long-term equity incentive award program for our named executive officers. Beginning in 2019, we have made the following changes to our long-term equity incentive award program for our named executive officers:</w:t>
      </w:r>
    </w:p>
    <w:p>
      <w:pPr>
        <w:spacing w:after="0" w:line="204" w:lineRule="exact"/>
        <w:rPr>
          <w:sz w:val="20"/>
          <w:szCs w:val="20"/>
          <w:color w:val="auto"/>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Simplified the structure of long-term equity awards, to include annual performance-based LTIP units and time-based LTIP units;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Eliminated stock option grants;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Eliminated employment agreement awards with fixed terms;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Eliminated performance-based awards with multiple alternative performance goals;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Included multi-year performance criteria in all performance-based awards; and</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82"/>
        </w:numPr>
        <w:rPr>
          <w:rFonts w:ascii="Arial" w:cs="Arial" w:eastAsia="Arial" w:hAnsi="Arial"/>
          <w:sz w:val="17"/>
          <w:szCs w:val="17"/>
          <w:color w:val="345988"/>
        </w:rPr>
      </w:pPr>
      <w:r>
        <w:rPr>
          <w:rFonts w:ascii="Arial" w:cs="Arial" w:eastAsia="Arial" w:hAnsi="Arial"/>
          <w:sz w:val="18"/>
          <w:szCs w:val="18"/>
          <w:color w:val="auto"/>
        </w:rPr>
        <w:t>Replaced periodic outperformance plan awards with more regular annual performance-based LTIP units.</w:t>
      </w:r>
    </w:p>
    <w:p>
      <w:pPr>
        <w:spacing w:after="0" w:line="21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result, beginning in 2019, our long-term equity incentive award program will consist solely of annual grants of performance-based equity awards and time-based equity awards that vest over a multi-year period based on continued service as described in more detail below. The target amounts of performance-based equity awards and time-based equity awards for each of Messrs. Holliday and Mathias for 2019 are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gridSpan w:val="6"/>
          </w:tcPr>
          <w:p>
            <w:pPr>
              <w:jc w:val="right"/>
              <w:ind w:right="699"/>
              <w:spacing w:after="0"/>
              <w:rPr>
                <w:sz w:val="20"/>
                <w:szCs w:val="20"/>
                <w:color w:val="auto"/>
              </w:rPr>
            </w:pPr>
            <w:r>
              <w:rPr>
                <w:rFonts w:ascii="Arial" w:cs="Arial" w:eastAsia="Arial" w:hAnsi="Arial"/>
                <w:sz w:val="14"/>
                <w:szCs w:val="14"/>
                <w:b w:val="1"/>
                <w:bCs w:val="1"/>
                <w:color w:val="345988"/>
              </w:rPr>
              <w:t>Target Equity Award Amounts</w:t>
            </w:r>
          </w:p>
        </w:tc>
      </w:tr>
      <w:tr>
        <w:trPr>
          <w:trHeight w:val="48"/>
        </w:trPr>
        <w:tc>
          <w:tcPr>
            <w:tcW w:w="7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bottom w:val="single" w:sz="8" w:color="345988"/>
            </w:tcBorders>
            <w:gridSpan w:val="3"/>
          </w:tcPr>
          <w:p>
            <w:pPr>
              <w:spacing w:after="0"/>
              <w:rPr>
                <w:sz w:val="4"/>
                <w:szCs w:val="4"/>
                <w:color w:val="auto"/>
              </w:rPr>
            </w:pPr>
          </w:p>
        </w:tc>
        <w:tc>
          <w:tcPr>
            <w:tcW w:w="1060" w:type="dxa"/>
            <w:vAlign w:val="bottom"/>
            <w:tcBorders>
              <w:bottom w:val="single" w:sz="8" w:color="345988"/>
            </w:tcBorders>
            <w:gridSpan w:val="2"/>
          </w:tcPr>
          <w:p>
            <w:pPr>
              <w:spacing w:after="0"/>
              <w:rPr>
                <w:sz w:val="4"/>
                <w:szCs w:val="4"/>
                <w:color w:val="auto"/>
              </w:rPr>
            </w:pPr>
          </w:p>
        </w:tc>
        <w:tc>
          <w:tcPr>
            <w:tcW w:w="100" w:type="dxa"/>
            <w:vAlign w:val="bottom"/>
            <w:tcBorders>
              <w:bottom w:val="single" w:sz="8" w:color="345988"/>
            </w:tcBorders>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r>
      <w:tr>
        <w:trPr>
          <w:trHeight w:val="202"/>
        </w:trPr>
        <w:tc>
          <w:tcPr>
            <w:tcW w:w="7780" w:type="dxa"/>
            <w:vAlign w:val="bottom"/>
          </w:tcPr>
          <w:p>
            <w:pPr>
              <w:spacing w:after="0"/>
              <w:rPr>
                <w:sz w:val="20"/>
                <w:szCs w:val="20"/>
                <w:color w:val="auto"/>
              </w:rPr>
            </w:pPr>
            <w:r>
              <w:rPr>
                <w:rFonts w:ascii="Arial" w:cs="Arial" w:eastAsia="Arial" w:hAnsi="Arial"/>
                <w:sz w:val="14"/>
                <w:szCs w:val="14"/>
                <w:b w:val="1"/>
                <w:bCs w:val="1"/>
                <w:color w:val="345988"/>
              </w:rPr>
              <w:t>Executive</w:t>
            </w: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345988"/>
              </w:rPr>
              <w:t>Performance-Based</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Time-Based</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45988"/>
              </w:rPr>
              <w:t>Total</w:t>
            </w:r>
          </w:p>
        </w:tc>
      </w:tr>
      <w:tr>
        <w:trPr>
          <w:trHeight w:val="48"/>
        </w:trPr>
        <w:tc>
          <w:tcPr>
            <w:tcW w:w="77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345988"/>
            </w:tcBorders>
          </w:tcPr>
          <w:p>
            <w:pPr>
              <w:spacing w:after="0"/>
              <w:rPr>
                <w:sz w:val="4"/>
                <w:szCs w:val="4"/>
                <w:color w:val="auto"/>
              </w:rPr>
            </w:pPr>
          </w:p>
        </w:tc>
        <w:tc>
          <w:tcPr>
            <w:tcW w:w="9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345988"/>
            </w:tcBorders>
          </w:tcPr>
          <w:p>
            <w:pPr>
              <w:spacing w:after="0"/>
              <w:rPr>
                <w:sz w:val="4"/>
                <w:szCs w:val="4"/>
                <w:color w:val="auto"/>
              </w:rPr>
            </w:pPr>
          </w:p>
        </w:tc>
        <w:tc>
          <w:tcPr>
            <w:tcW w:w="900" w:type="dxa"/>
            <w:vAlign w:val="bottom"/>
            <w:tcBorders>
              <w:bottom w:val="single" w:sz="8" w:color="345988"/>
            </w:tcBorders>
          </w:tcPr>
          <w:p>
            <w:pPr>
              <w:spacing w:after="0"/>
              <w:rPr>
                <w:sz w:val="4"/>
                <w:szCs w:val="4"/>
                <w:color w:val="auto"/>
              </w:rPr>
            </w:pPr>
          </w:p>
        </w:tc>
      </w:tr>
      <w:tr>
        <w:trPr>
          <w:trHeight w:val="235"/>
        </w:trPr>
        <w:tc>
          <w:tcPr>
            <w:tcW w:w="7780" w:type="dxa"/>
            <w:vAlign w:val="bottom"/>
          </w:tcPr>
          <w:p>
            <w:pPr>
              <w:spacing w:after="0"/>
              <w:rPr>
                <w:sz w:val="20"/>
                <w:szCs w:val="20"/>
                <w:color w:val="auto"/>
              </w:rPr>
            </w:pPr>
            <w:r>
              <w:rPr>
                <w:rFonts w:ascii="Arial" w:cs="Arial" w:eastAsia="Arial" w:hAnsi="Arial"/>
                <w:sz w:val="18"/>
                <w:szCs w:val="18"/>
                <w:color w:val="auto"/>
              </w:rPr>
              <w:t>Marc Holliday</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7,500,000</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$4,500,000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12,000,000</w:t>
            </w:r>
          </w:p>
        </w:tc>
      </w:tr>
      <w:tr>
        <w:trPr>
          <w:trHeight w:val="21"/>
        </w:trPr>
        <w:tc>
          <w:tcPr>
            <w:tcW w:w="7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8590A9"/>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r>
      <w:tr>
        <w:trPr>
          <w:trHeight w:val="235"/>
        </w:trPr>
        <w:tc>
          <w:tcPr>
            <w:tcW w:w="7780" w:type="dxa"/>
            <w:vAlign w:val="bottom"/>
          </w:tcPr>
          <w:p>
            <w:pPr>
              <w:spacing w:after="0"/>
              <w:rPr>
                <w:sz w:val="20"/>
                <w:szCs w:val="20"/>
                <w:color w:val="auto"/>
              </w:rPr>
            </w:pPr>
            <w:r>
              <w:rPr>
                <w:rFonts w:ascii="Arial" w:cs="Arial" w:eastAsia="Arial" w:hAnsi="Arial"/>
                <w:sz w:val="18"/>
                <w:szCs w:val="18"/>
                <w:color w:val="auto"/>
              </w:rPr>
              <w:t>Andrew Mathias</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$3,500,000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9,500,000</w:t>
            </w:r>
          </w:p>
        </w:tc>
      </w:tr>
      <w:tr>
        <w:trPr>
          <w:trHeight w:val="35"/>
        </w:trPr>
        <w:tc>
          <w:tcPr>
            <w:tcW w:w="77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shd w:val="clear" w:color="auto" w:fill="345988"/>
          </w:tcPr>
          <w:p>
            <w:pPr>
              <w:spacing w:after="0"/>
              <w:rPr>
                <w:sz w:val="3"/>
                <w:szCs w:val="3"/>
                <w:color w:val="auto"/>
              </w:rPr>
            </w:pPr>
          </w:p>
        </w:tc>
        <w:tc>
          <w:tcPr>
            <w:tcW w:w="9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345988"/>
          </w:tcPr>
          <w:p>
            <w:pPr>
              <w:spacing w:after="0"/>
              <w:rPr>
                <w:sz w:val="3"/>
                <w:szCs w:val="3"/>
                <w:color w:val="auto"/>
              </w:rPr>
            </w:pPr>
          </w:p>
        </w:tc>
        <w:tc>
          <w:tcPr>
            <w:tcW w:w="900" w:type="dxa"/>
            <w:vAlign w:val="bottom"/>
            <w:shd w:val="clear" w:color="auto" w:fill="345988"/>
          </w:tcPr>
          <w:p>
            <w:pPr>
              <w:spacing w:after="0"/>
              <w:rPr>
                <w:sz w:val="3"/>
                <w:szCs w:val="3"/>
                <w:color w:val="auto"/>
              </w:rPr>
            </w:pPr>
          </w:p>
        </w:tc>
      </w:tr>
    </w:tbl>
    <w:p>
      <w:pPr>
        <w:spacing w:after="0" w:line="21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target amounts of the performance-based and time-based equity awards for Messrs. Holliday and Mathias reflect amounts agreed to in each executive’s employment agreement. The target value of the performance-based equity awards for each of Messrs. Holliday and Mathias is more than 60% of the total annual target value of each executive’s long-term equity incentive awards.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Performance-Based Equity Awards</w:t>
      </w:r>
    </w:p>
    <w:p>
      <w:pPr>
        <w:spacing w:after="0" w:line="22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plan to make annual awards of performance-based LTIP units to each of our named executive officers, 50% of which may be earned based on our relative TSR performance over a three-year period and 50% of which may be earned based on achievement of specified operating performance criteria over a one-year period, with a further modifier based on absolute TSR over a three-year period. The specific performance-based hurdles will be determined each year by the Committee in its discretion, except that for 2019, we agreed with Messrs. Holliday and Mathias</w:t>
      </w:r>
    </w:p>
    <w:p>
      <w:pPr>
        <w:ind w:right="40"/>
        <w:spacing w:after="0" w:line="238" w:lineRule="auto"/>
        <w:rPr>
          <w:sz w:val="20"/>
          <w:szCs w:val="20"/>
          <w:color w:val="auto"/>
        </w:rPr>
      </w:pPr>
      <w:r>
        <w:rPr>
          <w:rFonts w:ascii="Arial" w:cs="Arial" w:eastAsia="Arial" w:hAnsi="Arial"/>
          <w:sz w:val="17"/>
          <w:szCs w:val="17"/>
          <w:color w:val="auto"/>
        </w:rPr>
        <w:t>in each of their employment agreements that the relative TSR performance hurdles will range from the 33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percentile (at threshold) to the 67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(at maximum) of companies included in the SNL Office Index and the absolute TSR modifiers will range from 3.5% per year (at threshold) to 7.5% (at maximum). The Committee will establish threshold, target and maximum performance hurdles pursuant to which 50%, 100% and 225% of the target number of LTIP units may be earned, with linear interpolation for earning between levels. For the portion of the performance-based LTIP units that may be earned based on operating performance criteria, between 50% - 200% may be preliminarily earned based on achievement of the operating performance criteria over a one-year period. The final amount earned may then be increased or decreased by up to 12.5% of the amount preliminarily earned based on absolute TSR performance over a three-year period. None of the performance-based LTIP units will be earned if the threshold relative TSR performance criteria and operating performance criteria are not met. Vesting of the awards will also be subject to continued employment through the end of the performance period, subject to acceleration in certain circumstances.</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 forth the structure of the performance-based LTIP units granted to our named executive officers in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45988"/>
        </w:rPr>
        <w:t>Relative TSR Component (50% of Total Award)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Borders>
              <w:top w:val="single" w:sz="8" w:color="345988"/>
              <w:bottom w:val="single" w:sz="8" w:color="345988"/>
            </w:tcBorders>
          </w:tcPr>
          <w:p>
            <w:pPr>
              <w:ind w:left="960"/>
              <w:spacing w:after="0"/>
              <w:rPr>
                <w:sz w:val="20"/>
                <w:szCs w:val="20"/>
                <w:color w:val="auto"/>
              </w:rPr>
            </w:pPr>
            <w:r>
              <w:rPr>
                <w:rFonts w:ascii="Arial" w:cs="Arial" w:eastAsia="Arial" w:hAnsi="Arial"/>
                <w:sz w:val="14"/>
                <w:szCs w:val="14"/>
                <w:b w:val="1"/>
                <w:bCs w:val="1"/>
                <w:color w:val="345988"/>
              </w:rPr>
              <w:t>Level</w:t>
            </w:r>
          </w:p>
        </w:tc>
        <w:tc>
          <w:tcPr>
            <w:tcW w:w="180" w:type="dxa"/>
            <w:vAlign w:val="bottom"/>
            <w:tcBorders>
              <w:top w:val="single" w:sz="8" w:color="345988"/>
            </w:tcBorders>
          </w:tcPr>
          <w:p>
            <w:pPr>
              <w:spacing w:after="0"/>
              <w:rPr>
                <w:sz w:val="18"/>
                <w:szCs w:val="18"/>
                <w:color w:val="auto"/>
              </w:rPr>
            </w:pPr>
          </w:p>
        </w:tc>
        <w:tc>
          <w:tcPr>
            <w:tcW w:w="3400" w:type="dxa"/>
            <w:vAlign w:val="bottom"/>
            <w:tcBorders>
              <w:top w:val="single" w:sz="8" w:color="345988"/>
              <w:bottom w:val="single" w:sz="8" w:color="345988"/>
            </w:tcBorders>
          </w:tcPr>
          <w:p>
            <w:pPr>
              <w:ind w:left="500"/>
              <w:spacing w:after="0"/>
              <w:rPr>
                <w:sz w:val="20"/>
                <w:szCs w:val="20"/>
                <w:color w:val="auto"/>
              </w:rPr>
            </w:pPr>
            <w:r>
              <w:rPr>
                <w:rFonts w:ascii="Arial" w:cs="Arial" w:eastAsia="Arial" w:hAnsi="Arial"/>
                <w:sz w:val="14"/>
                <w:szCs w:val="14"/>
                <w:b w:val="1"/>
                <w:bCs w:val="1"/>
                <w:color w:val="345988"/>
              </w:rPr>
              <w:t>Percentage of Target Amount Earned</w:t>
            </w:r>
          </w:p>
        </w:tc>
        <w:tc>
          <w:tcPr>
            <w:tcW w:w="160" w:type="dxa"/>
            <w:vAlign w:val="bottom"/>
            <w:tcBorders>
              <w:top w:val="single" w:sz="8" w:color="345988"/>
            </w:tcBorders>
          </w:tcPr>
          <w:p>
            <w:pPr>
              <w:spacing w:after="0"/>
              <w:rPr>
                <w:sz w:val="18"/>
                <w:szCs w:val="18"/>
                <w:color w:val="auto"/>
              </w:rPr>
            </w:pPr>
          </w:p>
        </w:tc>
        <w:tc>
          <w:tcPr>
            <w:tcW w:w="5440" w:type="dxa"/>
            <w:vAlign w:val="bottom"/>
            <w:tcBorders>
              <w:top w:val="single" w:sz="8" w:color="345988"/>
              <w:bottom w:val="single" w:sz="8" w:color="345988"/>
            </w:tcBorders>
          </w:tcPr>
          <w:p>
            <w:pPr>
              <w:jc w:val="center"/>
              <w:spacing w:after="0"/>
              <w:rPr>
                <w:sz w:val="20"/>
                <w:szCs w:val="20"/>
                <w:color w:val="auto"/>
              </w:rPr>
            </w:pPr>
            <w:r>
              <w:rPr>
                <w:rFonts w:ascii="Arial" w:cs="Arial" w:eastAsia="Arial" w:hAnsi="Arial"/>
                <w:sz w:val="14"/>
                <w:szCs w:val="14"/>
                <w:b w:val="1"/>
                <w:bCs w:val="1"/>
                <w:color w:val="345988"/>
                <w:w w:val="96"/>
              </w:rPr>
              <w:t>Relative TSR (Three Years)</w:t>
            </w:r>
          </w:p>
        </w:tc>
      </w:tr>
      <w:tr>
        <w:trPr>
          <w:trHeight w:val="257"/>
        </w:trPr>
        <w:tc>
          <w:tcPr>
            <w:tcW w:w="22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22"/>
                <w:szCs w:val="22"/>
                <w:color w:val="auto"/>
              </w:rPr>
            </w:pPr>
          </w:p>
        </w:tc>
        <w:tc>
          <w:tcPr>
            <w:tcW w:w="340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auto"/>
                <w:w w:val="94"/>
              </w:rPr>
              <w:t>50%</w:t>
            </w:r>
          </w:p>
        </w:tc>
        <w:tc>
          <w:tcPr>
            <w:tcW w:w="160" w:type="dxa"/>
            <w:vAlign w:val="bottom"/>
          </w:tcPr>
          <w:p>
            <w:pPr>
              <w:spacing w:after="0"/>
              <w:rPr>
                <w:sz w:val="22"/>
                <w:szCs w:val="22"/>
                <w:color w:val="auto"/>
              </w:rPr>
            </w:pPr>
          </w:p>
        </w:tc>
        <w:tc>
          <w:tcPr>
            <w:tcW w:w="5440" w:type="dxa"/>
            <w:vAlign w:val="bottom"/>
            <w:tcBorders>
              <w:bottom w:val="single" w:sz="8" w:color="8590A9"/>
            </w:tcBorders>
          </w:tcPr>
          <w:p>
            <w:pPr>
              <w:jc w:val="center"/>
              <w:spacing w:after="0" w:line="256" w:lineRule="exact"/>
              <w:rPr>
                <w:sz w:val="20"/>
                <w:szCs w:val="20"/>
                <w:color w:val="auto"/>
              </w:rPr>
            </w:pPr>
            <w:r>
              <w:rPr>
                <w:rFonts w:ascii="Arial" w:cs="Arial" w:eastAsia="Arial" w:hAnsi="Arial"/>
                <w:sz w:val="18"/>
                <w:szCs w:val="18"/>
                <w:color w:val="auto"/>
                <w:w w:val="96"/>
              </w:rPr>
              <w:t>33</w:t>
            </w:r>
            <w:r>
              <w:rPr>
                <w:rFonts w:ascii="Arial" w:cs="Arial" w:eastAsia="Arial" w:hAnsi="Arial"/>
                <w:sz w:val="29"/>
                <w:szCs w:val="29"/>
                <w:color w:val="auto"/>
                <w:w w:val="96"/>
                <w:vertAlign w:val="superscript"/>
              </w:rPr>
              <w:t>rd</w:t>
            </w:r>
            <w:r>
              <w:rPr>
                <w:rFonts w:ascii="Arial" w:cs="Arial" w:eastAsia="Arial" w:hAnsi="Arial"/>
                <w:sz w:val="18"/>
                <w:szCs w:val="18"/>
                <w:color w:val="auto"/>
                <w:w w:val="96"/>
              </w:rPr>
              <w:t xml:space="preserve"> percentile of SNL Office Index Companies</w:t>
            </w:r>
          </w:p>
        </w:tc>
      </w:tr>
      <w:tr>
        <w:trPr>
          <w:trHeight w:val="250"/>
        </w:trPr>
        <w:tc>
          <w:tcPr>
            <w:tcW w:w="22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21"/>
                <w:szCs w:val="21"/>
                <w:color w:val="auto"/>
              </w:rPr>
            </w:pPr>
          </w:p>
        </w:tc>
        <w:tc>
          <w:tcPr>
            <w:tcW w:w="340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auto"/>
                <w:w w:val="99"/>
              </w:rPr>
              <w:t>100%</w:t>
            </w:r>
          </w:p>
        </w:tc>
        <w:tc>
          <w:tcPr>
            <w:tcW w:w="160" w:type="dxa"/>
            <w:vAlign w:val="bottom"/>
          </w:tcPr>
          <w:p>
            <w:pPr>
              <w:spacing w:after="0"/>
              <w:rPr>
                <w:sz w:val="21"/>
                <w:szCs w:val="21"/>
                <w:color w:val="auto"/>
              </w:rPr>
            </w:pPr>
          </w:p>
        </w:tc>
        <w:tc>
          <w:tcPr>
            <w:tcW w:w="5440" w:type="dxa"/>
            <w:vAlign w:val="bottom"/>
            <w:tcBorders>
              <w:bottom w:val="single" w:sz="8" w:color="8590A9"/>
            </w:tcBorders>
          </w:tcPr>
          <w:p>
            <w:pPr>
              <w:jc w:val="center"/>
              <w:spacing w:after="0" w:line="250" w:lineRule="exact"/>
              <w:rPr>
                <w:sz w:val="20"/>
                <w:szCs w:val="20"/>
                <w:color w:val="auto"/>
              </w:rPr>
            </w:pPr>
            <w:r>
              <w:rPr>
                <w:rFonts w:ascii="Arial" w:cs="Arial" w:eastAsia="Arial" w:hAnsi="Arial"/>
                <w:sz w:val="17"/>
                <w:szCs w:val="17"/>
                <w:color w:val="auto"/>
              </w:rPr>
              <w:t>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SNL Office Index Companies</w:t>
            </w:r>
          </w:p>
        </w:tc>
      </w:tr>
      <w:tr>
        <w:trPr>
          <w:trHeight w:val="257"/>
        </w:trPr>
        <w:tc>
          <w:tcPr>
            <w:tcW w:w="224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Maximum</w:t>
            </w:r>
          </w:p>
        </w:tc>
        <w:tc>
          <w:tcPr>
            <w:tcW w:w="180" w:type="dxa"/>
            <w:vAlign w:val="bottom"/>
          </w:tcPr>
          <w:p>
            <w:pPr>
              <w:spacing w:after="0"/>
              <w:rPr>
                <w:sz w:val="22"/>
                <w:szCs w:val="22"/>
                <w:color w:val="auto"/>
              </w:rPr>
            </w:pPr>
          </w:p>
        </w:tc>
        <w:tc>
          <w:tcPr>
            <w:tcW w:w="3400" w:type="dxa"/>
            <w:vAlign w:val="bottom"/>
            <w:tcBorders>
              <w:bottom w:val="single" w:sz="8" w:color="345988"/>
            </w:tcBorders>
          </w:tcPr>
          <w:p>
            <w:pPr>
              <w:jc w:val="center"/>
              <w:spacing w:after="0"/>
              <w:rPr>
                <w:sz w:val="20"/>
                <w:szCs w:val="20"/>
                <w:color w:val="auto"/>
              </w:rPr>
            </w:pPr>
            <w:r>
              <w:rPr>
                <w:rFonts w:ascii="Arial" w:cs="Arial" w:eastAsia="Arial" w:hAnsi="Arial"/>
                <w:sz w:val="18"/>
                <w:szCs w:val="18"/>
                <w:color w:val="auto"/>
                <w:w w:val="99"/>
              </w:rPr>
              <w:t>225%</w:t>
            </w:r>
          </w:p>
        </w:tc>
        <w:tc>
          <w:tcPr>
            <w:tcW w:w="160" w:type="dxa"/>
            <w:vAlign w:val="bottom"/>
          </w:tcPr>
          <w:p>
            <w:pPr>
              <w:spacing w:after="0"/>
              <w:rPr>
                <w:sz w:val="22"/>
                <w:szCs w:val="22"/>
                <w:color w:val="auto"/>
              </w:rPr>
            </w:pPr>
          </w:p>
        </w:tc>
        <w:tc>
          <w:tcPr>
            <w:tcW w:w="5440" w:type="dxa"/>
            <w:vAlign w:val="bottom"/>
            <w:tcBorders>
              <w:bottom w:val="single" w:sz="8" w:color="345988"/>
            </w:tcBorders>
          </w:tcPr>
          <w:p>
            <w:pPr>
              <w:jc w:val="center"/>
              <w:spacing w:after="0" w:line="250" w:lineRule="exact"/>
              <w:rPr>
                <w:sz w:val="20"/>
                <w:szCs w:val="20"/>
                <w:color w:val="auto"/>
              </w:rPr>
            </w:pPr>
            <w:r>
              <w:rPr>
                <w:rFonts w:ascii="Arial" w:cs="Arial" w:eastAsia="Arial" w:hAnsi="Arial"/>
                <w:sz w:val="17"/>
                <w:szCs w:val="17"/>
                <w:color w:val="auto"/>
              </w:rPr>
              <w:t>67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SNL Office Index Companies</w:t>
            </w:r>
          </w:p>
        </w:tc>
      </w:tr>
      <w:tr>
        <w:trPr>
          <w:trHeight w:val="439"/>
        </w:trPr>
        <w:tc>
          <w:tcPr>
            <w:tcW w:w="2240" w:type="dxa"/>
            <w:vAlign w:val="bottom"/>
            <w:tcBorders>
              <w:bottom w:val="single" w:sz="8" w:color="345988"/>
            </w:tcBorders>
          </w:tcPr>
          <w:p>
            <w:pPr>
              <w:spacing w:after="0"/>
              <w:rPr>
                <w:sz w:val="24"/>
                <w:szCs w:val="24"/>
                <w:color w:val="auto"/>
              </w:rPr>
            </w:pPr>
          </w:p>
        </w:tc>
        <w:tc>
          <w:tcPr>
            <w:tcW w:w="180" w:type="dxa"/>
            <w:vAlign w:val="bottom"/>
            <w:tcBorders>
              <w:bottom w:val="single" w:sz="8" w:color="345988"/>
            </w:tcBorders>
          </w:tcPr>
          <w:p>
            <w:pPr>
              <w:spacing w:after="0"/>
              <w:rPr>
                <w:sz w:val="24"/>
                <w:szCs w:val="24"/>
                <w:color w:val="auto"/>
              </w:rPr>
            </w:pPr>
          </w:p>
        </w:tc>
        <w:tc>
          <w:tcPr>
            <w:tcW w:w="9000" w:type="dxa"/>
            <w:vAlign w:val="bottom"/>
            <w:tcBorders>
              <w:bottom w:val="single" w:sz="8" w:color="345988"/>
            </w:tcBorders>
            <w:gridSpan w:val="3"/>
          </w:tcPr>
          <w:p>
            <w:pPr>
              <w:jc w:val="center"/>
              <w:ind w:right="2321"/>
              <w:spacing w:after="0"/>
              <w:rPr>
                <w:sz w:val="20"/>
                <w:szCs w:val="20"/>
                <w:color w:val="auto"/>
              </w:rPr>
            </w:pPr>
            <w:r>
              <w:rPr>
                <w:rFonts w:ascii="Arial" w:cs="Arial" w:eastAsia="Arial" w:hAnsi="Arial"/>
                <w:sz w:val="14"/>
                <w:szCs w:val="14"/>
                <w:b w:val="1"/>
                <w:bCs w:val="1"/>
                <w:color w:val="345988"/>
                <w:w w:val="96"/>
              </w:rPr>
              <w:t>Operational Performance Component (50% of Total Award)</w:t>
            </w:r>
          </w:p>
        </w:tc>
      </w:tr>
      <w:tr>
        <w:trPr>
          <w:trHeight w:val="196"/>
        </w:trPr>
        <w:tc>
          <w:tcPr>
            <w:tcW w:w="2240" w:type="dxa"/>
            <w:vAlign w:val="bottom"/>
            <w:tcBorders>
              <w:bottom w:val="single" w:sz="8" w:color="345988"/>
            </w:tcBorders>
          </w:tcPr>
          <w:p>
            <w:pPr>
              <w:spacing w:after="0"/>
              <w:rPr>
                <w:sz w:val="17"/>
                <w:szCs w:val="17"/>
                <w:color w:val="auto"/>
              </w:rPr>
            </w:pPr>
          </w:p>
        </w:tc>
        <w:tc>
          <w:tcPr>
            <w:tcW w:w="180" w:type="dxa"/>
            <w:vAlign w:val="bottom"/>
            <w:tcBorders>
              <w:bottom w:val="single" w:sz="8" w:color="345988"/>
            </w:tcBorders>
          </w:tcPr>
          <w:p>
            <w:pPr>
              <w:spacing w:after="0"/>
              <w:rPr>
                <w:sz w:val="17"/>
                <w:szCs w:val="17"/>
                <w:color w:val="auto"/>
              </w:rPr>
            </w:pPr>
          </w:p>
        </w:tc>
        <w:tc>
          <w:tcPr>
            <w:tcW w:w="9000" w:type="dxa"/>
            <w:vAlign w:val="bottom"/>
            <w:tcBorders>
              <w:bottom w:val="single" w:sz="8" w:color="345988"/>
            </w:tcBorders>
            <w:gridSpan w:val="3"/>
          </w:tcPr>
          <w:p>
            <w:pPr>
              <w:jc w:val="center"/>
              <w:ind w:right="2341"/>
              <w:spacing w:after="0"/>
              <w:rPr>
                <w:sz w:val="20"/>
                <w:szCs w:val="20"/>
                <w:color w:val="auto"/>
              </w:rPr>
            </w:pPr>
            <w:r>
              <w:rPr>
                <w:rFonts w:ascii="Arial" w:cs="Arial" w:eastAsia="Arial" w:hAnsi="Arial"/>
                <w:sz w:val="14"/>
                <w:szCs w:val="14"/>
                <w:b w:val="1"/>
                <w:bCs w:val="1"/>
                <w:color w:val="345988"/>
                <w:w w:val="96"/>
              </w:rPr>
              <w:t>Operational Performance Goals (One Year)</w:t>
            </w:r>
          </w:p>
        </w:tc>
      </w:tr>
      <w:tr>
        <w:trPr>
          <w:trHeight w:val="178"/>
        </w:trPr>
        <w:tc>
          <w:tcPr>
            <w:tcW w:w="2420" w:type="dxa"/>
            <w:vAlign w:val="bottom"/>
            <w:gridSpan w:val="2"/>
          </w:tcPr>
          <w:p>
            <w:pPr>
              <w:ind w:left="960"/>
              <w:spacing w:after="0"/>
              <w:rPr>
                <w:sz w:val="20"/>
                <w:szCs w:val="20"/>
                <w:color w:val="auto"/>
              </w:rPr>
            </w:pPr>
            <w:r>
              <w:rPr>
                <w:rFonts w:ascii="Arial" w:cs="Arial" w:eastAsia="Arial" w:hAnsi="Arial"/>
                <w:sz w:val="14"/>
                <w:szCs w:val="14"/>
                <w:b w:val="1"/>
                <w:bCs w:val="1"/>
                <w:color w:val="345988"/>
              </w:rPr>
              <w:t>Level</w:t>
            </w:r>
          </w:p>
        </w:tc>
        <w:tc>
          <w:tcPr>
            <w:tcW w:w="3560" w:type="dxa"/>
            <w:vAlign w:val="bottom"/>
            <w:gridSpan w:val="2"/>
          </w:tcPr>
          <w:p>
            <w:pPr>
              <w:ind w:left="500"/>
              <w:spacing w:after="0"/>
              <w:rPr>
                <w:sz w:val="20"/>
                <w:szCs w:val="20"/>
                <w:color w:val="auto"/>
              </w:rPr>
            </w:pPr>
            <w:r>
              <w:rPr>
                <w:rFonts w:ascii="Arial" w:cs="Arial" w:eastAsia="Arial" w:hAnsi="Arial"/>
                <w:sz w:val="14"/>
                <w:szCs w:val="14"/>
                <w:b w:val="1"/>
                <w:bCs w:val="1"/>
                <w:color w:val="345988"/>
              </w:rPr>
              <w:t>Percentage of Target Amount Earned</w:t>
            </w:r>
          </w:p>
        </w:tc>
        <w:tc>
          <w:tcPr>
            <w:tcW w:w="5440" w:type="dxa"/>
            <w:vAlign w:val="bottom"/>
          </w:tcPr>
          <w:p>
            <w:pPr>
              <w:jc w:val="center"/>
              <w:spacing w:after="0"/>
              <w:rPr>
                <w:sz w:val="20"/>
                <w:szCs w:val="20"/>
                <w:color w:val="auto"/>
              </w:rPr>
            </w:pPr>
            <w:r>
              <w:rPr>
                <w:rFonts w:ascii="Arial" w:cs="Arial" w:eastAsia="Arial" w:hAnsi="Arial"/>
                <w:sz w:val="14"/>
                <w:szCs w:val="14"/>
                <w:b w:val="1"/>
                <w:bCs w:val="1"/>
                <w:color w:val="345988"/>
                <w:w w:val="96"/>
              </w:rPr>
              <w:t>Operational Performance Goals (weighting)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17"/>
                <w:szCs w:val="17"/>
                <w:color w:val="auto"/>
              </w:rPr>
            </w:pPr>
          </w:p>
        </w:tc>
        <w:tc>
          <w:tcPr>
            <w:tcW w:w="338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auto"/>
                <w:w w:val="94"/>
              </w:rPr>
              <w:t>50%</w:t>
            </w:r>
          </w:p>
        </w:tc>
      </w:tr>
      <w:tr>
        <w:trPr>
          <w:trHeight w:val="237"/>
        </w:trPr>
        <w:tc>
          <w:tcPr>
            <w:tcW w:w="224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20"/>
                <w:szCs w:val="20"/>
                <w:color w:val="auto"/>
              </w:rPr>
            </w:pPr>
          </w:p>
        </w:tc>
        <w:tc>
          <w:tcPr>
            <w:tcW w:w="3380" w:type="dxa"/>
            <w:vAlign w:val="bottom"/>
            <w:tcBorders>
              <w:bottom w:val="single" w:sz="8" w:color="8590A9"/>
            </w:tcBorders>
          </w:tcPr>
          <w:p>
            <w:pPr>
              <w:jc w:val="center"/>
              <w:spacing w:after="0"/>
              <w:rPr>
                <w:sz w:val="20"/>
                <w:szCs w:val="20"/>
                <w:color w:val="auto"/>
              </w:rPr>
            </w:pPr>
            <w:r>
              <w:rPr>
                <w:rFonts w:ascii="Arial" w:cs="Arial" w:eastAsia="Arial" w:hAnsi="Arial"/>
                <w:sz w:val="18"/>
                <w:szCs w:val="18"/>
                <w:color w:val="auto"/>
                <w:w w:val="99"/>
              </w:rPr>
              <w:t>100%</w:t>
            </w:r>
          </w:p>
        </w:tc>
      </w:tr>
      <w:tr>
        <w:trPr>
          <w:trHeight w:val="257"/>
        </w:trPr>
        <w:tc>
          <w:tcPr>
            <w:tcW w:w="224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Maximum</w:t>
            </w:r>
          </w:p>
        </w:tc>
        <w:tc>
          <w:tcPr>
            <w:tcW w:w="180" w:type="dxa"/>
            <w:vAlign w:val="bottom"/>
          </w:tcPr>
          <w:p>
            <w:pPr>
              <w:spacing w:after="0"/>
              <w:rPr>
                <w:sz w:val="22"/>
                <w:szCs w:val="22"/>
                <w:color w:val="auto"/>
              </w:rPr>
            </w:pPr>
          </w:p>
        </w:tc>
        <w:tc>
          <w:tcPr>
            <w:tcW w:w="3380" w:type="dxa"/>
            <w:vAlign w:val="bottom"/>
            <w:tcBorders>
              <w:bottom w:val="single" w:sz="8" w:color="345988"/>
            </w:tcBorders>
          </w:tcPr>
          <w:p>
            <w:pPr>
              <w:jc w:val="center"/>
              <w:spacing w:after="0"/>
              <w:rPr>
                <w:sz w:val="20"/>
                <w:szCs w:val="20"/>
                <w:color w:val="auto"/>
              </w:rPr>
            </w:pPr>
            <w:r>
              <w:rPr>
                <w:rFonts w:ascii="Arial" w:cs="Arial" w:eastAsia="Arial" w:hAnsi="Arial"/>
                <w:sz w:val="18"/>
                <w:szCs w:val="18"/>
                <w:color w:val="auto"/>
                <w:w w:val="99"/>
              </w:rPr>
              <w:t>200%</w:t>
            </w:r>
          </w:p>
        </w:tc>
      </w:tr>
    </w:tbl>
    <w:p>
      <w:pPr>
        <w:spacing w:after="0" w:line="20" w:lineRule="exact"/>
        <w:rPr>
          <w:sz w:val="20"/>
          <w:szCs w:val="20"/>
          <w:color w:val="auto"/>
        </w:rPr>
      </w:pPr>
      <w:r>
        <w:rPr>
          <w:sz w:val="20"/>
          <w:szCs w:val="20"/>
          <w:color w:val="auto"/>
        </w:rPr>
        <w:br w:type="column"/>
      </w:r>
    </w:p>
    <w:p>
      <w:pPr>
        <w:ind w:left="237" w:hanging="237"/>
        <w:spacing w:after="0"/>
        <w:tabs>
          <w:tab w:leader="none" w:pos="237" w:val="left"/>
        </w:tabs>
        <w:numPr>
          <w:ilvl w:val="0"/>
          <w:numId w:val="83"/>
        </w:numPr>
        <w:rPr>
          <w:rFonts w:ascii="Arial" w:cs="Arial" w:eastAsia="Arial" w:hAnsi="Arial"/>
          <w:sz w:val="17"/>
          <w:szCs w:val="17"/>
          <w:color w:val="345988"/>
        </w:rPr>
      </w:pPr>
      <w:r>
        <w:rPr>
          <w:rFonts w:ascii="Arial" w:cs="Arial" w:eastAsia="Arial" w:hAnsi="Arial"/>
          <w:sz w:val="18"/>
          <w:szCs w:val="18"/>
          <w:color w:val="auto"/>
        </w:rPr>
        <w:t>Funds Available for Distribution (25%)</w:t>
      </w:r>
    </w:p>
    <w:p>
      <w:pPr>
        <w:ind w:left="237" w:hanging="237"/>
        <w:spacing w:after="0" w:line="219" w:lineRule="auto"/>
        <w:tabs>
          <w:tab w:leader="none" w:pos="237" w:val="left"/>
        </w:tabs>
        <w:numPr>
          <w:ilvl w:val="0"/>
          <w:numId w:val="83"/>
        </w:numPr>
        <w:rPr>
          <w:rFonts w:ascii="Arial" w:cs="Arial" w:eastAsia="Arial" w:hAnsi="Arial"/>
          <w:sz w:val="17"/>
          <w:szCs w:val="17"/>
          <w:color w:val="345988"/>
        </w:rPr>
      </w:pPr>
      <w:r>
        <w:rPr>
          <w:rFonts w:ascii="Arial" w:cs="Arial" w:eastAsia="Arial" w:hAnsi="Arial"/>
          <w:sz w:val="18"/>
          <w:szCs w:val="18"/>
          <w:color w:val="auto"/>
        </w:rPr>
        <w:t>Debt/EBITDA Ratio (25%)</w:t>
      </w:r>
    </w:p>
    <w:p>
      <w:pPr>
        <w:ind w:left="237" w:hanging="237"/>
        <w:spacing w:after="0"/>
        <w:tabs>
          <w:tab w:leader="none" w:pos="237" w:val="left"/>
        </w:tabs>
        <w:numPr>
          <w:ilvl w:val="0"/>
          <w:numId w:val="83"/>
        </w:numPr>
        <w:rPr>
          <w:rFonts w:ascii="Arial" w:cs="Arial" w:eastAsia="Arial" w:hAnsi="Arial"/>
          <w:sz w:val="16"/>
          <w:szCs w:val="16"/>
          <w:color w:val="345988"/>
        </w:rPr>
      </w:pPr>
      <w:r>
        <w:rPr>
          <w:rFonts w:ascii="Arial" w:cs="Arial" w:eastAsia="Arial" w:hAnsi="Arial"/>
          <w:sz w:val="16"/>
          <w:szCs w:val="16"/>
          <w:color w:val="auto"/>
        </w:rPr>
        <w:t>Manhattan Office Same Store Leased Occupancy (25%)</w:t>
      </w:r>
    </w:p>
    <w:p>
      <w:pPr>
        <w:spacing w:after="0" w:line="5" w:lineRule="exact"/>
        <w:rPr>
          <w:rFonts w:ascii="Arial" w:cs="Arial" w:eastAsia="Arial" w:hAnsi="Arial"/>
          <w:sz w:val="16"/>
          <w:szCs w:val="16"/>
          <w:color w:val="345988"/>
        </w:rPr>
      </w:pPr>
    </w:p>
    <w:p>
      <w:pPr>
        <w:ind w:left="237" w:hanging="237"/>
        <w:spacing w:after="0"/>
        <w:tabs>
          <w:tab w:leader="none" w:pos="237" w:val="left"/>
        </w:tabs>
        <w:numPr>
          <w:ilvl w:val="0"/>
          <w:numId w:val="83"/>
        </w:numPr>
        <w:rPr>
          <w:rFonts w:ascii="Arial" w:cs="Arial" w:eastAsia="Arial" w:hAnsi="Arial"/>
          <w:sz w:val="17"/>
          <w:szCs w:val="17"/>
          <w:color w:val="345988"/>
        </w:rPr>
      </w:pPr>
      <w:r>
        <w:rPr>
          <w:rFonts w:ascii="Arial" w:cs="Arial" w:eastAsia="Arial" w:hAnsi="Arial"/>
          <w:sz w:val="18"/>
          <w:szCs w:val="18"/>
          <w:color w:val="auto"/>
        </w:rPr>
        <w:t>Manhattan Office Leasing Volume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-4445</wp:posOffset>
            </wp:positionV>
            <wp:extent cx="34645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800" w:space="443"/>
            <w:col w:w="5177"/>
          </w:cols>
          <w:pgMar w:left="240" w:top="121" w:right="239" w:bottom="1440" w:gutter="0" w:footer="0" w:header="0"/>
          <w:type w:val="continuous"/>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45988"/>
        </w:rPr>
        <w:t>Absolute TSR Modifier (Three Years) (Only Modifies Operational Performance Component)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400" w:type="dxa"/>
            <w:vAlign w:val="bottom"/>
            <w:tcBorders>
              <w:top w:val="single" w:sz="8" w:color="345988"/>
            </w:tcBorders>
            <w:gridSpan w:val="2"/>
          </w:tcPr>
          <w:p>
            <w:pPr>
              <w:ind w:left="940"/>
              <w:spacing w:after="0"/>
              <w:rPr>
                <w:sz w:val="20"/>
                <w:szCs w:val="20"/>
                <w:color w:val="auto"/>
              </w:rPr>
            </w:pPr>
            <w:r>
              <w:rPr>
                <w:rFonts w:ascii="Arial" w:cs="Arial" w:eastAsia="Arial" w:hAnsi="Arial"/>
                <w:sz w:val="14"/>
                <w:szCs w:val="14"/>
                <w:b w:val="1"/>
                <w:bCs w:val="1"/>
                <w:color w:val="345988"/>
              </w:rPr>
              <w:t>Level</w:t>
            </w:r>
          </w:p>
        </w:tc>
        <w:tc>
          <w:tcPr>
            <w:tcW w:w="3580" w:type="dxa"/>
            <w:vAlign w:val="bottom"/>
            <w:tcBorders>
              <w:top w:val="single" w:sz="8" w:color="345988"/>
            </w:tcBorders>
            <w:gridSpan w:val="2"/>
          </w:tcPr>
          <w:p>
            <w:pPr>
              <w:ind w:left="620"/>
              <w:spacing w:after="0"/>
              <w:rPr>
                <w:sz w:val="20"/>
                <w:szCs w:val="20"/>
                <w:color w:val="auto"/>
              </w:rPr>
            </w:pPr>
            <w:r>
              <w:rPr>
                <w:rFonts w:ascii="Arial" w:cs="Arial" w:eastAsia="Arial" w:hAnsi="Arial"/>
                <w:sz w:val="14"/>
                <w:szCs w:val="14"/>
                <w:b w:val="1"/>
                <w:bCs w:val="1"/>
                <w:color w:val="345988"/>
              </w:rPr>
              <w:t>Adjustment to Percentage Earned</w:t>
            </w:r>
          </w:p>
        </w:tc>
        <w:tc>
          <w:tcPr>
            <w:tcW w:w="5420" w:type="dxa"/>
            <w:vAlign w:val="bottom"/>
            <w:tcBorders>
              <w:top w:val="single" w:sz="8" w:color="345988"/>
            </w:tcBorders>
          </w:tcPr>
          <w:p>
            <w:pPr>
              <w:jc w:val="center"/>
              <w:spacing w:after="0"/>
              <w:rPr>
                <w:sz w:val="20"/>
                <w:szCs w:val="20"/>
                <w:color w:val="auto"/>
              </w:rPr>
            </w:pPr>
            <w:r>
              <w:rPr>
                <w:rFonts w:ascii="Arial" w:cs="Arial" w:eastAsia="Arial" w:hAnsi="Arial"/>
                <w:sz w:val="14"/>
                <w:szCs w:val="14"/>
                <w:b w:val="1"/>
                <w:bCs w:val="1"/>
                <w:color w:val="345988"/>
                <w:w w:val="95"/>
              </w:rPr>
              <w:t>Absolute TSR Per Year</w:t>
            </w:r>
          </w:p>
        </w:tc>
      </w:tr>
      <w:tr>
        <w:trPr>
          <w:trHeight w:val="189"/>
        </w:trPr>
        <w:tc>
          <w:tcPr>
            <w:tcW w:w="20" w:type="dxa"/>
            <w:vAlign w:val="bottom"/>
          </w:tcPr>
          <w:p>
            <w:pPr>
              <w:spacing w:after="0"/>
              <w:rPr>
                <w:sz w:val="16"/>
                <w:szCs w:val="16"/>
                <w:color w:val="auto"/>
              </w:rPr>
            </w:pPr>
          </w:p>
        </w:tc>
        <w:tc>
          <w:tcPr>
            <w:tcW w:w="2240" w:type="dxa"/>
            <w:vAlign w:val="bottom"/>
            <w:tcBorders>
              <w:top w:val="single" w:sz="8" w:color="345988"/>
              <w:bottom w:val="single" w:sz="8" w:color="8590A9"/>
            </w:tcBorders>
          </w:tcPr>
          <w:p>
            <w:pPr>
              <w:spacing w:after="0" w:line="189" w:lineRule="exact"/>
              <w:rPr>
                <w:sz w:val="20"/>
                <w:szCs w:val="20"/>
                <w:color w:val="auto"/>
              </w:rPr>
            </w:pPr>
            <w:r>
              <w:rPr>
                <w:rFonts w:ascii="Arial" w:cs="Arial" w:eastAsia="Arial" w:hAnsi="Arial"/>
                <w:sz w:val="18"/>
                <w:szCs w:val="18"/>
                <w:color w:val="auto"/>
              </w:rPr>
              <w:t>Threshold</w:t>
            </w:r>
          </w:p>
        </w:tc>
        <w:tc>
          <w:tcPr>
            <w:tcW w:w="160" w:type="dxa"/>
            <w:vAlign w:val="bottom"/>
          </w:tcPr>
          <w:p>
            <w:pPr>
              <w:spacing w:after="0"/>
              <w:rPr>
                <w:sz w:val="16"/>
                <w:szCs w:val="16"/>
                <w:color w:val="auto"/>
              </w:rPr>
            </w:pPr>
          </w:p>
        </w:tc>
        <w:tc>
          <w:tcPr>
            <w:tcW w:w="3400" w:type="dxa"/>
            <w:vAlign w:val="bottom"/>
            <w:tcBorders>
              <w:top w:val="single" w:sz="8" w:color="345988"/>
              <w:bottom w:val="single" w:sz="8" w:color="8590A9"/>
            </w:tcBorders>
          </w:tcPr>
          <w:p>
            <w:pPr>
              <w:jc w:val="center"/>
              <w:spacing w:after="0" w:line="189" w:lineRule="exact"/>
              <w:rPr>
                <w:sz w:val="20"/>
                <w:szCs w:val="20"/>
                <w:color w:val="auto"/>
              </w:rPr>
            </w:pPr>
            <w:r>
              <w:rPr>
                <w:rFonts w:ascii="Arial" w:cs="Arial" w:eastAsia="Arial" w:hAnsi="Arial"/>
                <w:sz w:val="18"/>
                <w:szCs w:val="18"/>
                <w:color w:val="auto"/>
                <w:w w:val="98"/>
              </w:rPr>
              <w:t>-12.5%</w:t>
            </w:r>
          </w:p>
        </w:tc>
        <w:tc>
          <w:tcPr>
            <w:tcW w:w="180" w:type="dxa"/>
            <w:vAlign w:val="bottom"/>
          </w:tcPr>
          <w:p>
            <w:pPr>
              <w:spacing w:after="0"/>
              <w:rPr>
                <w:sz w:val="16"/>
                <w:szCs w:val="16"/>
                <w:color w:val="auto"/>
              </w:rPr>
            </w:pPr>
          </w:p>
        </w:tc>
        <w:tc>
          <w:tcPr>
            <w:tcW w:w="5420" w:type="dxa"/>
            <w:vAlign w:val="bottom"/>
            <w:tcBorders>
              <w:top w:val="single" w:sz="8" w:color="345988"/>
              <w:bottom w:val="single" w:sz="8" w:color="8590A9"/>
            </w:tcBorders>
          </w:tcPr>
          <w:p>
            <w:pPr>
              <w:jc w:val="center"/>
              <w:spacing w:after="0" w:line="189" w:lineRule="exact"/>
              <w:rPr>
                <w:sz w:val="20"/>
                <w:szCs w:val="20"/>
                <w:color w:val="auto"/>
              </w:rPr>
            </w:pPr>
            <w:r>
              <w:rPr>
                <w:rFonts w:ascii="Arial" w:cs="Arial" w:eastAsia="Arial" w:hAnsi="Arial"/>
                <w:sz w:val="18"/>
                <w:szCs w:val="18"/>
                <w:color w:val="auto"/>
                <w:w w:val="96"/>
              </w:rPr>
              <w:t>3.5% or less</w:t>
            </w:r>
          </w:p>
        </w:tc>
      </w:tr>
      <w:tr>
        <w:trPr>
          <w:trHeight w:val="183"/>
        </w:trPr>
        <w:tc>
          <w:tcPr>
            <w:tcW w:w="20" w:type="dxa"/>
            <w:vAlign w:val="bottom"/>
          </w:tcPr>
          <w:p>
            <w:pPr>
              <w:spacing w:after="0"/>
              <w:rPr>
                <w:sz w:val="15"/>
                <w:szCs w:val="15"/>
                <w:color w:val="auto"/>
              </w:rPr>
            </w:pPr>
          </w:p>
        </w:tc>
        <w:tc>
          <w:tcPr>
            <w:tcW w:w="2240" w:type="dxa"/>
            <w:vAlign w:val="bottom"/>
            <w:tcBorders>
              <w:bottom w:val="single" w:sz="8" w:color="8590A9"/>
            </w:tcBorders>
          </w:tcPr>
          <w:p>
            <w:pPr>
              <w:spacing w:after="0" w:line="182" w:lineRule="exact"/>
              <w:rPr>
                <w:sz w:val="20"/>
                <w:szCs w:val="20"/>
                <w:color w:val="auto"/>
              </w:rPr>
            </w:pPr>
            <w:r>
              <w:rPr>
                <w:rFonts w:ascii="Arial" w:cs="Arial" w:eastAsia="Arial" w:hAnsi="Arial"/>
                <w:sz w:val="18"/>
                <w:szCs w:val="18"/>
                <w:color w:val="auto"/>
              </w:rPr>
              <w:t>Target</w:t>
            </w:r>
          </w:p>
        </w:tc>
        <w:tc>
          <w:tcPr>
            <w:tcW w:w="160" w:type="dxa"/>
            <w:vAlign w:val="bottom"/>
          </w:tcPr>
          <w:p>
            <w:pPr>
              <w:spacing w:after="0"/>
              <w:rPr>
                <w:sz w:val="15"/>
                <w:szCs w:val="15"/>
                <w:color w:val="auto"/>
              </w:rPr>
            </w:pPr>
          </w:p>
        </w:tc>
        <w:tc>
          <w:tcPr>
            <w:tcW w:w="3400" w:type="dxa"/>
            <w:vAlign w:val="bottom"/>
            <w:tcBorders>
              <w:bottom w:val="single" w:sz="8" w:color="8590A9"/>
            </w:tcBorders>
          </w:tcPr>
          <w:p>
            <w:pPr>
              <w:jc w:val="center"/>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5420" w:type="dxa"/>
            <w:vAlign w:val="bottom"/>
            <w:tcBorders>
              <w:bottom w:val="single" w:sz="8" w:color="8590A9"/>
            </w:tcBorders>
          </w:tcPr>
          <w:p>
            <w:pPr>
              <w:jc w:val="center"/>
              <w:spacing w:after="0" w:line="182" w:lineRule="exact"/>
              <w:rPr>
                <w:sz w:val="20"/>
                <w:szCs w:val="20"/>
                <w:color w:val="auto"/>
              </w:rPr>
            </w:pPr>
            <w:r>
              <w:rPr>
                <w:rFonts w:ascii="Arial" w:cs="Arial" w:eastAsia="Arial" w:hAnsi="Arial"/>
                <w:sz w:val="18"/>
                <w:szCs w:val="18"/>
                <w:color w:val="auto"/>
                <w:w w:val="97"/>
              </w:rPr>
              <w:t>5.5%</w:t>
            </w:r>
          </w:p>
        </w:tc>
      </w:tr>
      <w:tr>
        <w:trPr>
          <w:trHeight w:val="190"/>
        </w:trPr>
        <w:tc>
          <w:tcPr>
            <w:tcW w:w="20" w:type="dxa"/>
            <w:vAlign w:val="bottom"/>
          </w:tcPr>
          <w:p>
            <w:pPr>
              <w:spacing w:after="0"/>
              <w:rPr>
                <w:sz w:val="16"/>
                <w:szCs w:val="16"/>
                <w:color w:val="auto"/>
              </w:rPr>
            </w:pPr>
          </w:p>
        </w:tc>
        <w:tc>
          <w:tcPr>
            <w:tcW w:w="2240" w:type="dxa"/>
            <w:vAlign w:val="bottom"/>
            <w:tcBorders>
              <w:bottom w:val="single" w:sz="8" w:color="345988"/>
            </w:tcBorders>
          </w:tcPr>
          <w:p>
            <w:pPr>
              <w:spacing w:after="0" w:line="182" w:lineRule="exact"/>
              <w:rPr>
                <w:sz w:val="20"/>
                <w:szCs w:val="20"/>
                <w:color w:val="auto"/>
              </w:rPr>
            </w:pPr>
            <w:r>
              <w:rPr>
                <w:rFonts w:ascii="Arial" w:cs="Arial" w:eastAsia="Arial" w:hAnsi="Arial"/>
                <w:sz w:val="18"/>
                <w:szCs w:val="18"/>
                <w:color w:val="auto"/>
              </w:rPr>
              <w:t>Maximum</w:t>
            </w:r>
          </w:p>
        </w:tc>
        <w:tc>
          <w:tcPr>
            <w:tcW w:w="160" w:type="dxa"/>
            <w:vAlign w:val="bottom"/>
          </w:tcPr>
          <w:p>
            <w:pPr>
              <w:spacing w:after="0"/>
              <w:rPr>
                <w:sz w:val="16"/>
                <w:szCs w:val="16"/>
                <w:color w:val="auto"/>
              </w:rPr>
            </w:pPr>
          </w:p>
        </w:tc>
        <w:tc>
          <w:tcPr>
            <w:tcW w:w="3400" w:type="dxa"/>
            <w:vAlign w:val="bottom"/>
            <w:tcBorders>
              <w:bottom w:val="single" w:sz="8" w:color="345988"/>
            </w:tcBorders>
          </w:tcPr>
          <w:p>
            <w:pPr>
              <w:jc w:val="center"/>
              <w:spacing w:after="0" w:line="182" w:lineRule="exact"/>
              <w:rPr>
                <w:sz w:val="20"/>
                <w:szCs w:val="20"/>
                <w:color w:val="auto"/>
              </w:rPr>
            </w:pPr>
            <w:r>
              <w:rPr>
                <w:rFonts w:ascii="Arial" w:cs="Arial" w:eastAsia="Arial" w:hAnsi="Arial"/>
                <w:sz w:val="18"/>
                <w:szCs w:val="18"/>
                <w:color w:val="auto"/>
                <w:w w:val="97"/>
              </w:rPr>
              <w:t>+12.5%</w:t>
            </w:r>
          </w:p>
        </w:tc>
        <w:tc>
          <w:tcPr>
            <w:tcW w:w="180" w:type="dxa"/>
            <w:vAlign w:val="bottom"/>
          </w:tcPr>
          <w:p>
            <w:pPr>
              <w:spacing w:after="0"/>
              <w:rPr>
                <w:sz w:val="16"/>
                <w:szCs w:val="16"/>
                <w:color w:val="auto"/>
              </w:rPr>
            </w:pPr>
          </w:p>
        </w:tc>
        <w:tc>
          <w:tcPr>
            <w:tcW w:w="5420" w:type="dxa"/>
            <w:vAlign w:val="bottom"/>
            <w:tcBorders>
              <w:bottom w:val="single" w:sz="8" w:color="345988"/>
            </w:tcBorders>
          </w:tcPr>
          <w:p>
            <w:pPr>
              <w:jc w:val="center"/>
              <w:spacing w:after="0" w:line="182" w:lineRule="exact"/>
              <w:rPr>
                <w:sz w:val="20"/>
                <w:szCs w:val="20"/>
                <w:color w:val="auto"/>
              </w:rPr>
            </w:pPr>
            <w:r>
              <w:rPr>
                <w:rFonts w:ascii="Arial" w:cs="Arial" w:eastAsia="Arial" w:hAnsi="Arial"/>
                <w:sz w:val="18"/>
                <w:szCs w:val="18"/>
                <w:color w:val="auto"/>
                <w:w w:val="98"/>
              </w:rPr>
              <w:t>7.5% or more</w:t>
            </w:r>
          </w:p>
        </w:tc>
      </w:tr>
      <w:tr>
        <w:trPr>
          <w:trHeight w:val="378"/>
        </w:trPr>
        <w:tc>
          <w:tcPr>
            <w:tcW w:w="2420" w:type="dxa"/>
            <w:vAlign w:val="bottom"/>
            <w:gridSpan w:val="3"/>
          </w:tcPr>
          <w:p>
            <w:pPr>
              <w:spacing w:after="0"/>
              <w:rPr>
                <w:sz w:val="20"/>
                <w:szCs w:val="20"/>
                <w:color w:val="auto"/>
              </w:rPr>
            </w:pPr>
            <w:r>
              <w:rPr>
                <w:rFonts w:ascii="Arial" w:cs="Arial" w:eastAsia="Arial" w:hAnsi="Arial"/>
                <w:sz w:val="14"/>
                <w:szCs w:val="14"/>
                <w:b w:val="1"/>
                <w:bCs w:val="1"/>
                <w:color w:val="435F8C"/>
              </w:rPr>
              <w:t>Time-Based Equity Awards</w:t>
            </w: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20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also plan to make annual awards of LTIP units to each of our named executive officers that will be subject to vesting over three years, with one-third of each award vesting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of the first three years following the grant of each award. The annual value of each executive’s equity award will be determined by the Committee based on its evaluation of prior year performance; provided that, pursuant to the employment agreements we recently entered into with our executives, the amounts awarded for target performance will not be less than the following: Mr. Holliday - $4,500,000; Mr. Mathias - $3,500,000 and Mr. Levine - $1,300,000. Pursuant to this program, Mr. Levine received an annual award of LTIP units in January 2019 with a value of $1,300,000 based on his 2018 performance. The total number of LTIP units granted to Mr. Levine equaled 15,976, with one-third schedule to vest on each of January 1, 2020, 2021 and 2022, subject to continued employment through each date.</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DiLiberto’s current employment agreement was entered into before the Committee implemented these changes to our long-term equity incentive award program. Given that Mr. DiLiberto received a long-term equity award in connection with the signing of this agreement, Mr. DiLiberto will not begin participating in this aspect of our long-term equity incentive award program until after the term of his current employment agreement has expired.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Other Compensation Policies and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How We Determine Executive Compensation</w:t>
      </w:r>
    </w:p>
    <w:p>
      <w:pPr>
        <w:spacing w:after="0" w:line="22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Compensation Committee determines compensation for our named executive officers and is comprised of four of our independent directors, Lauren B. Dillard (Chair), John H. Alschuler, Edwin T. Burton, III and John S. Levy.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Consideration of Say-on-Pay Vote</w:t>
      </w:r>
    </w:p>
    <w:p>
      <w:pPr>
        <w:spacing w:after="0" w:line="2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Committee considered the results of our 2018 advisory vote on executive compensation and the feedback received through our extensive stockholders engagement program in its decisions for 2018 compensation and its decision to significantly restructure our executive compensation programs beginning in 2019. The significant increase in the votes cast for our 2018 advisory vote on executive compensation from 2017 was viewed by the Committee as an indication of our stockholders’ support for the significant changes made to our executive compensation programs beginning in 2019.</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Independent Compensation Consultant/Compensation Process</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Its sole role is as an</w:t>
      </w:r>
    </w:p>
    <w:p>
      <w:pPr>
        <w:spacing w:after="0" w:line="21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960"/>
        <w:spacing w:after="0"/>
        <w:rPr>
          <w:sz w:val="20"/>
          <w:szCs w:val="20"/>
          <w:color w:val="auto"/>
        </w:rPr>
      </w:pPr>
      <w:r>
        <w:rPr>
          <w:rFonts w:ascii="Arial" w:cs="Arial" w:eastAsia="Arial" w:hAnsi="Arial"/>
          <w:sz w:val="16"/>
          <w:szCs w:val="16"/>
          <w:u w:val="single" w:color="auto"/>
          <w:color w:val="345988"/>
        </w:rPr>
        <w:t>EXECUTIVE COMPENSATION</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Our former Chairman also advised the Committee on these matters as they pertained to the compensation of our Chief Executive Officer. FTI Consulting is retained by our management as a general business advisor and provides services to the Company in a number of areas, including compensation. FTI Consulting, which has relationships with certain officers of the Company, provided market data to our Chief Executive Officer and former Chairman, which they review when considering their compensation recommendations. The recommendations with respect to compensation were formulated by our Chief Executive Officer and former Chairman and were communicated to the Committee by them.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All final determinations of compensation for our named executive officers are made solely by the Committee.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2018, the Committee reviewed then-existing policies of certain of our institutional investors, Institutional Shareholder Services, Inc., Glass Lewis &amp; Co LLC and other governance groups, as well as feedback provided by such groups in prior year proxy research reports. The Committee engaged with a significant number of stockholders holding a substantial percentage of outstanding shares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Peer Group Benchmarking</w:t>
      </w: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2018,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2018, but rather to confirm that our Chief Executive Officer’s total compensation for 2018 was within an appropriate range of the total compensation, considering relative size and performance. With respect to size, we ranked above the median of these peers with respect to common equity market capitalization and total revenue.</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reviewed 2018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The following companies were included in the peer group that the Committee reviewed:</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80" w:type="dxa"/>
            <w:vAlign w:val="bottom"/>
          </w:tcPr>
          <w:p>
            <w:pPr>
              <w:ind w:left="860"/>
              <w:spacing w:after="0"/>
              <w:rPr>
                <w:sz w:val="20"/>
                <w:szCs w:val="20"/>
                <w:color w:val="auto"/>
              </w:rPr>
            </w:pPr>
            <w:r>
              <w:rPr>
                <w:rFonts w:ascii="Arial" w:cs="Arial" w:eastAsia="Arial" w:hAnsi="Arial"/>
                <w:sz w:val="18"/>
                <w:szCs w:val="18"/>
                <w:b w:val="1"/>
                <w:bCs w:val="1"/>
                <w:color w:val="435F8C"/>
              </w:rPr>
              <w:t>Peer Group</w:t>
            </w:r>
          </w:p>
        </w:tc>
        <w:tc>
          <w:tcPr>
            <w:tcW w:w="8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3"/>
        </w:trPr>
        <w:tc>
          <w:tcPr>
            <w:tcW w:w="3500" w:type="dxa"/>
            <w:vAlign w:val="bottom"/>
            <w:gridSpan w:val="2"/>
          </w:tcPr>
          <w:p>
            <w:pPr>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Alexandria Real Estate Equities, Inc.</w:t>
            </w:r>
          </w:p>
        </w:tc>
        <w:tc>
          <w:tcPr>
            <w:tcW w:w="3780" w:type="dxa"/>
            <w:vAlign w:val="bottom"/>
            <w:gridSpan w:val="2"/>
          </w:tcPr>
          <w:p>
            <w:pPr>
              <w:ind w:left="42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Hudson Pacific Properties, Inc.</w:t>
            </w:r>
          </w:p>
        </w:tc>
        <w:tc>
          <w:tcPr>
            <w:tcW w:w="880" w:type="dxa"/>
            <w:vAlign w:val="bottom"/>
          </w:tcPr>
          <w:p>
            <w:pPr>
              <w:ind w:left="700"/>
              <w:spacing w:after="0"/>
              <w:rPr>
                <w:sz w:val="20"/>
                <w:szCs w:val="20"/>
                <w:color w:val="auto"/>
              </w:rPr>
            </w:pPr>
            <w:r>
              <w:rPr>
                <w:rFonts w:ascii="Arial" w:cs="Arial" w:eastAsia="Arial" w:hAnsi="Arial"/>
                <w:sz w:val="17"/>
                <w:szCs w:val="17"/>
                <w:color w:val="345988"/>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Ladder Capital Corp.</w:t>
            </w:r>
          </w:p>
        </w:tc>
      </w:tr>
      <w:tr>
        <w:trPr>
          <w:trHeight w:val="243"/>
        </w:trPr>
        <w:tc>
          <w:tcPr>
            <w:tcW w:w="180" w:type="dxa"/>
            <w:vAlign w:val="bottom"/>
          </w:tcPr>
          <w:p>
            <w:pPr>
              <w:spacing w:after="0"/>
              <w:rPr>
                <w:sz w:val="20"/>
                <w:szCs w:val="20"/>
                <w:color w:val="auto"/>
              </w:rPr>
            </w:pPr>
            <w:r>
              <w:rPr>
                <w:rFonts w:ascii="Arial" w:cs="Arial" w:eastAsia="Arial" w:hAnsi="Arial"/>
                <w:sz w:val="17"/>
                <w:szCs w:val="17"/>
                <w:color w:val="345988"/>
              </w:rPr>
              <w:t>●</w:t>
            </w:r>
          </w:p>
        </w:tc>
        <w:tc>
          <w:tcPr>
            <w:tcW w:w="3320" w:type="dxa"/>
            <w:vAlign w:val="bottom"/>
          </w:tcPr>
          <w:p>
            <w:pPr>
              <w:ind w:left="60"/>
              <w:spacing w:after="0"/>
              <w:rPr>
                <w:sz w:val="20"/>
                <w:szCs w:val="20"/>
                <w:color w:val="auto"/>
              </w:rPr>
            </w:pPr>
            <w:r>
              <w:rPr>
                <w:rFonts w:ascii="Arial" w:cs="Arial" w:eastAsia="Arial" w:hAnsi="Arial"/>
                <w:sz w:val="18"/>
                <w:szCs w:val="18"/>
                <w:color w:val="auto"/>
              </w:rPr>
              <w:t>Boston Properties, Inc.</w:t>
            </w:r>
          </w:p>
        </w:tc>
        <w:tc>
          <w:tcPr>
            <w:tcW w:w="600" w:type="dxa"/>
            <w:vAlign w:val="bottom"/>
          </w:tcPr>
          <w:p>
            <w:pPr>
              <w:ind w:left="420"/>
              <w:spacing w:after="0"/>
              <w:rPr>
                <w:sz w:val="20"/>
                <w:szCs w:val="20"/>
                <w:color w:val="auto"/>
              </w:rPr>
            </w:pPr>
            <w:r>
              <w:rPr>
                <w:rFonts w:ascii="Arial" w:cs="Arial" w:eastAsia="Arial" w:hAnsi="Arial"/>
                <w:sz w:val="17"/>
                <w:szCs w:val="17"/>
                <w:color w:val="345988"/>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Kennedy-Wilson Holdings, Inc.</w:t>
            </w:r>
          </w:p>
        </w:tc>
        <w:tc>
          <w:tcPr>
            <w:tcW w:w="880" w:type="dxa"/>
            <w:vAlign w:val="bottom"/>
          </w:tcPr>
          <w:p>
            <w:pPr>
              <w:ind w:left="700"/>
              <w:spacing w:after="0"/>
              <w:rPr>
                <w:sz w:val="20"/>
                <w:szCs w:val="20"/>
                <w:color w:val="auto"/>
              </w:rPr>
            </w:pPr>
            <w:r>
              <w:rPr>
                <w:rFonts w:ascii="Arial" w:cs="Arial" w:eastAsia="Arial" w:hAnsi="Arial"/>
                <w:sz w:val="17"/>
                <w:szCs w:val="17"/>
                <w:color w:val="345988"/>
              </w:rPr>
              <w:t>●</w:t>
            </w:r>
          </w:p>
        </w:tc>
        <w:tc>
          <w:tcPr>
            <w:tcW w:w="1840" w:type="dxa"/>
            <w:vAlign w:val="bottom"/>
          </w:tcPr>
          <w:p>
            <w:pPr>
              <w:ind w:left="60"/>
              <w:spacing w:after="0"/>
              <w:rPr>
                <w:sz w:val="20"/>
                <w:szCs w:val="20"/>
                <w:color w:val="auto"/>
              </w:rPr>
            </w:pPr>
            <w:r>
              <w:rPr>
                <w:rFonts w:ascii="Arial" w:cs="Arial" w:eastAsia="Arial" w:hAnsi="Arial"/>
                <w:sz w:val="18"/>
                <w:szCs w:val="18"/>
                <w:color w:val="auto"/>
                <w:w w:val="96"/>
              </w:rPr>
              <w:t>Paramount Group, Inc.</w:t>
            </w:r>
          </w:p>
        </w:tc>
      </w:tr>
      <w:tr>
        <w:trPr>
          <w:trHeight w:val="243"/>
        </w:trPr>
        <w:tc>
          <w:tcPr>
            <w:tcW w:w="180" w:type="dxa"/>
            <w:vAlign w:val="bottom"/>
          </w:tcPr>
          <w:p>
            <w:pPr>
              <w:spacing w:after="0"/>
              <w:rPr>
                <w:sz w:val="20"/>
                <w:szCs w:val="20"/>
                <w:color w:val="auto"/>
              </w:rPr>
            </w:pPr>
            <w:r>
              <w:rPr>
                <w:rFonts w:ascii="Arial" w:cs="Arial" w:eastAsia="Arial" w:hAnsi="Arial"/>
                <w:sz w:val="17"/>
                <w:szCs w:val="17"/>
                <w:color w:val="345988"/>
              </w:rPr>
              <w:t>●</w:t>
            </w:r>
          </w:p>
        </w:tc>
        <w:tc>
          <w:tcPr>
            <w:tcW w:w="3320" w:type="dxa"/>
            <w:vAlign w:val="bottom"/>
          </w:tcPr>
          <w:p>
            <w:pPr>
              <w:ind w:left="60"/>
              <w:spacing w:after="0"/>
              <w:rPr>
                <w:sz w:val="20"/>
                <w:szCs w:val="20"/>
                <w:color w:val="auto"/>
              </w:rPr>
            </w:pPr>
            <w:r>
              <w:rPr>
                <w:rFonts w:ascii="Arial" w:cs="Arial" w:eastAsia="Arial" w:hAnsi="Arial"/>
                <w:sz w:val="18"/>
                <w:szCs w:val="18"/>
                <w:color w:val="auto"/>
              </w:rPr>
              <w:t>Douglas Emmett, Inc.</w:t>
            </w:r>
          </w:p>
        </w:tc>
        <w:tc>
          <w:tcPr>
            <w:tcW w:w="600" w:type="dxa"/>
            <w:vAlign w:val="bottom"/>
          </w:tcPr>
          <w:p>
            <w:pPr>
              <w:ind w:left="420"/>
              <w:spacing w:after="0"/>
              <w:rPr>
                <w:sz w:val="20"/>
                <w:szCs w:val="20"/>
                <w:color w:val="auto"/>
              </w:rPr>
            </w:pPr>
            <w:r>
              <w:rPr>
                <w:rFonts w:ascii="Arial" w:cs="Arial" w:eastAsia="Arial" w:hAnsi="Arial"/>
                <w:sz w:val="17"/>
                <w:szCs w:val="17"/>
                <w:color w:val="345988"/>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Kilroy Realty Corporation</w:t>
            </w:r>
          </w:p>
        </w:tc>
        <w:tc>
          <w:tcPr>
            <w:tcW w:w="880" w:type="dxa"/>
            <w:vAlign w:val="bottom"/>
          </w:tcPr>
          <w:p>
            <w:pPr>
              <w:ind w:left="700"/>
              <w:spacing w:after="0"/>
              <w:rPr>
                <w:sz w:val="20"/>
                <w:szCs w:val="20"/>
                <w:color w:val="auto"/>
              </w:rPr>
            </w:pPr>
            <w:r>
              <w:rPr>
                <w:rFonts w:ascii="Arial" w:cs="Arial" w:eastAsia="Arial" w:hAnsi="Arial"/>
                <w:sz w:val="17"/>
                <w:szCs w:val="17"/>
                <w:color w:val="345988"/>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Vornado Realty Trust</w:t>
            </w:r>
          </w:p>
        </w:tc>
      </w:tr>
    </w:tbl>
    <w:p>
      <w:pPr>
        <w:spacing w:after="0" w:line="32" w:lineRule="exact"/>
        <w:rPr>
          <w:sz w:val="20"/>
          <w:szCs w:val="20"/>
          <w:color w:val="auto"/>
        </w:rPr>
      </w:pPr>
    </w:p>
    <w:p>
      <w:pPr>
        <w:ind w:left="520" w:hanging="233"/>
        <w:spacing w:after="0"/>
        <w:tabs>
          <w:tab w:leader="none" w:pos="520" w:val="left"/>
        </w:tabs>
        <w:numPr>
          <w:ilvl w:val="0"/>
          <w:numId w:val="85"/>
        </w:numPr>
        <w:rPr>
          <w:rFonts w:ascii="Arial" w:cs="Arial" w:eastAsia="Arial" w:hAnsi="Arial"/>
          <w:sz w:val="17"/>
          <w:szCs w:val="17"/>
          <w:color w:val="345988"/>
        </w:rPr>
      </w:pPr>
      <w:r>
        <w:rPr>
          <w:rFonts w:ascii="Arial" w:cs="Arial" w:eastAsia="Arial" w:hAnsi="Arial"/>
          <w:sz w:val="18"/>
          <w:szCs w:val="18"/>
          <w:color w:val="auto"/>
        </w:rPr>
        <w:t>Empire State Realty Trust, Inc.</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 of these non-REIT companies typically receive substantially higher compensation than chief executive officers of public REITs.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However, based on feedback from our stockholders, we previously removed all New York City-based asset managers from our peer group and now review compensation based on our updated peer group and a national office REIT index. During 2018, and as part of our on-going assessment of our stated peer group methodology, we removed Ventas, Inc. and Brookfield Property REIT Inc. (formerly known as General Growth Properties, Inc.) from our peer group and added Hudson Pacific Properties, Inc. to our peer group as an appropriately sized office REIT.</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Analysis of Risk Associated with Our Executive Compensation Plans</w:t>
      </w:r>
    </w:p>
    <w:p>
      <w:pPr>
        <w:spacing w:after="0" w:line="223"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In setting compensation, we also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reaching our conclusion, we considered the following aspects of our executive compensation plans and policies among others:</w:t>
      </w:r>
    </w:p>
    <w:p>
      <w:pPr>
        <w:spacing w:after="0" w:line="208" w:lineRule="exact"/>
        <w:rPr>
          <w:sz w:val="20"/>
          <w:szCs w:val="20"/>
          <w:color w:val="auto"/>
        </w:rPr>
      </w:pPr>
    </w:p>
    <w:p>
      <w:pPr>
        <w:ind w:left="540" w:hanging="262"/>
        <w:spacing w:after="0"/>
        <w:tabs>
          <w:tab w:leader="none" w:pos="540" w:val="left"/>
        </w:tabs>
        <w:numPr>
          <w:ilvl w:val="0"/>
          <w:numId w:val="86"/>
        </w:numPr>
        <w:rPr>
          <w:rFonts w:ascii="Arial" w:cs="Arial" w:eastAsia="Arial" w:hAnsi="Arial"/>
          <w:sz w:val="17"/>
          <w:szCs w:val="17"/>
          <w:color w:val="345988"/>
        </w:rPr>
      </w:pPr>
      <w:r>
        <w:rPr>
          <w:rFonts w:ascii="Arial" w:cs="Arial" w:eastAsia="Arial" w:hAnsi="Arial"/>
          <w:sz w:val="18"/>
          <w:szCs w:val="18"/>
          <w:color w:val="auto"/>
        </w:rPr>
        <w:t>We evaluate performance based upon the achievement of a variety of business objectives and goals;</w:t>
      </w:r>
    </w:p>
    <w:p>
      <w:pPr>
        <w:spacing w:after="0" w:line="103" w:lineRule="exact"/>
        <w:rPr>
          <w:rFonts w:ascii="Arial" w:cs="Arial" w:eastAsia="Arial" w:hAnsi="Arial"/>
          <w:sz w:val="17"/>
          <w:szCs w:val="17"/>
          <w:color w:val="345988"/>
        </w:rPr>
      </w:pPr>
    </w:p>
    <w:p>
      <w:pPr>
        <w:ind w:left="540" w:right="100" w:hanging="262"/>
        <w:spacing w:after="0"/>
        <w:tabs>
          <w:tab w:leader="none" w:pos="540" w:val="left"/>
        </w:tabs>
        <w:numPr>
          <w:ilvl w:val="0"/>
          <w:numId w:val="86"/>
        </w:numPr>
        <w:rPr>
          <w:rFonts w:ascii="Arial" w:cs="Arial" w:eastAsia="Arial" w:hAnsi="Arial"/>
          <w:sz w:val="17"/>
          <w:szCs w:val="17"/>
          <w:color w:val="345988"/>
        </w:rPr>
      </w:pPr>
      <w:r>
        <w:rPr>
          <w:rFonts w:ascii="Arial" w:cs="Arial" w:eastAsia="Arial" w:hAnsi="Arial"/>
          <w:sz w:val="18"/>
          <w:szCs w:val="18"/>
          <w:color w:val="auto"/>
        </w:rPr>
        <w:t>We use a balanced equity compensation mix comprised of performance-based and time-based full value equity awards that lessens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94" w:lineRule="exact"/>
        <w:rPr>
          <w:rFonts w:ascii="Arial" w:cs="Arial" w:eastAsia="Arial" w:hAnsi="Arial"/>
          <w:sz w:val="17"/>
          <w:szCs w:val="17"/>
          <w:color w:val="345988"/>
        </w:rPr>
      </w:pPr>
    </w:p>
    <w:p>
      <w:pPr>
        <w:jc w:val="both"/>
        <w:ind w:left="540" w:right="240" w:hanging="262"/>
        <w:spacing w:after="0" w:line="275" w:lineRule="auto"/>
        <w:tabs>
          <w:tab w:leader="none" w:pos="540" w:val="left"/>
        </w:tabs>
        <w:numPr>
          <w:ilvl w:val="0"/>
          <w:numId w:val="86"/>
        </w:numPr>
        <w:rPr>
          <w:rFonts w:ascii="Arial" w:cs="Arial" w:eastAsia="Arial" w:hAnsi="Arial"/>
          <w:sz w:val="16"/>
          <w:szCs w:val="16"/>
          <w:color w:val="345988"/>
        </w:rPr>
      </w:pPr>
      <w:r>
        <w:rPr>
          <w:rFonts w:ascii="Arial" w:cs="Arial" w:eastAsia="Arial" w:hAnsi="Arial"/>
          <w:sz w:val="17"/>
          <w:szCs w:val="17"/>
          <w:color w:val="auto"/>
        </w:rPr>
        <w:t>We provide a significant portion of incentive compensation in the form of long-term incentive awards. The amounts that ultimately may be earned are tied to how we perform over a multi-year period, which focuses management on sustaining our long-term performance;</w:t>
      </w:r>
    </w:p>
    <w:p>
      <w:pPr>
        <w:spacing w:after="0" w:line="65" w:lineRule="exact"/>
        <w:rPr>
          <w:rFonts w:ascii="Arial" w:cs="Arial" w:eastAsia="Arial" w:hAnsi="Arial"/>
          <w:sz w:val="16"/>
          <w:szCs w:val="16"/>
          <w:color w:val="345988"/>
        </w:rPr>
      </w:pPr>
    </w:p>
    <w:p>
      <w:pPr>
        <w:ind w:left="540" w:right="780" w:hanging="262"/>
        <w:spacing w:after="0" w:line="246" w:lineRule="auto"/>
        <w:tabs>
          <w:tab w:leader="none" w:pos="540" w:val="left"/>
        </w:tabs>
        <w:numPr>
          <w:ilvl w:val="0"/>
          <w:numId w:val="86"/>
        </w:numPr>
        <w:rPr>
          <w:rFonts w:ascii="Arial" w:cs="Arial" w:eastAsia="Arial" w:hAnsi="Arial"/>
          <w:sz w:val="17"/>
          <w:szCs w:val="17"/>
          <w:color w:val="345988"/>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88" w:lineRule="exact"/>
        <w:rPr>
          <w:rFonts w:ascii="Arial" w:cs="Arial" w:eastAsia="Arial" w:hAnsi="Arial"/>
          <w:sz w:val="17"/>
          <w:szCs w:val="17"/>
          <w:color w:val="345988"/>
        </w:rPr>
      </w:pPr>
    </w:p>
    <w:p>
      <w:pPr>
        <w:ind w:left="540" w:right="120" w:hanging="262"/>
        <w:spacing w:after="0"/>
        <w:tabs>
          <w:tab w:leader="none" w:pos="540" w:val="left"/>
        </w:tabs>
        <w:numPr>
          <w:ilvl w:val="0"/>
          <w:numId w:val="86"/>
        </w:numPr>
        <w:rPr>
          <w:rFonts w:ascii="Arial" w:cs="Arial" w:eastAsia="Arial" w:hAnsi="Arial"/>
          <w:sz w:val="17"/>
          <w:szCs w:val="17"/>
          <w:color w:val="345988"/>
        </w:rPr>
      </w:pPr>
      <w:r>
        <w:rPr>
          <w:rFonts w:ascii="Arial" w:cs="Arial" w:eastAsia="Arial" w:hAnsi="Arial"/>
          <w:sz w:val="18"/>
          <w:szCs w:val="18"/>
          <w:color w:val="auto"/>
        </w:rPr>
        <w:t>We provide a significant portion of each executive’s annual compensation in the form of equity-based compensation and executives are required to maintain sizable holdings of equity in the Company under the terms of our equity ownership guidelines, which aligns an appropriate portion of their personal wealth to our long-term performance; and</w:t>
      </w:r>
    </w:p>
    <w:p>
      <w:pPr>
        <w:spacing w:after="0" w:line="94" w:lineRule="exact"/>
        <w:rPr>
          <w:rFonts w:ascii="Arial" w:cs="Arial" w:eastAsia="Arial" w:hAnsi="Arial"/>
          <w:sz w:val="17"/>
          <w:szCs w:val="17"/>
          <w:color w:val="345988"/>
        </w:rPr>
      </w:pPr>
    </w:p>
    <w:p>
      <w:pPr>
        <w:ind w:left="540" w:right="200" w:hanging="262"/>
        <w:spacing w:after="0"/>
        <w:tabs>
          <w:tab w:leader="none" w:pos="540" w:val="left"/>
        </w:tabs>
        <w:numPr>
          <w:ilvl w:val="0"/>
          <w:numId w:val="86"/>
        </w:numPr>
        <w:rPr>
          <w:rFonts w:ascii="Arial" w:cs="Arial" w:eastAsia="Arial" w:hAnsi="Arial"/>
          <w:sz w:val="17"/>
          <w:szCs w:val="17"/>
          <w:color w:val="345988"/>
        </w:rPr>
      </w:pPr>
      <w:r>
        <w:rPr>
          <w:rFonts w:ascii="Arial" w:cs="Arial" w:eastAsia="Arial" w:hAnsi="Arial"/>
          <w:sz w:val="18"/>
          <w:szCs w:val="18"/>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207"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Accordingly, although a significant portion of our executives’ compensation is performance-based and “at-risk,” we believe our executive compensation programs are appropriately structured and do not pose a material risk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Executive and Director Equity Ownership Guidelines</w:t>
      </w:r>
    </w:p>
    <w:p>
      <w:pPr>
        <w:spacing w:after="0" w:line="22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furtherance of the Committee’s ongoing efforts to foster an ownership culture among our senior leadership team, we adopted equity ownership guidelines for our named executive officers and non-employee directors, as set forth below:</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Named Executive Officers and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0890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89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89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890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345988"/>
        </w:rPr>
        <w:t>Multiple of Base Salary 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45988"/>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05473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54735" cy="1714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7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7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7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547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0" w:space="720"/>
            <w:col w:w="1660"/>
          </w:cols>
          <w:pgMar w:left="240" w:top="121" w:right="239" w:bottom="1440" w:gutter="0" w:footer="0" w:header="0"/>
          <w:type w:val="continuous"/>
        </w:sectPr>
      </w:pPr>
    </w:p>
    <w:p>
      <w:pPr>
        <w:spacing w:after="0" w:line="6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All of our continuing named executive officers hold an amount of equity significantly in excess of that required by our equity ownership guidelines. This further demonstrates that their financial interests are aligned with those of stockholders. They are highly incentivized to create sustainable, long-term stockholder value.</w:t>
      </w:r>
    </w:p>
    <w:p>
      <w:pPr>
        <w:sectPr>
          <w:pgSz w:w="11900" w:h="16838" w:orient="portrait"/>
          <w:cols w:equalWidth="0" w:num="1">
            <w:col w:w="11420"/>
          </w:cols>
          <w:pgMar w:left="240" w:top="121" w:right="239" w:bottom="144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0718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71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71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71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718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134"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As of March 31, 2019.</w:t>
      </w:r>
    </w:p>
    <w:p>
      <w:pPr>
        <w:spacing w:after="0" w:line="207"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6"/>
          <w:szCs w:val="16"/>
          <w:color w:val="345988"/>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345988"/>
        </w:rPr>
        <w:t>Actual Equity Ownership -</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45988"/>
        </w:rPr>
        <w:t>Multiple of Base Salary</w:t>
      </w:r>
      <w:r>
        <w:rPr>
          <w:rFonts w:ascii="Arial" w:cs="Arial" w:eastAsia="Arial" w:hAnsi="Arial"/>
          <w:sz w:val="21"/>
          <w:szCs w:val="21"/>
          <w:b w:val="1"/>
          <w:bCs w:val="1"/>
          <w:color w:val="34598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0718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69x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ectPr>
          <w:pgSz w:w="11900" w:h="16838" w:orient="portrait"/>
          <w:cols w:equalWidth="0" w:num="2">
            <w:col w:w="9020" w:space="720"/>
            <w:col w:w="1680"/>
          </w:cols>
          <w:pgMar w:left="240" w:top="121"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Perquisites and Other Personal Benefits</w:t>
      </w:r>
    </w:p>
    <w:p>
      <w:pPr>
        <w:spacing w:after="0" w:line="223"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reimbursed Mr. Green for costs associated with an automobile he leased and provide leased automobiles for our Chief Executive Officer and President.</w:t>
      </w:r>
    </w:p>
    <w:p>
      <w:pPr>
        <w:spacing w:after="0" w:line="20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Additionally, we provided Mr. Green with a full-time driver and our Chief Executive Officer receives certain insurance benefits. The costs of these benefits constituted only a small percentage of the applicable executive’s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Employment Agreements</w:t>
      </w:r>
    </w:p>
    <w:p>
      <w:pPr>
        <w:spacing w:after="0" w:line="22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Tables—Potential Payments Upon Termination or Change in Control” for a summary of the employment agreements with our named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Clawback Policy</w:t>
      </w:r>
    </w:p>
    <w:p>
      <w:pPr>
        <w:spacing w:after="0" w:line="2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Anti-hedging Policy</w:t>
      </w:r>
    </w:p>
    <w:p>
      <w:pPr>
        <w:spacing w:after="0" w:line="22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Other Matters</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345988"/>
        </w:rPr>
        <w:t xml:space="preserve">LTIP units and Class O LTIP units. </w:t>
      </w:r>
      <w:r>
        <w:rPr>
          <w:rFonts w:ascii="Arial" w:cs="Arial" w:eastAsia="Arial" w:hAnsi="Arial"/>
          <w:sz w:val="18"/>
          <w:szCs w:val="18"/>
          <w:color w:val="000000"/>
        </w:rPr>
        <w:t>We issued a separate class of units of limited partnership interest in our operating partnership, which we refer to</w:t>
      </w:r>
      <w:r>
        <w:rPr>
          <w:rFonts w:ascii="Arial" w:cs="Arial" w:eastAsia="Arial" w:hAnsi="Arial"/>
          <w:sz w:val="18"/>
          <w:szCs w:val="18"/>
          <w:i w:val="1"/>
          <w:iCs w:val="1"/>
          <w:color w:val="345988"/>
        </w:rPr>
        <w:t xml:space="preserve"> </w:t>
      </w:r>
      <w:r>
        <w:rPr>
          <w:rFonts w:ascii="Arial" w:cs="Arial" w:eastAsia="Arial" w:hAnsi="Arial"/>
          <w:sz w:val="18"/>
          <w:szCs w:val="18"/>
          <w:color w:val="000000"/>
        </w:rPr>
        <w:t>as LTIP units, for the equity bonuses that we granted to our named executive officers for 2018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2018, we did not grant any Class O LTIP units.</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20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8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215"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Summary Compensation Table</w:t>
      </w:r>
    </w:p>
    <w:p>
      <w:pPr>
        <w:spacing w:after="0" w:line="23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following table sets forth information regarding the compensation paid to the individuals who served as our Chief Executive Officer and Chief Financial Officer during our 2018 fiscal year and each of our three most highly compensated executive officers, other than our Chief Executive Officer and Chief Financial Officer, whose total compensation exceeded $100,000 during the fiscal year ended December 31, 2018, or collectively,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345988"/>
              </w:rPr>
              <w:t>Option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Non-Equity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345988"/>
              </w:rPr>
              <w:t>All 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345988"/>
              </w:rPr>
              <w:t>Stock Awards</w:t>
            </w:r>
            <w:r>
              <w:rPr>
                <w:rFonts w:ascii="Arial" w:cs="Arial" w:eastAsia="Arial" w:hAnsi="Arial"/>
                <w:sz w:val="22"/>
                <w:szCs w:val="22"/>
                <w:b w:val="1"/>
                <w:bCs w:val="1"/>
                <w:color w:val="345988"/>
                <w:vertAlign w:val="superscript"/>
              </w:rPr>
              <w:t>(1)</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345988"/>
              </w:rPr>
              <w:t>Incentive Plan</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20" w:type="dxa"/>
            <w:vAlign w:val="bottom"/>
          </w:tcPr>
          <w:p>
            <w:pPr>
              <w:spacing w:after="0" w:line="159" w:lineRule="exact"/>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500"/>
              <w:spacing w:after="0" w:line="159" w:lineRule="exact"/>
              <w:rPr>
                <w:sz w:val="20"/>
                <w:szCs w:val="20"/>
                <w:color w:val="auto"/>
              </w:rPr>
            </w:pPr>
            <w:r>
              <w:rPr>
                <w:rFonts w:ascii="Arial" w:cs="Arial" w:eastAsia="Arial" w:hAnsi="Arial"/>
                <w:sz w:val="14"/>
                <w:szCs w:val="14"/>
                <w:b w:val="1"/>
                <w:bCs w:val="1"/>
                <w:color w:val="345988"/>
              </w:rPr>
              <w:t>Salary</w:t>
            </w:r>
          </w:p>
        </w:tc>
        <w:tc>
          <w:tcPr>
            <w:tcW w:w="220" w:type="dxa"/>
            <w:vAlign w:val="bottom"/>
          </w:tcPr>
          <w:p>
            <w:pPr>
              <w:spacing w:after="0"/>
              <w:rPr>
                <w:sz w:val="13"/>
                <w:szCs w:val="13"/>
                <w:color w:val="auto"/>
              </w:rPr>
            </w:pPr>
          </w:p>
        </w:tc>
        <w:tc>
          <w:tcPr>
            <w:tcW w:w="980" w:type="dxa"/>
            <w:vAlign w:val="bottom"/>
            <w:gridSpan w:val="2"/>
          </w:tcPr>
          <w:p>
            <w:pPr>
              <w:jc w:val="right"/>
              <w:ind w:right="80"/>
              <w:spacing w:after="0" w:line="159" w:lineRule="exact"/>
              <w:rPr>
                <w:sz w:val="20"/>
                <w:szCs w:val="20"/>
                <w:color w:val="auto"/>
              </w:rPr>
            </w:pPr>
            <w:r>
              <w:rPr>
                <w:rFonts w:ascii="Arial" w:cs="Arial" w:eastAsia="Arial" w:hAnsi="Arial"/>
                <w:sz w:val="14"/>
                <w:szCs w:val="14"/>
                <w:b w:val="1"/>
                <w:bCs w:val="1"/>
                <w:color w:val="345988"/>
              </w:rPr>
              <w:t>Bonus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80"/>
              <w:spacing w:after="0" w:line="159" w:lineRule="exact"/>
              <w:rPr>
                <w:sz w:val="20"/>
                <w:szCs w:val="20"/>
                <w:color w:val="auto"/>
              </w:rPr>
            </w:pPr>
            <w:r>
              <w:rPr>
                <w:rFonts w:ascii="Arial" w:cs="Arial" w:eastAsia="Arial" w:hAnsi="Arial"/>
                <w:sz w:val="12"/>
                <w:szCs w:val="12"/>
                <w:b w:val="1"/>
                <w:bCs w:val="1"/>
                <w:color w:val="345988"/>
              </w:rPr>
              <w:t>Awards</w:t>
            </w:r>
            <w:r>
              <w:rPr>
                <w:rFonts w:ascii="Arial" w:cs="Arial" w:eastAsia="Arial" w:hAnsi="Arial"/>
                <w:sz w:val="18"/>
                <w:szCs w:val="18"/>
                <w:b w:val="1"/>
                <w:bCs w:val="1"/>
                <w:color w:val="345988"/>
                <w:vertAlign w:val="superscript"/>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345988"/>
                <w:w w:val="98"/>
              </w:rPr>
              <w:t>Compensation</w:t>
            </w:r>
          </w:p>
        </w:tc>
        <w:tc>
          <w:tcPr>
            <w:tcW w:w="120" w:type="dxa"/>
            <w:vAlign w:val="bottom"/>
          </w:tcPr>
          <w:p>
            <w:pPr>
              <w:spacing w:after="0"/>
              <w:rPr>
                <w:sz w:val="13"/>
                <w:szCs w:val="13"/>
                <w:color w:val="auto"/>
              </w:rPr>
            </w:pPr>
          </w:p>
        </w:tc>
        <w:tc>
          <w:tcPr>
            <w:tcW w:w="1160" w:type="dxa"/>
            <w:vAlign w:val="bottom"/>
            <w:gridSpan w:val="2"/>
          </w:tcPr>
          <w:p>
            <w:pPr>
              <w:jc w:val="right"/>
              <w:ind w:right="80"/>
              <w:spacing w:after="0" w:line="159" w:lineRule="exact"/>
              <w:rPr>
                <w:sz w:val="20"/>
                <w:szCs w:val="20"/>
                <w:color w:val="auto"/>
              </w:rPr>
            </w:pPr>
            <w:r>
              <w:rPr>
                <w:rFonts w:ascii="Arial" w:cs="Arial" w:eastAsia="Arial" w:hAnsi="Arial"/>
                <w:sz w:val="12"/>
                <w:szCs w:val="12"/>
                <w:b w:val="1"/>
                <w:bCs w:val="1"/>
                <w:color w:val="345988"/>
              </w:rPr>
              <w:t>Compensation</w:t>
            </w:r>
            <w:r>
              <w:rPr>
                <w:rFonts w:ascii="Arial" w:cs="Arial" w:eastAsia="Arial" w:hAnsi="Arial"/>
                <w:sz w:val="18"/>
                <w:szCs w:val="18"/>
                <w:b w:val="1"/>
                <w:bCs w:val="1"/>
                <w:color w:val="345988"/>
                <w:vertAlign w:val="superscript"/>
              </w:rPr>
              <w: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b w:val="1"/>
                <w:bCs w:val="1"/>
                <w:color w:val="345988"/>
              </w:rPr>
              <w:t>Total</w:t>
            </w:r>
          </w:p>
        </w:tc>
        <w:tc>
          <w:tcPr>
            <w:tcW w:w="0" w:type="dxa"/>
            <w:vAlign w:val="bottom"/>
          </w:tcPr>
          <w:p>
            <w:pPr>
              <w:spacing w:after="0"/>
              <w:rPr>
                <w:sz w:val="1"/>
                <w:szCs w:val="1"/>
                <w:color w:val="auto"/>
              </w:rPr>
            </w:pPr>
          </w:p>
        </w:tc>
      </w:tr>
      <w:tr>
        <w:trPr>
          <w:trHeight w:val="199"/>
        </w:trPr>
        <w:tc>
          <w:tcPr>
            <w:tcW w:w="15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345988"/>
              </w:rPr>
              <w:t>Year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0" w:type="dxa"/>
            <w:vAlign w:val="bottom"/>
          </w:tcPr>
          <w:p>
            <w:pPr>
              <w:spacing w:after="0"/>
              <w:rPr>
                <w:sz w:val="1"/>
                <w:szCs w:val="1"/>
                <w:color w:val="auto"/>
              </w:rPr>
            </w:pPr>
          </w:p>
        </w:tc>
      </w:tr>
      <w:tr>
        <w:trPr>
          <w:trHeight w:val="228"/>
        </w:trPr>
        <w:tc>
          <w:tcPr>
            <w:tcW w:w="1520" w:type="dxa"/>
            <w:vAlign w:val="bottom"/>
            <w:tcBorders>
              <w:top w:val="single" w:sz="8" w:color="345988"/>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19"/>
                <w:szCs w:val="19"/>
                <w:color w:val="auto"/>
              </w:rPr>
            </w:pPr>
          </w:p>
        </w:tc>
        <w:tc>
          <w:tcPr>
            <w:tcW w:w="40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94"/>
              </w:rPr>
              <w:t>2018</w:t>
            </w:r>
          </w:p>
        </w:tc>
        <w:tc>
          <w:tcPr>
            <w:tcW w:w="160" w:type="dxa"/>
            <w:vAlign w:val="bottom"/>
          </w:tcPr>
          <w:p>
            <w:pPr>
              <w:spacing w:after="0"/>
              <w:rPr>
                <w:sz w:val="19"/>
                <w:szCs w:val="19"/>
                <w:color w:val="auto"/>
              </w:rPr>
            </w:pPr>
          </w:p>
        </w:tc>
        <w:tc>
          <w:tcPr>
            <w:tcW w:w="220" w:type="dxa"/>
            <w:vAlign w:val="bottom"/>
            <w:tcBorders>
              <w:top w:val="single" w:sz="8" w:color="345988"/>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9"/>
                <w:szCs w:val="19"/>
                <w:color w:val="auto"/>
              </w:rPr>
            </w:pPr>
          </w:p>
        </w:tc>
        <w:tc>
          <w:tcPr>
            <w:tcW w:w="220" w:type="dxa"/>
            <w:vAlign w:val="bottom"/>
            <w:tcBorders>
              <w:top w:val="single" w:sz="8" w:color="345988"/>
            </w:tcBorders>
            <w:shd w:val="clear" w:color="auto" w:fill="D0D3DB"/>
          </w:tcPr>
          <w:p>
            <w:pPr>
              <w:spacing w:after="0"/>
              <w:rPr>
                <w:sz w:val="19"/>
                <w:szCs w:val="19"/>
                <w:color w:val="auto"/>
              </w:rPr>
            </w:pPr>
          </w:p>
        </w:tc>
        <w:tc>
          <w:tcPr>
            <w:tcW w:w="900" w:type="dxa"/>
            <w:vAlign w:val="bottom"/>
            <w:tcBorders>
              <w:top w:val="single" w:sz="8" w:color="345988"/>
            </w:tcBorders>
            <w:vMerge w:val="restart"/>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9,297,455</w:t>
            </w:r>
          </w:p>
        </w:tc>
        <w:tc>
          <w:tcPr>
            <w:tcW w:w="160" w:type="dxa"/>
            <w:vAlign w:val="bottom"/>
          </w:tcPr>
          <w:p>
            <w:pPr>
              <w:spacing w:after="0"/>
              <w:rPr>
                <w:sz w:val="19"/>
                <w:szCs w:val="19"/>
                <w:color w:val="auto"/>
              </w:rPr>
            </w:pPr>
          </w:p>
        </w:tc>
        <w:tc>
          <w:tcPr>
            <w:tcW w:w="220" w:type="dxa"/>
            <w:vAlign w:val="bottom"/>
            <w:tcBorders>
              <w:top w:val="single" w:sz="8" w:color="345988"/>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345988"/>
            </w:tcBorders>
            <w:vMerge w:val="restart"/>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2,746,491</w:t>
            </w:r>
          </w:p>
        </w:tc>
        <w:tc>
          <w:tcPr>
            <w:tcW w:w="160" w:type="dxa"/>
            <w:vAlign w:val="bottom"/>
          </w:tcPr>
          <w:p>
            <w:pPr>
              <w:spacing w:after="0"/>
              <w:rPr>
                <w:sz w:val="19"/>
                <w:szCs w:val="19"/>
                <w:color w:val="auto"/>
              </w:rPr>
            </w:pPr>
          </w:p>
        </w:tc>
        <w:tc>
          <w:tcPr>
            <w:tcW w:w="12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61,832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345988"/>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345988"/>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13,355,778</w:t>
            </w:r>
          </w:p>
        </w:tc>
        <w:tc>
          <w:tcPr>
            <w:tcW w:w="0" w:type="dxa"/>
            <w:vAlign w:val="bottom"/>
          </w:tcPr>
          <w:p>
            <w:pPr>
              <w:spacing w:after="0"/>
              <w:rPr>
                <w:sz w:val="1"/>
                <w:szCs w:val="1"/>
                <w:color w:val="auto"/>
              </w:rPr>
            </w:pPr>
          </w:p>
        </w:tc>
      </w:tr>
      <w:tr>
        <w:trPr>
          <w:trHeight w:val="158"/>
        </w:trPr>
        <w:tc>
          <w:tcPr>
            <w:tcW w:w="1520" w:type="dxa"/>
            <w:vAlign w:val="bottom"/>
            <w:vMerge w:val="restart"/>
          </w:tcPr>
          <w:p>
            <w:pPr>
              <w:spacing w:after="0"/>
              <w:rPr>
                <w:sz w:val="20"/>
                <w:szCs w:val="20"/>
                <w:color w:val="auto"/>
              </w:rPr>
            </w:pPr>
            <w:r>
              <w:rPr>
                <w:rFonts w:ascii="Arial" w:cs="Arial" w:eastAsia="Arial" w:hAnsi="Arial"/>
                <w:sz w:val="18"/>
                <w:szCs w:val="18"/>
                <w:color w:val="auto"/>
              </w:rPr>
              <w:t>Chief Executive</w:t>
            </w:r>
          </w:p>
        </w:tc>
        <w:tc>
          <w:tcPr>
            <w:tcW w:w="160" w:type="dxa"/>
            <w:vAlign w:val="bottom"/>
          </w:tcPr>
          <w:p>
            <w:pPr>
              <w:spacing w:after="0"/>
              <w:rPr>
                <w:sz w:val="13"/>
                <w:szCs w:val="13"/>
                <w:color w:val="auto"/>
              </w:rPr>
            </w:pPr>
          </w:p>
        </w:tc>
        <w:tc>
          <w:tcPr>
            <w:tcW w:w="400" w:type="dxa"/>
            <w:vAlign w:val="bottom"/>
            <w:tcBorders>
              <w:bottom w:val="single" w:sz="8" w:color="8590A9"/>
            </w:tcBorders>
            <w:vMerge w:val="continue"/>
            <w:shd w:val="clear" w:color="auto" w:fill="D0D3DB"/>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8590A9"/>
            </w:tcBorders>
            <w:vMerge w:val="continue"/>
            <w:shd w:val="clear" w:color="auto" w:fill="D0D3DB"/>
          </w:tcPr>
          <w:p>
            <w:pPr>
              <w:spacing w:after="0"/>
              <w:rPr>
                <w:sz w:val="13"/>
                <w:szCs w:val="13"/>
                <w:color w:val="auto"/>
              </w:rPr>
            </w:pPr>
          </w:p>
        </w:tc>
        <w:tc>
          <w:tcPr>
            <w:tcW w:w="920" w:type="dxa"/>
            <w:vAlign w:val="bottom"/>
            <w:tcBorders>
              <w:bottom w:val="single" w:sz="8" w:color="8590A9"/>
            </w:tcBorders>
            <w:vMerge w:val="continue"/>
            <w:shd w:val="clear" w:color="auto" w:fill="D0D3DB"/>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8590A9"/>
            </w:tcBorders>
            <w:shd w:val="clear" w:color="auto" w:fill="D0D3DB"/>
          </w:tcPr>
          <w:p>
            <w:pPr>
              <w:spacing w:after="0"/>
              <w:rPr>
                <w:sz w:val="13"/>
                <w:szCs w:val="13"/>
                <w:color w:val="auto"/>
              </w:rPr>
            </w:pPr>
          </w:p>
        </w:tc>
        <w:tc>
          <w:tcPr>
            <w:tcW w:w="900" w:type="dxa"/>
            <w:vAlign w:val="bottom"/>
            <w:tcBorders>
              <w:bottom w:val="single" w:sz="8" w:color="8590A9"/>
            </w:tcBorders>
            <w:vMerge w:val="continue"/>
            <w:shd w:val="clear" w:color="auto" w:fill="D0D3DB"/>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8590A9"/>
            </w:tcBorders>
            <w:vMerge w:val="continue"/>
            <w:shd w:val="clear" w:color="auto" w:fill="D0D3DB"/>
          </w:tcPr>
          <w:p>
            <w:pPr>
              <w:spacing w:after="0"/>
              <w:rPr>
                <w:sz w:val="13"/>
                <w:szCs w:val="13"/>
                <w:color w:val="auto"/>
              </w:rPr>
            </w:pPr>
          </w:p>
        </w:tc>
        <w:tc>
          <w:tcPr>
            <w:tcW w:w="1100" w:type="dxa"/>
            <w:vAlign w:val="bottom"/>
            <w:tcBorders>
              <w:bottom w:val="single" w:sz="8" w:color="8590A9"/>
            </w:tcBorders>
            <w:vMerge w:val="continue"/>
            <w:shd w:val="clear" w:color="auto" w:fill="D0D3DB"/>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8590A9"/>
            </w:tcBorders>
            <w:vMerge w:val="continue"/>
            <w:shd w:val="clear" w:color="auto" w:fill="D0D3DB"/>
          </w:tcPr>
          <w:p>
            <w:pPr>
              <w:spacing w:after="0"/>
              <w:rPr>
                <w:sz w:val="13"/>
                <w:szCs w:val="13"/>
                <w:color w:val="auto"/>
              </w:rPr>
            </w:pPr>
          </w:p>
        </w:tc>
        <w:tc>
          <w:tcPr>
            <w:tcW w:w="900" w:type="dxa"/>
            <w:vAlign w:val="bottom"/>
            <w:tcBorders>
              <w:bottom w:val="single" w:sz="8" w:color="8590A9"/>
            </w:tcBorders>
            <w:vMerge w:val="continue"/>
            <w:shd w:val="clear" w:color="auto" w:fill="D0D3DB"/>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8590A9"/>
            </w:tcBorders>
            <w:vMerge w:val="continue"/>
            <w:shd w:val="clear" w:color="auto" w:fill="D0D3DB"/>
          </w:tcPr>
          <w:p>
            <w:pPr>
              <w:spacing w:after="0"/>
              <w:rPr>
                <w:sz w:val="13"/>
                <w:szCs w:val="13"/>
                <w:color w:val="auto"/>
              </w:rPr>
            </w:pPr>
          </w:p>
        </w:tc>
        <w:tc>
          <w:tcPr>
            <w:tcW w:w="980" w:type="dxa"/>
            <w:vAlign w:val="bottom"/>
            <w:tcBorders>
              <w:bottom w:val="single" w:sz="8" w:color="8590A9"/>
            </w:tcBorders>
            <w:vMerge w:val="continue"/>
            <w:shd w:val="clear" w:color="auto" w:fill="D0D3DB"/>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8590A9"/>
            </w:tcBorders>
            <w:vMerge w:val="continue"/>
            <w:shd w:val="clear" w:color="auto" w:fill="D0D3DB"/>
          </w:tcPr>
          <w:p>
            <w:pPr>
              <w:spacing w:after="0"/>
              <w:rPr>
                <w:sz w:val="13"/>
                <w:szCs w:val="13"/>
                <w:color w:val="auto"/>
              </w:rPr>
            </w:pPr>
          </w:p>
        </w:tc>
        <w:tc>
          <w:tcPr>
            <w:tcW w:w="1080" w:type="dxa"/>
            <w:vAlign w:val="bottom"/>
            <w:tcBorders>
              <w:bottom w:val="single" w:sz="8" w:color="8590A9"/>
            </w:tcBorders>
            <w:vMerge w:val="continue"/>
            <w:shd w:val="clear" w:color="auto" w:fill="D0D3DB"/>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590A9"/>
            </w:tcBorders>
            <w:vMerge w:val="continue"/>
            <w:shd w:val="clear" w:color="auto" w:fill="D0D3DB"/>
          </w:tcPr>
          <w:p>
            <w:pPr>
              <w:spacing w:after="0"/>
              <w:rPr>
                <w:sz w:val="13"/>
                <w:szCs w:val="13"/>
                <w:color w:val="auto"/>
              </w:rPr>
            </w:pPr>
          </w:p>
        </w:tc>
        <w:tc>
          <w:tcPr>
            <w:tcW w:w="1020" w:type="dxa"/>
            <w:vAlign w:val="bottom"/>
            <w:tcBorders>
              <w:bottom w:val="single" w:sz="8" w:color="8590A9"/>
            </w:tcBorders>
            <w:vMerge w:val="continue"/>
            <w:shd w:val="clear" w:color="auto" w:fill="D0D3DB"/>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Officer and</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2017</w:t>
            </w:r>
          </w:p>
        </w:tc>
        <w:tc>
          <w:tcPr>
            <w:tcW w:w="3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11,878,395</w:t>
            </w:r>
          </w:p>
        </w:tc>
        <w:tc>
          <w:tcPr>
            <w:tcW w:w="160" w:type="dxa"/>
            <w:vAlign w:val="bottom"/>
          </w:tcPr>
          <w:p>
            <w:pPr>
              <w:spacing w:after="0"/>
              <w:rPr>
                <w:sz w:val="21"/>
                <w:szCs w:val="21"/>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2,196,857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1,937,250</w:t>
            </w:r>
          </w:p>
        </w:tc>
        <w:tc>
          <w:tcPr>
            <w:tcW w:w="16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45,319</w:t>
            </w:r>
          </w:p>
        </w:tc>
        <w:tc>
          <w:tcPr>
            <w:tcW w:w="80" w:type="dxa"/>
            <w:vAlign w:val="bottom"/>
          </w:tcPr>
          <w:p>
            <w:pPr>
              <w:spacing w:after="0"/>
              <w:rPr>
                <w:sz w:val="21"/>
                <w:szCs w:val="21"/>
                <w:color w:val="auto"/>
              </w:rPr>
            </w:pPr>
          </w:p>
        </w:tc>
        <w:tc>
          <w:tcPr>
            <w:tcW w:w="30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17,407,821</w:t>
            </w:r>
          </w:p>
        </w:tc>
        <w:tc>
          <w:tcPr>
            <w:tcW w:w="0" w:type="dxa"/>
            <w:vAlign w:val="bottom"/>
          </w:tcPr>
          <w:p>
            <w:pPr>
              <w:spacing w:after="0"/>
              <w:rPr>
                <w:sz w:val="1"/>
                <w:szCs w:val="1"/>
                <w:color w:val="auto"/>
              </w:rPr>
            </w:pPr>
          </w:p>
        </w:tc>
      </w:tr>
      <w:tr>
        <w:trPr>
          <w:trHeight w:val="77"/>
        </w:trPr>
        <w:tc>
          <w:tcPr>
            <w:tcW w:w="1520" w:type="dxa"/>
            <w:vAlign w:val="bottom"/>
            <w:vMerge w:val="restart"/>
          </w:tcPr>
          <w:p>
            <w:pPr>
              <w:spacing w:after="0"/>
              <w:rPr>
                <w:sz w:val="20"/>
                <w:szCs w:val="20"/>
                <w:color w:val="auto"/>
              </w:rPr>
            </w:pPr>
            <w:r>
              <w:rPr>
                <w:rFonts w:ascii="Arial" w:cs="Arial" w:eastAsia="Arial" w:hAnsi="Arial"/>
                <w:sz w:val="18"/>
                <w:szCs w:val="18"/>
                <w:color w:val="auto"/>
              </w:rPr>
              <w:t>Chairman of the</w:t>
            </w:r>
          </w:p>
        </w:tc>
        <w:tc>
          <w:tcPr>
            <w:tcW w:w="560" w:type="dxa"/>
            <w:vAlign w:val="bottom"/>
            <w:gridSpan w:val="2"/>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8590A9"/>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8590A9"/>
            </w:tcBorders>
          </w:tcPr>
          <w:p>
            <w:pPr>
              <w:spacing w:after="0"/>
              <w:rPr>
                <w:sz w:val="12"/>
                <w:szCs w:val="12"/>
                <w:color w:val="auto"/>
              </w:rPr>
            </w:pPr>
          </w:p>
        </w:tc>
        <w:tc>
          <w:tcPr>
            <w:tcW w:w="920" w:type="dxa"/>
            <w:vAlign w:val="bottom"/>
            <w:tcBorders>
              <w:top w:val="single" w:sz="8" w:color="8590A9"/>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8590A9"/>
            </w:tcBorders>
          </w:tcPr>
          <w:p>
            <w:pPr>
              <w:spacing w:after="0"/>
              <w:rPr>
                <w:sz w:val="12"/>
                <w:szCs w:val="12"/>
                <w:color w:val="auto"/>
              </w:rPr>
            </w:pPr>
          </w:p>
        </w:tc>
        <w:tc>
          <w:tcPr>
            <w:tcW w:w="900" w:type="dxa"/>
            <w:vAlign w:val="bottom"/>
            <w:tcBorders>
              <w:top w:val="single" w:sz="8" w:color="8590A9"/>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8590A9"/>
            </w:tcBorders>
          </w:tcPr>
          <w:p>
            <w:pPr>
              <w:spacing w:after="0"/>
              <w:rPr>
                <w:sz w:val="12"/>
                <w:szCs w:val="12"/>
                <w:color w:val="auto"/>
              </w:rPr>
            </w:pPr>
          </w:p>
        </w:tc>
        <w:tc>
          <w:tcPr>
            <w:tcW w:w="1100" w:type="dxa"/>
            <w:vAlign w:val="bottom"/>
            <w:tcBorders>
              <w:top w:val="single" w:sz="8" w:color="8590A9"/>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8590A9"/>
            </w:tcBorders>
          </w:tcPr>
          <w:p>
            <w:pPr>
              <w:spacing w:after="0"/>
              <w:rPr>
                <w:sz w:val="12"/>
                <w:szCs w:val="12"/>
                <w:color w:val="auto"/>
              </w:rPr>
            </w:pPr>
          </w:p>
        </w:tc>
        <w:tc>
          <w:tcPr>
            <w:tcW w:w="900" w:type="dxa"/>
            <w:vAlign w:val="bottom"/>
            <w:tcBorders>
              <w:top w:val="single" w:sz="8" w:color="8590A9"/>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8590A9"/>
            </w:tcBorders>
          </w:tcPr>
          <w:p>
            <w:pPr>
              <w:spacing w:after="0"/>
              <w:rPr>
                <w:sz w:val="12"/>
                <w:szCs w:val="12"/>
                <w:color w:val="auto"/>
              </w:rPr>
            </w:pPr>
          </w:p>
        </w:tc>
        <w:tc>
          <w:tcPr>
            <w:tcW w:w="980" w:type="dxa"/>
            <w:vAlign w:val="bottom"/>
            <w:tcBorders>
              <w:top w:val="single" w:sz="8" w:color="8590A9"/>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8590A9"/>
            </w:tcBorders>
          </w:tcPr>
          <w:p>
            <w:pPr>
              <w:spacing w:after="0"/>
              <w:rPr>
                <w:sz w:val="12"/>
                <w:szCs w:val="12"/>
                <w:color w:val="auto"/>
              </w:rPr>
            </w:pPr>
          </w:p>
        </w:tc>
        <w:tc>
          <w:tcPr>
            <w:tcW w:w="1080" w:type="dxa"/>
            <w:vAlign w:val="bottom"/>
            <w:tcBorders>
              <w:top w:val="single" w:sz="8" w:color="8590A9"/>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8590A9"/>
            </w:tcBorders>
          </w:tcPr>
          <w:p>
            <w:pPr>
              <w:spacing w:after="0"/>
              <w:rPr>
                <w:sz w:val="12"/>
                <w:szCs w:val="12"/>
                <w:color w:val="auto"/>
              </w:rPr>
            </w:pPr>
          </w:p>
        </w:tc>
        <w:tc>
          <w:tcPr>
            <w:tcW w:w="1020" w:type="dxa"/>
            <w:vAlign w:val="bottom"/>
            <w:tcBorders>
              <w:top w:val="single" w:sz="8" w:color="8590A9"/>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8"/>
                <w:szCs w:val="18"/>
                <w:color w:val="auto"/>
              </w:rPr>
              <w:t>Board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1,350,000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11,285,597</w:t>
            </w:r>
          </w:p>
        </w:tc>
        <w:tc>
          <w:tcPr>
            <w:tcW w:w="1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2,173,500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2,473,125</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44,149</w:t>
            </w:r>
          </w:p>
        </w:tc>
        <w:tc>
          <w:tcPr>
            <w:tcW w:w="80" w:type="dxa"/>
            <w:vAlign w:val="bottom"/>
          </w:tcPr>
          <w:p>
            <w:pPr>
              <w:spacing w:after="0"/>
              <w:rPr>
                <w:sz w:val="21"/>
                <w:szCs w:val="21"/>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17,326,371</w:t>
            </w:r>
          </w:p>
        </w:tc>
        <w:tc>
          <w:tcPr>
            <w:tcW w:w="0" w:type="dxa"/>
            <w:vAlign w:val="bottom"/>
          </w:tcPr>
          <w:p>
            <w:pPr>
              <w:spacing w:after="0"/>
              <w:rPr>
                <w:sz w:val="1"/>
                <w:szCs w:val="1"/>
                <w:color w:val="auto"/>
              </w:rPr>
            </w:pPr>
          </w:p>
        </w:tc>
      </w:tr>
      <w:tr>
        <w:trPr>
          <w:trHeight w:val="237"/>
        </w:trPr>
        <w:tc>
          <w:tcPr>
            <w:tcW w:w="152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4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94"/>
              </w:rPr>
              <w:t>2018</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spacing w:after="0"/>
              <w:rPr>
                <w:sz w:val="20"/>
                <w:szCs w:val="20"/>
                <w:color w:val="auto"/>
              </w:rPr>
            </w:pPr>
          </w:p>
        </w:tc>
        <w:tc>
          <w:tcPr>
            <w:tcW w:w="900" w:type="dxa"/>
            <w:vAlign w:val="bottom"/>
            <w:tcBorders>
              <w:top w:val="single" w:sz="8" w:color="8590A9"/>
              <w:bottom w:val="single" w:sz="8" w:color="8590A9"/>
            </w:tcBorders>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489,124</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spacing w:after="0"/>
              <w:rPr>
                <w:sz w:val="20"/>
                <w:szCs w:val="20"/>
                <w:color w:val="auto"/>
              </w:rPr>
            </w:pPr>
          </w:p>
        </w:tc>
        <w:tc>
          <w:tcPr>
            <w:tcW w:w="900" w:type="dxa"/>
            <w:vAlign w:val="bottom"/>
            <w:tcBorders>
              <w:top w:val="single" w:sz="8" w:color="8590A9"/>
              <w:bottom w:val="single" w:sz="8" w:color="8590A9"/>
            </w:tcBorders>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640,539</w:t>
            </w:r>
          </w:p>
        </w:tc>
        <w:tc>
          <w:tcPr>
            <w:tcW w:w="16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175,922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2,055,585</w:t>
            </w:r>
          </w:p>
        </w:tc>
        <w:tc>
          <w:tcPr>
            <w:tcW w:w="0" w:type="dxa"/>
            <w:vAlign w:val="bottom"/>
          </w:tcPr>
          <w:p>
            <w:pPr>
              <w:spacing w:after="0"/>
              <w:rPr>
                <w:sz w:val="1"/>
                <w:szCs w:val="1"/>
                <w:color w:val="auto"/>
              </w:rPr>
            </w:pPr>
          </w:p>
        </w:tc>
      </w:tr>
      <w:tr>
        <w:trPr>
          <w:trHeight w:val="228"/>
        </w:trPr>
        <w:tc>
          <w:tcPr>
            <w:tcW w:w="1520" w:type="dxa"/>
            <w:vAlign w:val="bottom"/>
          </w:tcPr>
          <w:p>
            <w:pPr>
              <w:spacing w:after="0"/>
              <w:rPr>
                <w:sz w:val="20"/>
                <w:szCs w:val="20"/>
                <w:color w:val="auto"/>
              </w:rPr>
            </w:pPr>
            <w:r>
              <w:rPr>
                <w:rFonts w:ascii="Arial" w:cs="Arial" w:eastAsia="Arial" w:hAnsi="Arial"/>
                <w:sz w:val="18"/>
                <w:szCs w:val="18"/>
                <w:color w:val="auto"/>
              </w:rPr>
              <w:t>Former Chairman</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2017</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1,019,110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938,437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185,986</w:t>
            </w:r>
          </w:p>
        </w:tc>
        <w:tc>
          <w:tcPr>
            <w:tcW w:w="8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2,893,533</w:t>
            </w:r>
          </w:p>
        </w:tc>
        <w:tc>
          <w:tcPr>
            <w:tcW w:w="0" w:type="dxa"/>
            <w:vAlign w:val="bottom"/>
          </w:tcPr>
          <w:p>
            <w:pPr>
              <w:spacing w:after="0"/>
              <w:rPr>
                <w:sz w:val="1"/>
                <w:szCs w:val="1"/>
                <w:color w:val="auto"/>
              </w:rPr>
            </w:pPr>
          </w:p>
        </w:tc>
      </w:tr>
      <w:tr>
        <w:trPr>
          <w:trHeight w:val="29"/>
        </w:trPr>
        <w:tc>
          <w:tcPr>
            <w:tcW w:w="1520" w:type="dxa"/>
            <w:vAlign w:val="bottom"/>
            <w:vMerge w:val="restart"/>
          </w:tcPr>
          <w:p>
            <w:pPr>
              <w:spacing w:after="0"/>
              <w:rPr>
                <w:sz w:val="20"/>
                <w:szCs w:val="20"/>
                <w:color w:val="auto"/>
              </w:rPr>
            </w:pPr>
            <w:r>
              <w:rPr>
                <w:rFonts w:ascii="Arial" w:cs="Arial" w:eastAsia="Arial" w:hAnsi="Arial"/>
                <w:sz w:val="18"/>
                <w:szCs w:val="18"/>
                <w:color w:val="auto"/>
              </w:rPr>
              <w:t>of the Board</w:t>
            </w:r>
          </w:p>
        </w:tc>
        <w:tc>
          <w:tcPr>
            <w:tcW w:w="160" w:type="dxa"/>
            <w:vAlign w:val="bottom"/>
          </w:tcPr>
          <w:p>
            <w:pPr>
              <w:spacing w:after="0"/>
              <w:rPr>
                <w:sz w:val="2"/>
                <w:szCs w:val="2"/>
                <w:color w:val="auto"/>
              </w:rPr>
            </w:pPr>
          </w:p>
        </w:tc>
        <w:tc>
          <w:tcPr>
            <w:tcW w:w="400" w:type="dxa"/>
            <w:vAlign w:val="bottom"/>
            <w:shd w:val="clear" w:color="auto" w:fill="8590A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8590A9"/>
          </w:tcPr>
          <w:p>
            <w:pPr>
              <w:spacing w:after="0"/>
              <w:rPr>
                <w:sz w:val="2"/>
                <w:szCs w:val="2"/>
                <w:color w:val="auto"/>
              </w:rPr>
            </w:pPr>
          </w:p>
        </w:tc>
        <w:tc>
          <w:tcPr>
            <w:tcW w:w="920" w:type="dxa"/>
            <w:vAlign w:val="bottom"/>
            <w:shd w:val="clear" w:color="auto" w:fill="8590A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8590A9"/>
          </w:tcPr>
          <w:p>
            <w:pPr>
              <w:spacing w:after="0"/>
              <w:rPr>
                <w:sz w:val="2"/>
                <w:szCs w:val="2"/>
                <w:color w:val="auto"/>
              </w:rPr>
            </w:pPr>
          </w:p>
        </w:tc>
        <w:tc>
          <w:tcPr>
            <w:tcW w:w="900" w:type="dxa"/>
            <w:vAlign w:val="bottom"/>
            <w:shd w:val="clear" w:color="auto" w:fill="8590A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8590A9"/>
          </w:tcPr>
          <w:p>
            <w:pPr>
              <w:spacing w:after="0"/>
              <w:rPr>
                <w:sz w:val="2"/>
                <w:szCs w:val="2"/>
                <w:color w:val="auto"/>
              </w:rPr>
            </w:pPr>
          </w:p>
        </w:tc>
        <w:tc>
          <w:tcPr>
            <w:tcW w:w="1100" w:type="dxa"/>
            <w:vAlign w:val="bottom"/>
            <w:shd w:val="clear" w:color="auto" w:fill="8590A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8590A9"/>
          </w:tcPr>
          <w:p>
            <w:pPr>
              <w:spacing w:after="0"/>
              <w:rPr>
                <w:sz w:val="2"/>
                <w:szCs w:val="2"/>
                <w:color w:val="auto"/>
              </w:rPr>
            </w:pPr>
          </w:p>
        </w:tc>
        <w:tc>
          <w:tcPr>
            <w:tcW w:w="900" w:type="dxa"/>
            <w:vAlign w:val="bottom"/>
            <w:shd w:val="clear" w:color="auto" w:fill="8590A9"/>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8590A9"/>
          </w:tcPr>
          <w:p>
            <w:pPr>
              <w:spacing w:after="0"/>
              <w:rPr>
                <w:sz w:val="2"/>
                <w:szCs w:val="2"/>
                <w:color w:val="auto"/>
              </w:rPr>
            </w:pPr>
          </w:p>
        </w:tc>
        <w:tc>
          <w:tcPr>
            <w:tcW w:w="980" w:type="dxa"/>
            <w:vAlign w:val="bottom"/>
            <w:shd w:val="clear" w:color="auto" w:fill="8590A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8590A9"/>
          </w:tcPr>
          <w:p>
            <w:pPr>
              <w:spacing w:after="0"/>
              <w:rPr>
                <w:sz w:val="2"/>
                <w:szCs w:val="2"/>
                <w:color w:val="auto"/>
              </w:rPr>
            </w:pPr>
          </w:p>
        </w:tc>
        <w:tc>
          <w:tcPr>
            <w:tcW w:w="1080" w:type="dxa"/>
            <w:vAlign w:val="bottom"/>
            <w:shd w:val="clear" w:color="auto" w:fill="8590A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8590A9"/>
          </w:tcPr>
          <w:p>
            <w:pPr>
              <w:spacing w:after="0"/>
              <w:rPr>
                <w:sz w:val="2"/>
                <w:szCs w:val="2"/>
                <w:color w:val="auto"/>
              </w:rPr>
            </w:pPr>
          </w:p>
        </w:tc>
        <w:tc>
          <w:tcPr>
            <w:tcW w:w="1020" w:type="dxa"/>
            <w:vAlign w:val="bottom"/>
            <w:shd w:val="clear" w:color="auto" w:fill="8590A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2016</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1,933,688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1,161,718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179,800</w:t>
            </w:r>
          </w:p>
        </w:tc>
        <w:tc>
          <w:tcPr>
            <w:tcW w:w="80" w:type="dxa"/>
            <w:vAlign w:val="bottom"/>
          </w:tcPr>
          <w:p>
            <w:pPr>
              <w:spacing w:after="0"/>
              <w:rPr>
                <w:sz w:val="20"/>
                <w:szCs w:val="20"/>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4,025,206</w:t>
            </w:r>
          </w:p>
        </w:tc>
        <w:tc>
          <w:tcPr>
            <w:tcW w:w="0" w:type="dxa"/>
            <w:vAlign w:val="bottom"/>
          </w:tcPr>
          <w:p>
            <w:pPr>
              <w:spacing w:after="0"/>
              <w:rPr>
                <w:sz w:val="1"/>
                <w:szCs w:val="1"/>
                <w:color w:val="auto"/>
              </w:rPr>
            </w:pPr>
          </w:p>
        </w:tc>
      </w:tr>
      <w:tr>
        <w:trPr>
          <w:trHeight w:val="237"/>
        </w:trPr>
        <w:tc>
          <w:tcPr>
            <w:tcW w:w="152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4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94"/>
              </w:rPr>
              <w:t>2018</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spacing w:after="0"/>
              <w:rPr>
                <w:sz w:val="20"/>
                <w:szCs w:val="20"/>
                <w:color w:val="auto"/>
              </w:rPr>
            </w:pPr>
          </w:p>
        </w:tc>
        <w:tc>
          <w:tcPr>
            <w:tcW w:w="900" w:type="dxa"/>
            <w:vAlign w:val="bottom"/>
            <w:tcBorders>
              <w:top w:val="single" w:sz="8" w:color="8590A9"/>
              <w:bottom w:val="single" w:sz="8" w:color="8590A9"/>
            </w:tcBorders>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9,471,414</w:t>
            </w:r>
          </w:p>
        </w:tc>
        <w:tc>
          <w:tcPr>
            <w:tcW w:w="16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spacing w:after="0"/>
              <w:rPr>
                <w:sz w:val="20"/>
                <w:szCs w:val="20"/>
                <w:color w:val="auto"/>
              </w:rPr>
            </w:pPr>
          </w:p>
        </w:tc>
        <w:tc>
          <w:tcPr>
            <w:tcW w:w="900" w:type="dxa"/>
            <w:vAlign w:val="bottom"/>
            <w:tcBorders>
              <w:top w:val="single" w:sz="8" w:color="8590A9"/>
              <w:bottom w:val="single" w:sz="8" w:color="8590A9"/>
            </w:tcBorders>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42,923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8590A9"/>
              <w:bottom w:val="single" w:sz="8" w:color="8590A9"/>
            </w:tcBorders>
            <w:shd w:val="clear" w:color="auto" w:fill="D0D3DB"/>
          </w:tcPr>
          <w:p>
            <w:pPr>
              <w:jc w:val="right"/>
              <w:ind w:right="32"/>
              <w:spacing w:after="0"/>
              <w:rPr>
                <w:sz w:val="20"/>
                <w:szCs w:val="20"/>
                <w:color w:val="auto"/>
              </w:rPr>
            </w:pPr>
            <w:r>
              <w:rPr>
                <w:rFonts w:ascii="Arial" w:cs="Arial" w:eastAsia="Arial" w:hAnsi="Arial"/>
                <w:sz w:val="18"/>
                <w:szCs w:val="18"/>
                <w:color w:val="auto"/>
                <w:highlight w:val="lightGray"/>
                <w:w w:val="79"/>
              </w:rPr>
              <w:t>$</w:t>
            </w:r>
          </w:p>
        </w:tc>
        <w:tc>
          <w:tcPr>
            <w:tcW w:w="10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10,414,337</w:t>
            </w:r>
          </w:p>
        </w:tc>
        <w:tc>
          <w:tcPr>
            <w:tcW w:w="0" w:type="dxa"/>
            <w:vAlign w:val="bottom"/>
          </w:tcPr>
          <w:p>
            <w:pPr>
              <w:spacing w:after="0"/>
              <w:rPr>
                <w:sz w:val="1"/>
                <w:szCs w:val="1"/>
                <w:color w:val="auto"/>
              </w:rPr>
            </w:pPr>
          </w:p>
        </w:tc>
      </w:tr>
      <w:tr>
        <w:trPr>
          <w:trHeight w:val="235"/>
        </w:trPr>
        <w:tc>
          <w:tcPr>
            <w:tcW w:w="1520" w:type="dxa"/>
            <w:vAlign w:val="bottom"/>
          </w:tcPr>
          <w:p>
            <w:pPr>
              <w:spacing w:after="0"/>
              <w:rPr>
                <w:sz w:val="20"/>
                <w:szCs w:val="20"/>
                <w:color w:val="auto"/>
              </w:rPr>
            </w:pPr>
            <w:r>
              <w:rPr>
                <w:rFonts w:ascii="Arial" w:cs="Arial" w:eastAsia="Arial" w:hAnsi="Arial"/>
                <w:sz w:val="18"/>
                <w:szCs w:val="18"/>
                <w:color w:val="auto"/>
              </w:rPr>
              <w:t>President</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2017</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8,879,826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1,001,000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43,993</w:t>
            </w:r>
          </w:p>
        </w:tc>
        <w:tc>
          <w:tcPr>
            <w:tcW w:w="80" w:type="dxa"/>
            <w:vAlign w:val="bottom"/>
          </w:tcPr>
          <w:p>
            <w:pPr>
              <w:spacing w:after="0"/>
              <w:rPr>
                <w:sz w:val="20"/>
                <w:szCs w:val="20"/>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10,724,819</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11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590A9"/>
          </w:tcPr>
          <w:p>
            <w:pPr>
              <w:spacing w:after="0" w:line="20" w:lineRule="exact"/>
              <w:rPr>
                <w:sz w:val="1"/>
                <w:szCs w:val="1"/>
                <w:color w:val="auto"/>
              </w:rPr>
            </w:pPr>
          </w:p>
        </w:tc>
        <w:tc>
          <w:tcPr>
            <w:tcW w:w="102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2016</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9,120,896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1,239,166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38,823</w:t>
            </w:r>
          </w:p>
        </w:tc>
        <w:tc>
          <w:tcPr>
            <w:tcW w:w="80" w:type="dxa"/>
            <w:vAlign w:val="bottom"/>
          </w:tcPr>
          <w:p>
            <w:pPr>
              <w:spacing w:after="0"/>
              <w:rPr>
                <w:sz w:val="20"/>
                <w:szCs w:val="20"/>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11,198,885</w:t>
            </w:r>
          </w:p>
        </w:tc>
        <w:tc>
          <w:tcPr>
            <w:tcW w:w="0" w:type="dxa"/>
            <w:vAlign w:val="bottom"/>
          </w:tcPr>
          <w:p>
            <w:pPr>
              <w:spacing w:after="0"/>
              <w:rPr>
                <w:sz w:val="1"/>
                <w:szCs w:val="1"/>
                <w:color w:val="auto"/>
              </w:rPr>
            </w:pPr>
          </w:p>
        </w:tc>
      </w:tr>
      <w:tr>
        <w:trPr>
          <w:trHeight w:val="228"/>
        </w:trPr>
        <w:tc>
          <w:tcPr>
            <w:tcW w:w="152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Matthew J.</w:t>
            </w:r>
          </w:p>
        </w:tc>
        <w:tc>
          <w:tcPr>
            <w:tcW w:w="160" w:type="dxa"/>
            <w:vAlign w:val="bottom"/>
          </w:tcPr>
          <w:p>
            <w:pPr>
              <w:spacing w:after="0"/>
              <w:rPr>
                <w:sz w:val="19"/>
                <w:szCs w:val="19"/>
                <w:color w:val="auto"/>
              </w:rPr>
            </w:pPr>
          </w:p>
        </w:tc>
        <w:tc>
          <w:tcPr>
            <w:tcW w:w="40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highlight w:val="lightGray"/>
                <w:w w:val="94"/>
              </w:rPr>
              <w:t>2018</w:t>
            </w:r>
          </w:p>
        </w:tc>
        <w:tc>
          <w:tcPr>
            <w:tcW w:w="16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highlight w:val="lightGray"/>
                <w:w w:val="79"/>
              </w:rPr>
              <w:t>$</w:t>
            </w:r>
          </w:p>
        </w:tc>
        <w:tc>
          <w:tcPr>
            <w:tcW w:w="900" w:type="dxa"/>
            <w:vAlign w:val="bottom"/>
            <w:tcBorders>
              <w:top w:val="single" w:sz="8" w:color="8590A9"/>
            </w:tcBorders>
            <w:vMerge w:val="restart"/>
            <w:shd w:val="clear" w:color="auto" w:fill="D0D3DB"/>
          </w:tcPr>
          <w:p>
            <w:pPr>
              <w:ind w:left="120"/>
              <w:spacing w:after="0"/>
              <w:rPr>
                <w:sz w:val="20"/>
                <w:szCs w:val="20"/>
                <w:color w:val="auto"/>
              </w:rPr>
            </w:pPr>
            <w:r>
              <w:rPr>
                <w:rFonts w:ascii="Arial" w:cs="Arial" w:eastAsia="Arial" w:hAnsi="Arial"/>
                <w:sz w:val="18"/>
                <w:szCs w:val="18"/>
                <w:color w:val="auto"/>
                <w:highlight w:val="lightGray"/>
                <w:w w:val="94"/>
              </w:rPr>
              <w:t>1,600,000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3,079,244</w:t>
            </w:r>
          </w:p>
        </w:tc>
        <w:tc>
          <w:tcPr>
            <w:tcW w:w="16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8590A9"/>
            </w:tcBorders>
            <w:vMerge w:val="restart"/>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8590A9"/>
            </w:tcBorders>
            <w:shd w:val="clear" w:color="auto" w:fill="D0D3DB"/>
          </w:tcPr>
          <w:p>
            <w:pPr>
              <w:spacing w:after="0"/>
              <w:rPr>
                <w:sz w:val="19"/>
                <w:szCs w:val="19"/>
                <w:color w:val="auto"/>
              </w:rPr>
            </w:pPr>
          </w:p>
        </w:tc>
        <w:tc>
          <w:tcPr>
            <w:tcW w:w="980" w:type="dxa"/>
            <w:vAlign w:val="bottom"/>
            <w:tcBorders>
              <w:top w:val="single" w:sz="8" w:color="8590A9"/>
            </w:tcBorders>
            <w:shd w:val="clear" w:color="auto" w:fill="D0D3DB"/>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5,240,244</w:t>
            </w:r>
          </w:p>
        </w:tc>
        <w:tc>
          <w:tcPr>
            <w:tcW w:w="0" w:type="dxa"/>
            <w:vAlign w:val="bottom"/>
          </w:tcPr>
          <w:p>
            <w:pPr>
              <w:spacing w:after="0"/>
              <w:rPr>
                <w:sz w:val="1"/>
                <w:szCs w:val="1"/>
                <w:color w:val="auto"/>
              </w:rPr>
            </w:pPr>
          </w:p>
        </w:tc>
      </w:tr>
      <w:tr>
        <w:trPr>
          <w:trHeight w:val="77"/>
        </w:trPr>
        <w:tc>
          <w:tcPr>
            <w:tcW w:w="1520" w:type="dxa"/>
            <w:vAlign w:val="bottom"/>
            <w:vMerge w:val="restart"/>
          </w:tcPr>
          <w:p>
            <w:pPr>
              <w:spacing w:after="0"/>
              <w:rPr>
                <w:sz w:val="20"/>
                <w:szCs w:val="20"/>
                <w:color w:val="auto"/>
              </w:rPr>
            </w:pPr>
            <w:r>
              <w:rPr>
                <w:rFonts w:ascii="Arial" w:cs="Arial" w:eastAsia="Arial" w:hAnsi="Arial"/>
                <w:sz w:val="18"/>
                <w:szCs w:val="18"/>
                <w:color w:val="auto"/>
              </w:rPr>
              <w:t>DiLiberto</w:t>
            </w:r>
          </w:p>
        </w:tc>
        <w:tc>
          <w:tcPr>
            <w:tcW w:w="160" w:type="dxa"/>
            <w:vAlign w:val="bottom"/>
          </w:tcPr>
          <w:p>
            <w:pPr>
              <w:spacing w:after="0"/>
              <w:rPr>
                <w:sz w:val="6"/>
                <w:szCs w:val="6"/>
                <w:color w:val="auto"/>
              </w:rPr>
            </w:pPr>
          </w:p>
        </w:tc>
        <w:tc>
          <w:tcPr>
            <w:tcW w:w="40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92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90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8590A9"/>
            </w:tcBorders>
            <w:vMerge w:val="continue"/>
            <w:shd w:val="clear" w:color="auto" w:fill="D0D3DB"/>
          </w:tcPr>
          <w:p>
            <w:pPr>
              <w:spacing w:after="0"/>
              <w:rPr>
                <w:sz w:val="6"/>
                <w:szCs w:val="6"/>
                <w:color w:val="auto"/>
              </w:rPr>
            </w:pPr>
          </w:p>
        </w:tc>
        <w:tc>
          <w:tcPr>
            <w:tcW w:w="110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90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8590A9"/>
            </w:tcBorders>
            <w:shd w:val="clear" w:color="auto" w:fill="D0D3DB"/>
          </w:tcPr>
          <w:p>
            <w:pPr>
              <w:spacing w:after="0"/>
              <w:rPr>
                <w:sz w:val="6"/>
                <w:szCs w:val="6"/>
                <w:color w:val="auto"/>
              </w:rPr>
            </w:pPr>
          </w:p>
        </w:tc>
        <w:tc>
          <w:tcPr>
            <w:tcW w:w="980" w:type="dxa"/>
            <w:vAlign w:val="bottom"/>
            <w:tcBorders>
              <w:bottom w:val="single" w:sz="8" w:color="8590A9"/>
            </w:tcBorders>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8590A9"/>
            </w:tcBorders>
            <w:vMerge w:val="continue"/>
            <w:shd w:val="clear" w:color="auto" w:fill="D0D3DB"/>
          </w:tcPr>
          <w:p>
            <w:pPr>
              <w:spacing w:after="0"/>
              <w:rPr>
                <w:sz w:val="6"/>
                <w:szCs w:val="6"/>
                <w:color w:val="auto"/>
              </w:rPr>
            </w:pPr>
          </w:p>
        </w:tc>
        <w:tc>
          <w:tcPr>
            <w:tcW w:w="108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1020" w:type="dxa"/>
            <w:vAlign w:val="bottom"/>
            <w:tcBorders>
              <w:bottom w:val="single" w:sz="8" w:color="8590A9"/>
            </w:tcBorders>
            <w:vMerge w:val="continue"/>
            <w:shd w:val="clear" w:color="auto" w:fill="D0D3DB"/>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520" w:type="dxa"/>
            <w:vAlign w:val="bottom"/>
            <w:vMerge w:val="continue"/>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2017</w:t>
            </w:r>
          </w:p>
        </w:tc>
        <w:tc>
          <w:tcPr>
            <w:tcW w:w="3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2"/>
                <w:szCs w:val="12"/>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ind w:left="120"/>
              <w:spacing w:after="0"/>
              <w:rPr>
                <w:sz w:val="20"/>
                <w:szCs w:val="20"/>
                <w:color w:val="auto"/>
              </w:rPr>
            </w:pPr>
            <w:r>
              <w:rPr>
                <w:rFonts w:ascii="Arial" w:cs="Arial" w:eastAsia="Arial" w:hAnsi="Arial"/>
                <w:sz w:val="18"/>
                <w:szCs w:val="18"/>
                <w:color w:val="auto"/>
                <w:w w:val="94"/>
              </w:rPr>
              <w:t>1,600,000</w:t>
            </w:r>
          </w:p>
        </w:tc>
        <w:tc>
          <w:tcPr>
            <w:tcW w:w="80" w:type="dxa"/>
            <w:vAlign w:val="bottom"/>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255,013</w:t>
            </w:r>
          </w:p>
        </w:tc>
        <w:tc>
          <w:tcPr>
            <w:tcW w:w="160" w:type="dxa"/>
            <w:vAlign w:val="bottom"/>
          </w:tcPr>
          <w:p>
            <w:pPr>
              <w:spacing w:after="0"/>
              <w:rPr>
                <w:sz w:val="12"/>
                <w:szCs w:val="12"/>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748,419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2"/>
                <w:szCs w:val="12"/>
                <w:color w:val="auto"/>
              </w:rPr>
            </w:pPr>
          </w:p>
        </w:tc>
        <w:tc>
          <w:tcPr>
            <w:tcW w:w="30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3,111,532</w:t>
            </w:r>
          </w:p>
        </w:tc>
        <w:tc>
          <w:tcPr>
            <w:tcW w:w="0" w:type="dxa"/>
            <w:vAlign w:val="bottom"/>
          </w:tcPr>
          <w:p>
            <w:pPr>
              <w:spacing w:after="0"/>
              <w:rPr>
                <w:sz w:val="1"/>
                <w:szCs w:val="1"/>
                <w:color w:val="auto"/>
              </w:rPr>
            </w:pPr>
          </w:p>
        </w:tc>
      </w:tr>
      <w:tr>
        <w:trPr>
          <w:trHeight w:val="158"/>
        </w:trPr>
        <w:tc>
          <w:tcPr>
            <w:tcW w:w="1520" w:type="dxa"/>
            <w:vAlign w:val="bottom"/>
            <w:vMerge w:val="restart"/>
          </w:tcPr>
          <w:p>
            <w:pPr>
              <w:spacing w:after="0"/>
              <w:rPr>
                <w:sz w:val="20"/>
                <w:szCs w:val="20"/>
                <w:color w:val="auto"/>
              </w:rPr>
            </w:pPr>
            <w:r>
              <w:rPr>
                <w:rFonts w:ascii="Arial" w:cs="Arial" w:eastAsia="Arial" w:hAnsi="Arial"/>
                <w:sz w:val="18"/>
                <w:szCs w:val="18"/>
                <w:color w:val="auto"/>
              </w:rPr>
              <w:t>Chief Financial</w:t>
            </w:r>
          </w:p>
        </w:tc>
        <w:tc>
          <w:tcPr>
            <w:tcW w:w="56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2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0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8590A9"/>
            </w:tcBorders>
          </w:tcPr>
          <w:p>
            <w:pPr>
              <w:spacing w:after="0"/>
              <w:rPr>
                <w:sz w:val="5"/>
                <w:szCs w:val="5"/>
                <w:color w:val="auto"/>
              </w:rPr>
            </w:pPr>
          </w:p>
        </w:tc>
        <w:tc>
          <w:tcPr>
            <w:tcW w:w="110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0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8590A9"/>
            </w:tcBorders>
          </w:tcPr>
          <w:p>
            <w:pPr>
              <w:spacing w:after="0"/>
              <w:rPr>
                <w:sz w:val="5"/>
                <w:szCs w:val="5"/>
                <w:color w:val="auto"/>
              </w:rPr>
            </w:pPr>
          </w:p>
        </w:tc>
        <w:tc>
          <w:tcPr>
            <w:tcW w:w="98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8590A9"/>
            </w:tcBorders>
          </w:tcPr>
          <w:p>
            <w:pPr>
              <w:spacing w:after="0"/>
              <w:rPr>
                <w:sz w:val="5"/>
                <w:szCs w:val="5"/>
                <w:color w:val="auto"/>
              </w:rPr>
            </w:pPr>
          </w:p>
        </w:tc>
        <w:tc>
          <w:tcPr>
            <w:tcW w:w="108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1020" w:type="dxa"/>
            <w:vAlign w:val="bottom"/>
            <w:tcBorders>
              <w:top w:val="single" w:sz="8" w:color="8590A9"/>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8"/>
                <w:szCs w:val="18"/>
                <w:color w:val="auto"/>
              </w:rPr>
              <w:t>Officer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120"/>
              <w:spacing w:after="0"/>
              <w:rPr>
                <w:sz w:val="20"/>
                <w:szCs w:val="20"/>
                <w:color w:val="auto"/>
              </w:rPr>
            </w:pPr>
            <w:r>
              <w:rPr>
                <w:rFonts w:ascii="Arial" w:cs="Arial" w:eastAsia="Arial" w:hAnsi="Arial"/>
                <w:sz w:val="18"/>
                <w:szCs w:val="18"/>
                <w:color w:val="auto"/>
                <w:w w:val="94"/>
              </w:rPr>
              <w:t>1,400,000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7,950</w:t>
            </w:r>
          </w:p>
        </w:tc>
        <w:tc>
          <w:tcPr>
            <w:tcW w:w="80" w:type="dxa"/>
            <w:vAlign w:val="bottom"/>
          </w:tcPr>
          <w:p>
            <w:pPr>
              <w:spacing w:after="0"/>
              <w:rPr>
                <w:sz w:val="21"/>
                <w:szCs w:val="21"/>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1,807,950</w:t>
            </w:r>
          </w:p>
        </w:tc>
        <w:tc>
          <w:tcPr>
            <w:tcW w:w="0" w:type="dxa"/>
            <w:vAlign w:val="bottom"/>
          </w:tcPr>
          <w:p>
            <w:pPr>
              <w:spacing w:after="0"/>
              <w:rPr>
                <w:sz w:val="1"/>
                <w:szCs w:val="1"/>
                <w:color w:val="auto"/>
              </w:rPr>
            </w:pPr>
          </w:p>
        </w:tc>
      </w:tr>
      <w:tr>
        <w:trPr>
          <w:trHeight w:val="228"/>
        </w:trPr>
        <w:tc>
          <w:tcPr>
            <w:tcW w:w="1520" w:type="dxa"/>
            <w:vAlign w:val="bottom"/>
            <w:tcBorders>
              <w:top w:val="single" w:sz="8" w:color="8590A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19"/>
                <w:szCs w:val="19"/>
                <w:color w:val="auto"/>
              </w:rPr>
            </w:pPr>
          </w:p>
        </w:tc>
        <w:tc>
          <w:tcPr>
            <w:tcW w:w="40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highlight w:val="lightGray"/>
                <w:w w:val="94"/>
              </w:rPr>
              <w:t>2018</w:t>
            </w:r>
          </w:p>
        </w:tc>
        <w:tc>
          <w:tcPr>
            <w:tcW w:w="16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19"/>
                <w:szCs w:val="19"/>
                <w:color w:val="auto"/>
              </w:rPr>
            </w:pPr>
          </w:p>
        </w:tc>
        <w:tc>
          <w:tcPr>
            <w:tcW w:w="220" w:type="dxa"/>
            <w:vAlign w:val="bottom"/>
            <w:tcBorders>
              <w:top w:val="single" w:sz="8" w:color="8590A9"/>
            </w:tcBorders>
            <w:shd w:val="clear" w:color="auto" w:fill="D0D3DB"/>
          </w:tcPr>
          <w:p>
            <w:pPr>
              <w:spacing w:after="0"/>
              <w:rPr>
                <w:sz w:val="19"/>
                <w:szCs w:val="19"/>
                <w:color w:val="auto"/>
              </w:rPr>
            </w:pPr>
          </w:p>
        </w:tc>
        <w:tc>
          <w:tcPr>
            <w:tcW w:w="900" w:type="dxa"/>
            <w:vAlign w:val="bottom"/>
            <w:tcBorders>
              <w:top w:val="single" w:sz="8" w:color="8590A9"/>
            </w:tcBorders>
            <w:vMerge w:val="restart"/>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1,051,877</w:t>
            </w:r>
          </w:p>
        </w:tc>
        <w:tc>
          <w:tcPr>
            <w:tcW w:w="16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8590A9"/>
            </w:tcBorders>
            <w:vMerge w:val="restart"/>
            <w:shd w:val="clear" w:color="auto" w:fill="D0D3DB"/>
          </w:tcPr>
          <w:p>
            <w:pPr>
              <w:ind w:left="7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8590A9"/>
            </w:tcBorders>
            <w:shd w:val="clear" w:color="auto" w:fill="D0D3DB"/>
          </w:tcPr>
          <w:p>
            <w:pPr>
              <w:spacing w:after="0"/>
              <w:rPr>
                <w:sz w:val="19"/>
                <w:szCs w:val="19"/>
                <w:color w:val="auto"/>
              </w:rPr>
            </w:pPr>
          </w:p>
        </w:tc>
        <w:tc>
          <w:tcPr>
            <w:tcW w:w="98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8590A9"/>
            </w:tcBorders>
            <w:vMerge w:val="restart"/>
            <w:shd w:val="clear" w:color="auto" w:fill="D0D3DB"/>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8590A9"/>
            </w:tcBorders>
            <w:vMerge w:val="restart"/>
            <w:shd w:val="clear" w:color="auto" w:fill="D0D3DB"/>
          </w:tcPr>
          <w:p>
            <w:pPr>
              <w:jc w:val="right"/>
              <w:spacing w:after="0"/>
              <w:rPr>
                <w:sz w:val="20"/>
                <w:szCs w:val="20"/>
                <w:color w:val="auto"/>
              </w:rPr>
            </w:pPr>
            <w:r>
              <w:rPr>
                <w:rFonts w:ascii="Arial" w:cs="Arial" w:eastAsia="Arial" w:hAnsi="Arial"/>
                <w:sz w:val="18"/>
                <w:szCs w:val="18"/>
                <w:color w:val="auto"/>
              </w:rPr>
              <w:t>1,612,877</w:t>
            </w:r>
          </w:p>
        </w:tc>
        <w:tc>
          <w:tcPr>
            <w:tcW w:w="0" w:type="dxa"/>
            <w:vAlign w:val="bottom"/>
          </w:tcPr>
          <w:p>
            <w:pPr>
              <w:spacing w:after="0"/>
              <w:rPr>
                <w:sz w:val="1"/>
                <w:szCs w:val="1"/>
                <w:color w:val="auto"/>
              </w:rPr>
            </w:pPr>
          </w:p>
        </w:tc>
      </w:tr>
      <w:tr>
        <w:trPr>
          <w:trHeight w:val="77"/>
        </w:trPr>
        <w:tc>
          <w:tcPr>
            <w:tcW w:w="1520" w:type="dxa"/>
            <w:vAlign w:val="bottom"/>
            <w:vMerge w:val="restart"/>
          </w:tcPr>
          <w:p>
            <w:pPr>
              <w:spacing w:after="0"/>
              <w:rPr>
                <w:sz w:val="20"/>
                <w:szCs w:val="20"/>
                <w:color w:val="auto"/>
              </w:rPr>
            </w:pPr>
            <w:r>
              <w:rPr>
                <w:rFonts w:ascii="Arial" w:cs="Arial" w:eastAsia="Arial" w:hAnsi="Arial"/>
                <w:sz w:val="18"/>
                <w:szCs w:val="18"/>
                <w:color w:val="auto"/>
              </w:rPr>
              <w:t>Chief Legal Officer</w:t>
            </w:r>
          </w:p>
        </w:tc>
        <w:tc>
          <w:tcPr>
            <w:tcW w:w="160" w:type="dxa"/>
            <w:vAlign w:val="bottom"/>
          </w:tcPr>
          <w:p>
            <w:pPr>
              <w:spacing w:after="0"/>
              <w:rPr>
                <w:sz w:val="6"/>
                <w:szCs w:val="6"/>
                <w:color w:val="auto"/>
              </w:rPr>
            </w:pPr>
          </w:p>
        </w:tc>
        <w:tc>
          <w:tcPr>
            <w:tcW w:w="40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92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shd w:val="clear" w:color="auto" w:fill="D0D3DB"/>
          </w:tcPr>
          <w:p>
            <w:pPr>
              <w:spacing w:after="0"/>
              <w:rPr>
                <w:sz w:val="6"/>
                <w:szCs w:val="6"/>
                <w:color w:val="auto"/>
              </w:rPr>
            </w:pPr>
          </w:p>
        </w:tc>
        <w:tc>
          <w:tcPr>
            <w:tcW w:w="90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8590A9"/>
            </w:tcBorders>
            <w:vMerge w:val="continue"/>
            <w:shd w:val="clear" w:color="auto" w:fill="D0D3DB"/>
          </w:tcPr>
          <w:p>
            <w:pPr>
              <w:spacing w:after="0"/>
              <w:rPr>
                <w:sz w:val="6"/>
                <w:szCs w:val="6"/>
                <w:color w:val="auto"/>
              </w:rPr>
            </w:pPr>
          </w:p>
        </w:tc>
        <w:tc>
          <w:tcPr>
            <w:tcW w:w="110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90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8590A9"/>
            </w:tcBorders>
            <w:shd w:val="clear" w:color="auto" w:fill="D0D3DB"/>
          </w:tcPr>
          <w:p>
            <w:pPr>
              <w:spacing w:after="0"/>
              <w:rPr>
                <w:sz w:val="6"/>
                <w:szCs w:val="6"/>
                <w:color w:val="auto"/>
              </w:rPr>
            </w:pPr>
          </w:p>
        </w:tc>
        <w:tc>
          <w:tcPr>
            <w:tcW w:w="980" w:type="dxa"/>
            <w:vAlign w:val="bottom"/>
            <w:tcBorders>
              <w:bottom w:val="single" w:sz="8" w:color="8590A9"/>
            </w:tcBorders>
            <w:vMerge w:val="continue"/>
            <w:shd w:val="clear" w:color="auto" w:fill="D0D3DB"/>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8590A9"/>
            </w:tcBorders>
            <w:vMerge w:val="continue"/>
            <w:shd w:val="clear" w:color="auto" w:fill="D0D3DB"/>
          </w:tcPr>
          <w:p>
            <w:pPr>
              <w:spacing w:after="0"/>
              <w:rPr>
                <w:sz w:val="6"/>
                <w:szCs w:val="6"/>
                <w:color w:val="auto"/>
              </w:rPr>
            </w:pPr>
          </w:p>
        </w:tc>
        <w:tc>
          <w:tcPr>
            <w:tcW w:w="1080" w:type="dxa"/>
            <w:vAlign w:val="bottom"/>
            <w:tcBorders>
              <w:bottom w:val="single" w:sz="8" w:color="8590A9"/>
            </w:tcBorders>
            <w:vMerge w:val="continue"/>
            <w:shd w:val="clear" w:color="auto" w:fill="D0D3DB"/>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8590A9"/>
            </w:tcBorders>
            <w:vMerge w:val="continue"/>
            <w:shd w:val="clear" w:color="auto" w:fill="D0D3DB"/>
          </w:tcPr>
          <w:p>
            <w:pPr>
              <w:spacing w:after="0"/>
              <w:rPr>
                <w:sz w:val="6"/>
                <w:szCs w:val="6"/>
                <w:color w:val="auto"/>
              </w:rPr>
            </w:pPr>
          </w:p>
        </w:tc>
        <w:tc>
          <w:tcPr>
            <w:tcW w:w="1020" w:type="dxa"/>
            <w:vAlign w:val="bottom"/>
            <w:tcBorders>
              <w:bottom w:val="single" w:sz="8" w:color="8590A9"/>
            </w:tcBorders>
            <w:vMerge w:val="continue"/>
            <w:shd w:val="clear" w:color="auto" w:fill="D0D3DB"/>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520" w:type="dxa"/>
            <w:vAlign w:val="bottom"/>
            <w:vMerge w:val="continue"/>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2017</w:t>
            </w:r>
          </w:p>
        </w:tc>
        <w:tc>
          <w:tcPr>
            <w:tcW w:w="3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1,256,930</w:t>
            </w:r>
          </w:p>
        </w:tc>
        <w:tc>
          <w:tcPr>
            <w:tcW w:w="160" w:type="dxa"/>
            <w:vAlign w:val="bottom"/>
          </w:tcPr>
          <w:p>
            <w:pPr>
              <w:spacing w:after="0"/>
              <w:rPr>
                <w:sz w:val="12"/>
                <w:szCs w:val="12"/>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748,419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2"/>
                <w:szCs w:val="12"/>
                <w:color w:val="auto"/>
              </w:rPr>
            </w:pPr>
          </w:p>
        </w:tc>
        <w:tc>
          <w:tcPr>
            <w:tcW w:w="30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2,563,449</w:t>
            </w:r>
          </w:p>
        </w:tc>
        <w:tc>
          <w:tcPr>
            <w:tcW w:w="0" w:type="dxa"/>
            <w:vAlign w:val="bottom"/>
          </w:tcPr>
          <w:p>
            <w:pPr>
              <w:spacing w:after="0"/>
              <w:rPr>
                <w:sz w:val="1"/>
                <w:szCs w:val="1"/>
                <w:color w:val="auto"/>
              </w:rPr>
            </w:pPr>
          </w:p>
        </w:tc>
      </w:tr>
      <w:tr>
        <w:trPr>
          <w:trHeight w:val="158"/>
        </w:trPr>
        <w:tc>
          <w:tcPr>
            <w:tcW w:w="1520" w:type="dxa"/>
            <w:vAlign w:val="bottom"/>
            <w:vMerge w:val="restart"/>
          </w:tcPr>
          <w:p>
            <w:pPr>
              <w:spacing w:after="0"/>
              <w:rPr>
                <w:sz w:val="20"/>
                <w:szCs w:val="20"/>
                <w:color w:val="auto"/>
              </w:rPr>
            </w:pPr>
            <w:r>
              <w:rPr>
                <w:rFonts w:ascii="Arial" w:cs="Arial" w:eastAsia="Arial" w:hAnsi="Arial"/>
                <w:sz w:val="18"/>
                <w:szCs w:val="18"/>
                <w:color w:val="auto"/>
              </w:rPr>
              <w:t>and General</w:t>
            </w:r>
          </w:p>
        </w:tc>
        <w:tc>
          <w:tcPr>
            <w:tcW w:w="56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2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0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8590A9"/>
            </w:tcBorders>
          </w:tcPr>
          <w:p>
            <w:pPr>
              <w:spacing w:after="0"/>
              <w:rPr>
                <w:sz w:val="5"/>
                <w:szCs w:val="5"/>
                <w:color w:val="auto"/>
              </w:rPr>
            </w:pPr>
          </w:p>
        </w:tc>
        <w:tc>
          <w:tcPr>
            <w:tcW w:w="110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90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8590A9"/>
            </w:tcBorders>
          </w:tcPr>
          <w:p>
            <w:pPr>
              <w:spacing w:after="0"/>
              <w:rPr>
                <w:sz w:val="5"/>
                <w:szCs w:val="5"/>
                <w:color w:val="auto"/>
              </w:rPr>
            </w:pPr>
          </w:p>
        </w:tc>
        <w:tc>
          <w:tcPr>
            <w:tcW w:w="980" w:type="dxa"/>
            <w:vAlign w:val="bottom"/>
            <w:tcBorders>
              <w:top w:val="single" w:sz="8" w:color="8590A9"/>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8590A9"/>
            </w:tcBorders>
          </w:tcPr>
          <w:p>
            <w:pPr>
              <w:spacing w:after="0"/>
              <w:rPr>
                <w:sz w:val="5"/>
                <w:szCs w:val="5"/>
                <w:color w:val="auto"/>
              </w:rPr>
            </w:pPr>
          </w:p>
        </w:tc>
        <w:tc>
          <w:tcPr>
            <w:tcW w:w="1080" w:type="dxa"/>
            <w:vAlign w:val="bottom"/>
            <w:tcBorders>
              <w:top w:val="single" w:sz="8" w:color="8590A9"/>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8590A9"/>
            </w:tcBorders>
          </w:tcPr>
          <w:p>
            <w:pPr>
              <w:spacing w:after="0"/>
              <w:rPr>
                <w:sz w:val="5"/>
                <w:szCs w:val="5"/>
                <w:color w:val="auto"/>
              </w:rPr>
            </w:pPr>
          </w:p>
        </w:tc>
        <w:tc>
          <w:tcPr>
            <w:tcW w:w="1020" w:type="dxa"/>
            <w:vAlign w:val="bottom"/>
            <w:tcBorders>
              <w:top w:val="single" w:sz="8" w:color="8590A9"/>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520" w:type="dxa"/>
            <w:vAlign w:val="bottom"/>
          </w:tcPr>
          <w:p>
            <w:pPr>
              <w:spacing w:after="0"/>
              <w:rPr>
                <w:sz w:val="20"/>
                <w:szCs w:val="20"/>
                <w:color w:val="auto"/>
              </w:rPr>
            </w:pPr>
            <w:r>
              <w:rPr>
                <w:rFonts w:ascii="Arial" w:cs="Arial" w:eastAsia="Arial" w:hAnsi="Arial"/>
                <w:sz w:val="18"/>
                <w:szCs w:val="18"/>
                <w:color w:val="auto"/>
              </w:rPr>
              <w:t>Counsel</w:t>
            </w: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2016</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3,709,007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7,950</w:t>
            </w:r>
          </w:p>
        </w:tc>
        <w:tc>
          <w:tcPr>
            <w:tcW w:w="80" w:type="dxa"/>
            <w:vAlign w:val="bottom"/>
          </w:tcPr>
          <w:p>
            <w:pPr>
              <w:spacing w:after="0"/>
              <w:rPr>
                <w:sz w:val="21"/>
                <w:szCs w:val="21"/>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4,266,957</w:t>
            </w:r>
          </w:p>
        </w:tc>
        <w:tc>
          <w:tcPr>
            <w:tcW w:w="0" w:type="dxa"/>
            <w:vAlign w:val="bottom"/>
          </w:tcPr>
          <w:p>
            <w:pPr>
              <w:spacing w:after="0"/>
              <w:rPr>
                <w:sz w:val="1"/>
                <w:szCs w:val="1"/>
                <w:color w:val="auto"/>
              </w:rPr>
            </w:pPr>
          </w:p>
        </w:tc>
      </w:tr>
      <w:tr>
        <w:trPr>
          <w:trHeight w:val="35"/>
        </w:trPr>
        <w:tc>
          <w:tcPr>
            <w:tcW w:w="152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45988"/>
          </w:tcPr>
          <w:p>
            <w:pPr>
              <w:spacing w:after="0"/>
              <w:rPr>
                <w:sz w:val="3"/>
                <w:szCs w:val="3"/>
                <w:color w:val="auto"/>
              </w:rPr>
            </w:pPr>
          </w:p>
        </w:tc>
        <w:tc>
          <w:tcPr>
            <w:tcW w:w="92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45988"/>
          </w:tcPr>
          <w:p>
            <w:pPr>
              <w:spacing w:after="0"/>
              <w:rPr>
                <w:sz w:val="3"/>
                <w:szCs w:val="3"/>
                <w:color w:val="auto"/>
              </w:rPr>
            </w:pPr>
          </w:p>
        </w:tc>
        <w:tc>
          <w:tcPr>
            <w:tcW w:w="90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345988"/>
          </w:tcPr>
          <w:p>
            <w:pPr>
              <w:spacing w:after="0"/>
              <w:rPr>
                <w:sz w:val="3"/>
                <w:szCs w:val="3"/>
                <w:color w:val="auto"/>
              </w:rPr>
            </w:pPr>
          </w:p>
        </w:tc>
        <w:tc>
          <w:tcPr>
            <w:tcW w:w="11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45988"/>
          </w:tcPr>
          <w:p>
            <w:pPr>
              <w:spacing w:after="0"/>
              <w:rPr>
                <w:sz w:val="3"/>
                <w:szCs w:val="3"/>
                <w:color w:val="auto"/>
              </w:rPr>
            </w:pPr>
          </w:p>
        </w:tc>
        <w:tc>
          <w:tcPr>
            <w:tcW w:w="90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345988"/>
          </w:tcPr>
          <w:p>
            <w:pPr>
              <w:spacing w:after="0"/>
              <w:rPr>
                <w:sz w:val="3"/>
                <w:szCs w:val="3"/>
                <w:color w:val="auto"/>
              </w:rPr>
            </w:pPr>
          </w:p>
        </w:tc>
        <w:tc>
          <w:tcPr>
            <w:tcW w:w="9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shd w:val="clear" w:color="auto" w:fill="345988"/>
          </w:tcPr>
          <w:p>
            <w:pPr>
              <w:spacing w:after="0"/>
              <w:rPr>
                <w:sz w:val="3"/>
                <w:szCs w:val="3"/>
                <w:color w:val="auto"/>
              </w:rPr>
            </w:pPr>
          </w:p>
        </w:tc>
        <w:tc>
          <w:tcPr>
            <w:tcW w:w="108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345988"/>
          </w:tcPr>
          <w:p>
            <w:pPr>
              <w:spacing w:after="0"/>
              <w:rPr>
                <w:sz w:val="3"/>
                <w:szCs w:val="3"/>
                <w:color w:val="auto"/>
              </w:rPr>
            </w:pPr>
          </w:p>
        </w:tc>
        <w:tc>
          <w:tcPr>
            <w:tcW w:w="1020" w:type="dxa"/>
            <w:vAlign w:val="bottom"/>
            <w:shd w:val="clear" w:color="auto" w:fill="34598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right="40" w:hanging="372"/>
        <w:spacing w:after="0" w:line="231" w:lineRule="auto"/>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full grant date fair value of stock awards issued to the executives in 2018, 2017 and 2016, respectively.</w:t>
      </w:r>
    </w:p>
    <w:p>
      <w:pPr>
        <w:spacing w:after="0" w:line="95" w:lineRule="exact"/>
        <w:rPr>
          <w:rFonts w:ascii="Arial" w:cs="Arial" w:eastAsia="Arial" w:hAnsi="Arial"/>
          <w:sz w:val="14"/>
          <w:szCs w:val="14"/>
          <w:color w:val="auto"/>
        </w:rPr>
      </w:pPr>
    </w:p>
    <w:p>
      <w:pPr>
        <w:ind w:left="380" w:right="200" w:hanging="372"/>
        <w:spacing w:after="0" w:line="231" w:lineRule="auto"/>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full grant date fair value of option awards issued to the executives in 2018, 2017 and 2016, respectively.</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table and footnotes below show the components of this column for 2018, which include certain perquisites such as Company 401(k) matching contributions.</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19685</wp:posOffset>
            </wp:positionV>
            <wp:extent cx="57632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63260" cy="17145"/>
                    </a:xfrm>
                    <a:prstGeom prst="rect">
                      <a:avLst/>
                    </a:prstGeom>
                    <a:noFill/>
                  </pic:spPr>
                </pic:pic>
              </a:graphicData>
            </a:graphic>
          </wp:anchor>
        </w:drawing>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wp:posOffset>
            </wp:positionV>
            <wp:extent cx="57632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wp:posOffset>
            </wp:positionV>
            <wp:extent cx="57632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wp:posOffset>
            </wp:positionV>
            <wp:extent cx="57632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26670</wp:posOffset>
            </wp:positionV>
            <wp:extent cx="57632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12065</wp:posOffset>
            </wp:positionV>
            <wp:extent cx="57632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32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45988"/>
        </w:rPr>
        <w:t>All Other</w:t>
      </w:r>
    </w:p>
    <w:p>
      <w:pPr>
        <w:spacing w:after="0" w:line="4" w:lineRule="exact"/>
        <w:rPr>
          <w:sz w:val="20"/>
          <w:szCs w:val="20"/>
          <w:color w:val="auto"/>
        </w:rPr>
      </w:pPr>
    </w:p>
    <w:p>
      <w:pPr>
        <w:jc w:val="both"/>
        <w:ind w:left="120"/>
        <w:spacing w:after="0"/>
        <w:tabs>
          <w:tab w:leader="none" w:pos="640" w:val="left"/>
        </w:tabs>
        <w:rPr>
          <w:sz w:val="20"/>
          <w:szCs w:val="20"/>
          <w:color w:val="auto"/>
        </w:rPr>
      </w:pPr>
      <w:r>
        <w:rPr>
          <w:rFonts w:ascii="Arial" w:cs="Arial" w:eastAsia="Arial" w:hAnsi="Arial"/>
          <w:sz w:val="14"/>
          <w:szCs w:val="14"/>
          <w:b w:val="1"/>
          <w:bCs w:val="1"/>
          <w:color w:val="345988"/>
        </w:rPr>
        <w:t>Year</w:t>
      </w:r>
      <w:r>
        <w:rPr>
          <w:sz w:val="20"/>
          <w:szCs w:val="20"/>
          <w:color w:val="auto"/>
        </w:rPr>
        <w:tab/>
      </w:r>
      <w:r>
        <w:rPr>
          <w:rFonts w:ascii="Arial" w:cs="Arial" w:eastAsia="Arial" w:hAnsi="Arial"/>
          <w:sz w:val="14"/>
          <w:szCs w:val="14"/>
          <w:b w:val="1"/>
          <w:bCs w:val="1"/>
          <w:color w:val="345988"/>
        </w:rPr>
        <w:t>Compensation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11404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40460" cy="17145"/>
                    </a:xfrm>
                    <a:prstGeom prst="rect">
                      <a:avLst/>
                    </a:prstGeom>
                    <a:noFill/>
                  </pic:spPr>
                </pic:pic>
              </a:graphicData>
            </a:graphic>
          </wp:anchor>
        </w:drawing>
      </w:r>
    </w:p>
    <w:p>
      <w:pPr>
        <w:spacing w:after="0" w:line="65" w:lineRule="exact"/>
        <w:rPr>
          <w:sz w:val="20"/>
          <w:szCs w:val="20"/>
          <w:color w:val="auto"/>
        </w:rPr>
      </w:pPr>
    </w:p>
    <w:p>
      <w:pPr>
        <w:spacing w:after="0"/>
        <w:tabs>
          <w:tab w:leader="none" w:pos="540" w:val="left"/>
          <w:tab w:leader="none" w:pos="1000" w:val="left"/>
        </w:tabs>
        <w:rPr>
          <w:sz w:val="20"/>
          <w:szCs w:val="20"/>
          <w:color w:val="auto"/>
        </w:rPr>
      </w:pPr>
      <w:r>
        <w:rPr>
          <w:rFonts w:ascii="Arial" w:cs="Arial" w:eastAsia="Arial" w:hAnsi="Arial"/>
          <w:sz w:val="18"/>
          <w:szCs w:val="18"/>
          <w:color w:val="auto"/>
        </w:rPr>
        <w:t>2018</w:t>
        <w:tab/>
        <w:t>$</w:t>
      </w:r>
      <w:r>
        <w:rPr>
          <w:sz w:val="20"/>
          <w:szCs w:val="20"/>
          <w:color w:val="auto"/>
        </w:rPr>
        <w:tab/>
      </w:r>
      <w:r>
        <w:rPr>
          <w:rFonts w:ascii="Arial" w:cs="Arial" w:eastAsia="Arial" w:hAnsi="Arial"/>
          <w:sz w:val="16"/>
          <w:szCs w:val="16"/>
          <w:color w:val="auto"/>
        </w:rPr>
        <w:t>61,832</w:t>
      </w:r>
      <w:r>
        <w:rPr>
          <w:rFonts w:ascii="Arial" w:cs="Arial" w:eastAsia="Arial" w:hAnsi="Arial"/>
          <w:sz w:val="26"/>
          <w:szCs w:val="26"/>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1404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tabs>
          <w:tab w:leader="none" w:pos="540" w:val="left"/>
          <w:tab w:leader="none" w:pos="900" w:val="left"/>
        </w:tabs>
        <w:rPr>
          <w:sz w:val="20"/>
          <w:szCs w:val="20"/>
          <w:color w:val="auto"/>
        </w:rPr>
      </w:pPr>
      <w:r>
        <w:rPr>
          <w:rFonts w:ascii="Arial" w:cs="Arial" w:eastAsia="Arial" w:hAnsi="Arial"/>
          <w:sz w:val="18"/>
          <w:szCs w:val="18"/>
          <w:color w:val="auto"/>
        </w:rPr>
        <w:t>2018</w:t>
        <w:tab/>
        <w:t>$</w:t>
      </w:r>
      <w:r>
        <w:rPr>
          <w:sz w:val="20"/>
          <w:szCs w:val="20"/>
          <w:color w:val="auto"/>
        </w:rPr>
        <w:tab/>
      </w:r>
      <w:r>
        <w:rPr>
          <w:rFonts w:ascii="Arial" w:cs="Arial" w:eastAsia="Arial" w:hAnsi="Arial"/>
          <w:sz w:val="16"/>
          <w:szCs w:val="16"/>
          <w:color w:val="auto"/>
        </w:rPr>
        <w:t>175,922</w:t>
      </w:r>
      <w:r>
        <w:rPr>
          <w:rFonts w:ascii="Arial" w:cs="Arial" w:eastAsia="Arial" w:hAnsi="Arial"/>
          <w:sz w:val="26"/>
          <w:szCs w:val="26"/>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1404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tabs>
          <w:tab w:leader="none" w:pos="540" w:val="left"/>
          <w:tab w:leader="none" w:pos="1000" w:val="left"/>
        </w:tabs>
        <w:rPr>
          <w:sz w:val="20"/>
          <w:szCs w:val="20"/>
          <w:color w:val="auto"/>
        </w:rPr>
      </w:pPr>
      <w:r>
        <w:rPr>
          <w:rFonts w:ascii="Arial" w:cs="Arial" w:eastAsia="Arial" w:hAnsi="Arial"/>
          <w:sz w:val="18"/>
          <w:szCs w:val="18"/>
          <w:color w:val="auto"/>
        </w:rPr>
        <w:t>2018</w:t>
        <w:tab/>
        <w:t>$</w:t>
      </w:r>
      <w:r>
        <w:rPr>
          <w:sz w:val="20"/>
          <w:szCs w:val="20"/>
          <w:color w:val="auto"/>
        </w:rPr>
        <w:tab/>
      </w:r>
      <w:r>
        <w:rPr>
          <w:rFonts w:ascii="Arial" w:cs="Arial" w:eastAsia="Arial" w:hAnsi="Arial"/>
          <w:sz w:val="16"/>
          <w:szCs w:val="16"/>
          <w:color w:val="auto"/>
        </w:rPr>
        <w:t>42,923</w:t>
      </w:r>
      <w:r>
        <w:rPr>
          <w:rFonts w:ascii="Arial" w:cs="Arial" w:eastAsia="Arial" w:hAnsi="Arial"/>
          <w:sz w:val="26"/>
          <w:szCs w:val="26"/>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1404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tabs>
          <w:tab w:leader="none" w:pos="540" w:val="left"/>
          <w:tab w:leader="none" w:pos="1000" w:val="left"/>
        </w:tabs>
        <w:rPr>
          <w:sz w:val="20"/>
          <w:szCs w:val="20"/>
          <w:color w:val="auto"/>
        </w:rPr>
      </w:pPr>
      <w:r>
        <w:rPr>
          <w:rFonts w:ascii="Arial" w:cs="Arial" w:eastAsia="Arial" w:hAnsi="Arial"/>
          <w:sz w:val="18"/>
          <w:szCs w:val="18"/>
          <w:color w:val="auto"/>
        </w:rPr>
        <w:t>2018</w:t>
        <w:tab/>
        <w:t>$</w:t>
      </w:r>
      <w:r>
        <w:rPr>
          <w:sz w:val="20"/>
          <w:szCs w:val="20"/>
          <w:color w:val="auto"/>
        </w:rPr>
        <w:tab/>
      </w:r>
      <w:r>
        <w:rPr>
          <w:rFonts w:ascii="Arial" w:cs="Arial" w:eastAsia="Arial" w:hAnsi="Arial"/>
          <w:sz w:val="16"/>
          <w:szCs w:val="16"/>
          <w:color w:val="auto"/>
        </w:rPr>
        <w:t>11,000</w:t>
      </w:r>
      <w:r>
        <w:rPr>
          <w:rFonts w:ascii="Arial" w:cs="Arial" w:eastAsia="Arial" w:hAnsi="Arial"/>
          <w:sz w:val="26"/>
          <w:szCs w:val="26"/>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1404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tabs>
          <w:tab w:leader="none" w:pos="540" w:val="left"/>
          <w:tab w:leader="none" w:pos="1000" w:val="left"/>
        </w:tabs>
        <w:rPr>
          <w:sz w:val="20"/>
          <w:szCs w:val="20"/>
          <w:color w:val="auto"/>
        </w:rPr>
      </w:pPr>
      <w:r>
        <w:rPr>
          <w:rFonts w:ascii="Arial" w:cs="Arial" w:eastAsia="Arial" w:hAnsi="Arial"/>
          <w:sz w:val="18"/>
          <w:szCs w:val="18"/>
          <w:color w:val="auto"/>
        </w:rPr>
        <w:t>2018</w:t>
        <w:tab/>
        <w:t>$</w:t>
      </w:r>
      <w:r>
        <w:rPr>
          <w:sz w:val="20"/>
          <w:szCs w:val="20"/>
          <w:color w:val="auto"/>
        </w:rPr>
        <w:tab/>
      </w:r>
      <w:r>
        <w:rPr>
          <w:rFonts w:ascii="Arial" w:cs="Arial" w:eastAsia="Arial" w:hAnsi="Arial"/>
          <w:sz w:val="16"/>
          <w:szCs w:val="16"/>
          <w:color w:val="auto"/>
        </w:rPr>
        <w:t>11,000</w:t>
      </w:r>
      <w:r>
        <w:rPr>
          <w:rFonts w:ascii="Arial" w:cs="Arial" w:eastAsia="Arial" w:hAnsi="Arial"/>
          <w:sz w:val="26"/>
          <w:szCs w:val="26"/>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1404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404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0" w:space="720"/>
            <w:col w:w="1800"/>
          </w:cols>
          <w:pgMar w:left="240" w:top="121" w:right="239" w:bottom="1440" w:gutter="0" w:footer="0" w:header="0"/>
          <w:type w:val="continuous"/>
        </w:sectPr>
      </w:pPr>
    </w:p>
    <w:p>
      <w:pPr>
        <w:spacing w:after="0" w:line="24" w:lineRule="exact"/>
        <w:rPr>
          <w:sz w:val="20"/>
          <w:szCs w:val="20"/>
          <w:color w:val="auto"/>
        </w:rPr>
      </w:pPr>
    </w:p>
    <w:p>
      <w:pPr>
        <w:ind w:left="760" w:right="240" w:hanging="374"/>
        <w:spacing w:after="0" w:line="228" w:lineRule="auto"/>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($11,000), (ii) leased car payments ($36,115) and (iii) life insurance premiums ($14,717). The Company’s 401(k) matching contributions are credited in the year subsequent to which employees make their contributions.</w:t>
      </w:r>
    </w:p>
    <w:p>
      <w:pPr>
        <w:spacing w:after="0" w:line="94" w:lineRule="exact"/>
        <w:rPr>
          <w:rFonts w:ascii="Arial" w:cs="Arial" w:eastAsia="Arial" w:hAnsi="Arial"/>
          <w:sz w:val="14"/>
          <w:szCs w:val="14"/>
          <w:color w:val="auto"/>
        </w:rPr>
      </w:pPr>
    </w:p>
    <w:p>
      <w:pPr>
        <w:ind w:left="760" w:hanging="374"/>
        <w:spacing w:after="0"/>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leased car ($34,204) and full-time driver payments ($141,718).</w:t>
      </w:r>
    </w:p>
    <w:p>
      <w:pPr>
        <w:spacing w:after="0" w:line="95" w:lineRule="exact"/>
        <w:rPr>
          <w:rFonts w:ascii="Arial" w:cs="Arial" w:eastAsia="Arial" w:hAnsi="Arial"/>
          <w:sz w:val="14"/>
          <w:szCs w:val="14"/>
          <w:color w:val="auto"/>
        </w:rPr>
      </w:pPr>
    </w:p>
    <w:p>
      <w:pPr>
        <w:ind w:left="760" w:right="360" w:hanging="374"/>
        <w:spacing w:after="0" w:line="231" w:lineRule="auto"/>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($11,000) and leased car payments ($31,923). The Company’s 401(k) matching contributions are credited in the year subsequent to which employees make their contributions.</w:t>
      </w:r>
    </w:p>
    <w:p>
      <w:pPr>
        <w:spacing w:after="0" w:line="95" w:lineRule="exact"/>
        <w:rPr>
          <w:rFonts w:ascii="Arial" w:cs="Arial" w:eastAsia="Arial" w:hAnsi="Arial"/>
          <w:sz w:val="14"/>
          <w:szCs w:val="14"/>
          <w:color w:val="auto"/>
        </w:rPr>
      </w:pPr>
    </w:p>
    <w:p>
      <w:pPr>
        <w:ind w:left="760" w:right="460" w:hanging="374"/>
        <w:spacing w:after="0" w:line="231" w:lineRule="auto"/>
        <w:tabs>
          <w:tab w:leader="none" w:pos="7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($11,000). The Company’s 401(k) matching contributions are credited in the year subsequent to which employees make their contributions.</w:t>
      </w:r>
    </w:p>
    <w:p>
      <w:pPr>
        <w:sectPr>
          <w:pgSz w:w="11900" w:h="16838" w:orient="portrait"/>
          <w:cols w:equalWidth="0" w:num="1">
            <w:col w:w="11420"/>
          </w:cols>
          <w:pgMar w:left="240" w:top="121" w:right="239" w:bottom="1440" w:gutter="0" w:footer="0" w:header="0"/>
          <w:type w:val="continuous"/>
        </w:sectPr>
      </w:pPr>
    </w:p>
    <w:p>
      <w:pPr>
        <w:spacing w:after="0" w:line="207"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2018 Grants of Plan-Based Awards</w:t>
      </w:r>
    </w:p>
    <w:p>
      <w:pPr>
        <w:spacing w:after="0" w:line="23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All 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Grant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Awards: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Date Fair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10"/>
            <w:vMerge w:val="restart"/>
          </w:tcPr>
          <w:p>
            <w:pPr>
              <w:jc w:val="right"/>
              <w:ind w:right="280"/>
              <w:spacing w:after="0"/>
              <w:rPr>
                <w:sz w:val="20"/>
                <w:szCs w:val="20"/>
                <w:color w:val="auto"/>
              </w:rPr>
            </w:pPr>
            <w:r>
              <w:rPr>
                <w:rFonts w:ascii="Arial" w:cs="Arial" w:eastAsia="Arial" w:hAnsi="Arial"/>
                <w:sz w:val="14"/>
                <w:szCs w:val="14"/>
                <w:b w:val="1"/>
                <w:bCs w:val="1"/>
                <w:color w:val="345988"/>
                <w:w w:val="96"/>
              </w:rPr>
              <w:t>Estimated Possible Payouts Under Non-Equity</w:t>
            </w:r>
          </w:p>
        </w:tc>
        <w:tc>
          <w:tcPr>
            <w:tcW w:w="23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345988"/>
                <w:w w:val="96"/>
              </w:rPr>
              <w:t>Estimated Future Payouts Under</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Value of</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300" w:type="dxa"/>
            <w:vAlign w:val="bottom"/>
            <w:gridSpan w:val="10"/>
            <w:vMerge w:val="continue"/>
          </w:tcPr>
          <w:p>
            <w:pPr>
              <w:spacing w:after="0"/>
              <w:rPr>
                <w:sz w:val="7"/>
                <w:szCs w:val="7"/>
                <w:color w:val="auto"/>
              </w:rPr>
            </w:pPr>
          </w:p>
        </w:tc>
        <w:tc>
          <w:tcPr>
            <w:tcW w:w="2340" w:type="dxa"/>
            <w:vAlign w:val="bottom"/>
            <w:gridSpan w:val="6"/>
            <w:vMerge w:val="continue"/>
          </w:tcPr>
          <w:p>
            <w:pPr>
              <w:spacing w:after="0"/>
              <w:rPr>
                <w:sz w:val="7"/>
                <w:szCs w:val="7"/>
                <w:color w:val="auto"/>
              </w:rPr>
            </w:pPr>
          </w:p>
        </w:tc>
        <w:tc>
          <w:tcPr>
            <w:tcW w:w="70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b w:val="1"/>
                <w:bCs w:val="1"/>
                <w:color w:val="345988"/>
                <w:w w:val="93"/>
              </w:rPr>
              <w:t>of Shares</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345988"/>
              </w:rPr>
              <w:t>Stock and</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8"/>
            <w:vMerge w:val="restart"/>
          </w:tcPr>
          <w:p>
            <w:pPr>
              <w:jc w:val="right"/>
              <w:ind w:right="80"/>
              <w:spacing w:after="0"/>
              <w:rPr>
                <w:sz w:val="20"/>
                <w:szCs w:val="20"/>
                <w:color w:val="auto"/>
              </w:rPr>
            </w:pPr>
            <w:r>
              <w:rPr>
                <w:rFonts w:ascii="Arial" w:cs="Arial" w:eastAsia="Arial" w:hAnsi="Arial"/>
                <w:sz w:val="14"/>
                <w:szCs w:val="14"/>
                <w:b w:val="1"/>
                <w:bCs w:val="1"/>
                <w:color w:val="345988"/>
              </w:rPr>
              <w:t>Incentive Plan Awards</w:t>
            </w: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3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345988"/>
                <w:w w:val="97"/>
              </w:rPr>
              <w:t>Equity Incentive Plan Awards</w:t>
            </w: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8"/>
            <w:vMerge w:val="continue"/>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700" w:type="dxa"/>
            <w:vAlign w:val="bottom"/>
            <w:gridSpan w:val="2"/>
          </w:tcPr>
          <w:p>
            <w:pPr>
              <w:jc w:val="right"/>
              <w:ind w:right="80"/>
              <w:spacing w:after="0" w:line="132" w:lineRule="exact"/>
              <w:rPr>
                <w:sz w:val="20"/>
                <w:szCs w:val="20"/>
                <w:color w:val="auto"/>
              </w:rPr>
            </w:pPr>
            <w:r>
              <w:rPr>
                <w:rFonts w:ascii="Arial" w:cs="Arial" w:eastAsia="Arial" w:hAnsi="Arial"/>
                <w:sz w:val="14"/>
                <w:szCs w:val="14"/>
                <w:b w:val="1"/>
                <w:bCs w:val="1"/>
                <w:color w:val="345988"/>
              </w:rPr>
              <w:t>of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4"/>
                <w:szCs w:val="14"/>
                <w:b w:val="1"/>
                <w:bCs w:val="1"/>
                <w:color w:val="345988"/>
              </w:rPr>
              <w:t>Option</w:t>
            </w: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345988"/>
              </w:rPr>
              <w:t>Approval</w:t>
            </w:r>
          </w:p>
        </w:tc>
        <w:tc>
          <w:tcPr>
            <w:tcW w:w="80" w:type="dxa"/>
            <w:vAlign w:val="bottom"/>
          </w:tcPr>
          <w:p>
            <w:pPr>
              <w:spacing w:after="0"/>
              <w:rPr>
                <w:sz w:val="12"/>
                <w:szCs w:val="12"/>
                <w:color w:val="auto"/>
              </w:rPr>
            </w:pPr>
          </w:p>
        </w:tc>
        <w:tc>
          <w:tcPr>
            <w:tcW w:w="100" w:type="dxa"/>
            <w:vAlign w:val="bottom"/>
            <w:tcBorders>
              <w:top w:val="single" w:sz="8" w:color="345988"/>
            </w:tcBorders>
          </w:tcPr>
          <w:p>
            <w:pPr>
              <w:spacing w:after="0"/>
              <w:rPr>
                <w:sz w:val="12"/>
                <w:szCs w:val="12"/>
                <w:color w:val="auto"/>
              </w:rPr>
            </w:pPr>
          </w:p>
        </w:tc>
        <w:tc>
          <w:tcPr>
            <w:tcW w:w="960" w:type="dxa"/>
            <w:vAlign w:val="bottom"/>
            <w:tcBorders>
              <w:top w:val="single" w:sz="8" w:color="345988"/>
            </w:tcBorders>
            <w:gridSpan w:val="2"/>
          </w:tcPr>
          <w:p>
            <w:pPr>
              <w:ind w:left="220"/>
              <w:spacing w:after="0" w:line="145" w:lineRule="exact"/>
              <w:rPr>
                <w:sz w:val="20"/>
                <w:szCs w:val="20"/>
                <w:color w:val="auto"/>
              </w:rPr>
            </w:pPr>
            <w:r>
              <w:rPr>
                <w:rFonts w:ascii="Arial" w:cs="Arial" w:eastAsia="Arial" w:hAnsi="Arial"/>
                <w:sz w:val="14"/>
                <w:szCs w:val="14"/>
                <w:b w:val="1"/>
                <w:bCs w:val="1"/>
                <w:color w:val="345988"/>
              </w:rPr>
              <w:t>Threshold</w:t>
            </w:r>
          </w:p>
        </w:tc>
        <w:tc>
          <w:tcPr>
            <w:tcW w:w="80" w:type="dxa"/>
            <w:vAlign w:val="bottom"/>
            <w:tcBorders>
              <w:top w:val="single" w:sz="8" w:color="345988"/>
            </w:tcBorders>
          </w:tcPr>
          <w:p>
            <w:pPr>
              <w:spacing w:after="0"/>
              <w:rPr>
                <w:sz w:val="12"/>
                <w:szCs w:val="12"/>
                <w:color w:val="auto"/>
              </w:rPr>
            </w:pPr>
          </w:p>
        </w:tc>
        <w:tc>
          <w:tcPr>
            <w:tcW w:w="160" w:type="dxa"/>
            <w:vAlign w:val="bottom"/>
            <w:tcBorders>
              <w:top w:val="single" w:sz="8" w:color="345988"/>
            </w:tcBorders>
          </w:tcPr>
          <w:p>
            <w:pPr>
              <w:spacing w:after="0"/>
              <w:rPr>
                <w:sz w:val="12"/>
                <w:szCs w:val="12"/>
                <w:color w:val="auto"/>
              </w:rPr>
            </w:pPr>
          </w:p>
        </w:tc>
        <w:tc>
          <w:tcPr>
            <w:tcW w:w="880" w:type="dxa"/>
            <w:vAlign w:val="bottom"/>
            <w:tcBorders>
              <w:top w:val="single" w:sz="8" w:color="345988"/>
            </w:tcBorders>
            <w:gridSpan w:val="2"/>
          </w:tcPr>
          <w:p>
            <w:pPr>
              <w:jc w:val="right"/>
              <w:ind w:right="80"/>
              <w:spacing w:after="0" w:line="145" w:lineRule="exact"/>
              <w:rPr>
                <w:sz w:val="20"/>
                <w:szCs w:val="20"/>
                <w:color w:val="auto"/>
              </w:rPr>
            </w:pPr>
            <w:r>
              <w:rPr>
                <w:rFonts w:ascii="Arial" w:cs="Arial" w:eastAsia="Arial" w:hAnsi="Arial"/>
                <w:sz w:val="14"/>
                <w:szCs w:val="14"/>
                <w:b w:val="1"/>
                <w:bCs w:val="1"/>
                <w:color w:val="345988"/>
              </w:rPr>
              <w:t>Target</w:t>
            </w:r>
          </w:p>
        </w:tc>
        <w:tc>
          <w:tcPr>
            <w:tcW w:w="80" w:type="dxa"/>
            <w:vAlign w:val="bottom"/>
            <w:tcBorders>
              <w:top w:val="single" w:sz="8" w:color="345988"/>
            </w:tcBorders>
          </w:tcPr>
          <w:p>
            <w:pPr>
              <w:spacing w:after="0"/>
              <w:rPr>
                <w:sz w:val="12"/>
                <w:szCs w:val="12"/>
                <w:color w:val="auto"/>
              </w:rPr>
            </w:pPr>
          </w:p>
        </w:tc>
        <w:tc>
          <w:tcPr>
            <w:tcW w:w="160" w:type="dxa"/>
            <w:vAlign w:val="bottom"/>
            <w:tcBorders>
              <w:top w:val="single" w:sz="8" w:color="345988"/>
            </w:tcBorders>
          </w:tcPr>
          <w:p>
            <w:pPr>
              <w:spacing w:after="0"/>
              <w:rPr>
                <w:sz w:val="12"/>
                <w:szCs w:val="12"/>
                <w:color w:val="auto"/>
              </w:rPr>
            </w:pPr>
          </w:p>
        </w:tc>
        <w:tc>
          <w:tcPr>
            <w:tcW w:w="820" w:type="dxa"/>
            <w:vAlign w:val="bottom"/>
            <w:tcBorders>
              <w:top w:val="single" w:sz="8" w:color="345988"/>
            </w:tcBorders>
          </w:tcPr>
          <w:p>
            <w:pPr>
              <w:jc w:val="right"/>
              <w:spacing w:after="0" w:line="145" w:lineRule="exact"/>
              <w:rPr>
                <w:sz w:val="20"/>
                <w:szCs w:val="20"/>
                <w:color w:val="auto"/>
              </w:rPr>
            </w:pPr>
            <w:r>
              <w:rPr>
                <w:rFonts w:ascii="Arial" w:cs="Arial" w:eastAsia="Arial" w:hAnsi="Arial"/>
                <w:sz w:val="14"/>
                <w:szCs w:val="14"/>
                <w:b w:val="1"/>
                <w:bCs w:val="1"/>
                <w:color w:val="345988"/>
              </w:rPr>
              <w:t>Maximum</w:t>
            </w:r>
          </w:p>
        </w:tc>
        <w:tc>
          <w:tcPr>
            <w:tcW w:w="160" w:type="dxa"/>
            <w:vAlign w:val="bottom"/>
          </w:tcPr>
          <w:p>
            <w:pPr>
              <w:spacing w:after="0"/>
              <w:rPr>
                <w:sz w:val="12"/>
                <w:szCs w:val="12"/>
                <w:color w:val="auto"/>
              </w:rPr>
            </w:pPr>
          </w:p>
        </w:tc>
        <w:tc>
          <w:tcPr>
            <w:tcW w:w="820" w:type="dxa"/>
            <w:vAlign w:val="bottom"/>
            <w:tcBorders>
              <w:top w:val="single" w:sz="8" w:color="345988"/>
            </w:tcBorders>
            <w:gridSpan w:val="2"/>
          </w:tcPr>
          <w:p>
            <w:pPr>
              <w:jc w:val="right"/>
              <w:ind w:right="160"/>
              <w:spacing w:after="0" w:line="145" w:lineRule="exact"/>
              <w:rPr>
                <w:sz w:val="20"/>
                <w:szCs w:val="20"/>
                <w:color w:val="auto"/>
              </w:rPr>
            </w:pPr>
            <w:r>
              <w:rPr>
                <w:rFonts w:ascii="Arial" w:cs="Arial" w:eastAsia="Arial" w:hAnsi="Arial"/>
                <w:sz w:val="14"/>
                <w:szCs w:val="14"/>
                <w:b w:val="1"/>
                <w:bCs w:val="1"/>
                <w:color w:val="345988"/>
                <w:w w:val="94"/>
              </w:rPr>
              <w:t>Threshold</w:t>
            </w:r>
          </w:p>
        </w:tc>
        <w:tc>
          <w:tcPr>
            <w:tcW w:w="720" w:type="dxa"/>
            <w:vAlign w:val="bottom"/>
            <w:tcBorders>
              <w:top w:val="single" w:sz="8" w:color="345988"/>
            </w:tcBorders>
            <w:gridSpan w:val="2"/>
          </w:tcPr>
          <w:p>
            <w:pPr>
              <w:jc w:val="right"/>
              <w:ind w:right="160"/>
              <w:spacing w:after="0" w:line="145" w:lineRule="exact"/>
              <w:rPr>
                <w:sz w:val="20"/>
                <w:szCs w:val="20"/>
                <w:color w:val="auto"/>
              </w:rPr>
            </w:pPr>
            <w:r>
              <w:rPr>
                <w:rFonts w:ascii="Arial" w:cs="Arial" w:eastAsia="Arial" w:hAnsi="Arial"/>
                <w:sz w:val="14"/>
                <w:szCs w:val="14"/>
                <w:b w:val="1"/>
                <w:bCs w:val="1"/>
                <w:color w:val="345988"/>
              </w:rPr>
              <w:t>Target</w:t>
            </w:r>
          </w:p>
        </w:tc>
        <w:tc>
          <w:tcPr>
            <w:tcW w:w="640" w:type="dxa"/>
            <w:vAlign w:val="bottom"/>
            <w:tcBorders>
              <w:top w:val="single" w:sz="8" w:color="345988"/>
            </w:tcBorders>
          </w:tcPr>
          <w:p>
            <w:pPr>
              <w:jc w:val="right"/>
              <w:spacing w:after="0" w:line="145" w:lineRule="exact"/>
              <w:rPr>
                <w:sz w:val="20"/>
                <w:szCs w:val="20"/>
                <w:color w:val="auto"/>
              </w:rPr>
            </w:pPr>
            <w:r>
              <w:rPr>
                <w:rFonts w:ascii="Arial" w:cs="Arial" w:eastAsia="Arial" w:hAnsi="Arial"/>
                <w:sz w:val="14"/>
                <w:szCs w:val="14"/>
                <w:b w:val="1"/>
                <w:bCs w:val="1"/>
                <w:color w:val="345988"/>
                <w:w w:val="95"/>
              </w:rPr>
              <w:t>Maximum</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345988"/>
              </w:rPr>
              <w:t>or Units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b w:val="1"/>
                <w:bCs w:val="1"/>
                <w:color w:val="345988"/>
              </w:rPr>
              <w:t>Awards</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w w:val="94"/>
              </w:rPr>
              <w:t>Grant Date</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Date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0" w:type="dxa"/>
            <w:vAlign w:val="bottom"/>
          </w:tcPr>
          <w:p>
            <w:pPr>
              <w:spacing w:after="0"/>
              <w:rPr>
                <w:sz w:val="1"/>
                <w:szCs w:val="1"/>
                <w:color w:val="auto"/>
              </w:rPr>
            </w:pPr>
          </w:p>
        </w:tc>
      </w:tr>
      <w:tr>
        <w:trPr>
          <w:trHeight w:val="34"/>
        </w:trPr>
        <w:tc>
          <w:tcPr>
            <w:tcW w:w="21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88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45988"/>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45988"/>
          </w:tcPr>
          <w:p>
            <w:pPr>
              <w:spacing w:after="0"/>
              <w:rPr>
                <w:sz w:val="2"/>
                <w:szCs w:val="2"/>
                <w:color w:val="auto"/>
              </w:rPr>
            </w:pPr>
          </w:p>
        </w:tc>
        <w:tc>
          <w:tcPr>
            <w:tcW w:w="8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70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80" w:type="dxa"/>
            <w:vAlign w:val="bottom"/>
            <w:shd w:val="clear" w:color="auto" w:fill="D0D3DB"/>
          </w:tcPr>
          <w:p>
            <w:pPr>
              <w:spacing w:after="0"/>
              <w:rPr>
                <w:sz w:val="20"/>
                <w:szCs w:val="20"/>
                <w:color w:val="auto"/>
              </w:rPr>
            </w:pPr>
            <w:r>
              <w:rPr>
                <w:rFonts w:ascii="Arial" w:cs="Arial" w:eastAsia="Arial" w:hAnsi="Arial"/>
                <w:sz w:val="14"/>
                <w:szCs w:val="14"/>
                <w:color w:val="auto"/>
              </w:rPr>
              <w:t>Marc Holliday</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00" w:type="dxa"/>
            <w:vAlign w:val="bottom"/>
            <w:shd w:val="clear" w:color="auto" w:fill="D0D3DB"/>
          </w:tcPr>
          <w:p>
            <w:pPr>
              <w:spacing w:after="0"/>
              <w:rPr>
                <w:sz w:val="24"/>
                <w:szCs w:val="24"/>
                <w:color w:val="auto"/>
              </w:rPr>
            </w:pPr>
          </w:p>
        </w:tc>
        <w:tc>
          <w:tcPr>
            <w:tcW w:w="880" w:type="dxa"/>
            <w:vAlign w:val="bottom"/>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88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98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w w:val="98"/>
              </w:rPr>
              <w:t>47,269</w:t>
            </w:r>
            <w:r>
              <w:rPr>
                <w:rFonts w:ascii="Arial" w:cs="Arial" w:eastAsia="Arial" w:hAnsi="Arial"/>
                <w:sz w:val="22"/>
                <w:szCs w:val="22"/>
                <w:color w:val="auto"/>
                <w:w w:val="98"/>
                <w:vertAlign w:val="superscript"/>
              </w:rPr>
              <w:t>(1)</w:t>
            </w:r>
          </w:p>
        </w:tc>
        <w:tc>
          <w:tcPr>
            <w:tcW w:w="220" w:type="dxa"/>
            <w:vAlign w:val="bottom"/>
            <w:gridSpan w:val="2"/>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rPr>
              <w:t>3,723,036</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61,584</w:t>
            </w:r>
            <w:r>
              <w:rPr>
                <w:rFonts w:ascii="Arial" w:cs="Arial" w:eastAsia="Arial" w:hAnsi="Arial"/>
                <w:sz w:val="22"/>
                <w:szCs w:val="22"/>
                <w:color w:val="auto"/>
                <w:w w:val="98"/>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4,850,525</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01/18/2018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02/10/2016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7,692</w:t>
            </w:r>
            <w:r>
              <w:rPr>
                <w:rFonts w:ascii="Arial" w:cs="Arial" w:eastAsia="Arial" w:hAnsi="Arial"/>
                <w:sz w:val="22"/>
                <w:szCs w:val="22"/>
                <w:color w:val="auto"/>
                <w:vertAlign w:val="superscript"/>
              </w:rPr>
              <w:t>(3)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723,894</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1,250,000</w:t>
            </w:r>
            <w:r>
              <w:rPr>
                <w:rFonts w:ascii="Arial" w:cs="Arial" w:eastAsia="Arial" w:hAnsi="Arial"/>
                <w:sz w:val="22"/>
                <w:szCs w:val="22"/>
                <w:color w:val="auto"/>
                <w:vertAlign w:val="superscript"/>
              </w:rPr>
              <w:t>(6)</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2,500,000</w:t>
            </w:r>
            <w:r>
              <w:rPr>
                <w:rFonts w:ascii="Arial" w:cs="Arial" w:eastAsia="Arial" w:hAnsi="Arial"/>
                <w:sz w:val="22"/>
                <w:szCs w:val="22"/>
                <w:color w:val="auto"/>
                <w:w w:val="97"/>
                <w:vertAlign w:val="superscript"/>
              </w:rPr>
              <w:t>(6)</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3,750,000</w:t>
            </w:r>
            <w:r>
              <w:rPr>
                <w:rFonts w:ascii="Arial" w:cs="Arial" w:eastAsia="Arial" w:hAnsi="Arial"/>
                <w:sz w:val="22"/>
                <w:szCs w:val="22"/>
                <w:color w:val="auto"/>
                <w:w w:val="99"/>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0"/>
                <w:szCs w:val="20"/>
                <w:color w:val="auto"/>
              </w:rPr>
            </w:pPr>
            <w:r>
              <w:rPr>
                <w:rFonts w:ascii="Arial" w:cs="Arial" w:eastAsia="Arial" w:hAnsi="Arial"/>
                <w:sz w:val="14"/>
                <w:szCs w:val="14"/>
                <w:color w:val="auto"/>
              </w:rPr>
              <w:t>Stephen L. Green</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01/01/2018</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12/09/2009</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00" w:type="dxa"/>
            <w:vAlign w:val="bottom"/>
            <w:shd w:val="clear" w:color="auto" w:fill="D0D3DB"/>
          </w:tcPr>
          <w:p>
            <w:pPr>
              <w:spacing w:after="0"/>
              <w:rPr>
                <w:sz w:val="24"/>
                <w:szCs w:val="24"/>
                <w:color w:val="auto"/>
              </w:rPr>
            </w:pPr>
          </w:p>
        </w:tc>
        <w:tc>
          <w:tcPr>
            <w:tcW w:w="880" w:type="dxa"/>
            <w:vAlign w:val="bottom"/>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88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98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1,482</w:t>
            </w:r>
            <w:r>
              <w:rPr>
                <w:rFonts w:ascii="Arial" w:cs="Arial" w:eastAsia="Arial" w:hAnsi="Arial"/>
                <w:sz w:val="22"/>
                <w:szCs w:val="22"/>
                <w:color w:val="auto"/>
                <w:vertAlign w:val="superscript"/>
              </w:rPr>
              <w:t>(4)</w:t>
            </w:r>
          </w:p>
        </w:tc>
        <w:tc>
          <w:tcPr>
            <w:tcW w:w="220" w:type="dxa"/>
            <w:vAlign w:val="bottom"/>
            <w:gridSpan w:val="2"/>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rPr>
              <w:t>149,578</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4,311</w:t>
            </w:r>
            <w:r>
              <w:rPr>
                <w:rFonts w:ascii="Arial" w:cs="Arial" w:eastAsia="Arial" w:hAnsi="Arial"/>
                <w:sz w:val="22"/>
                <w:szCs w:val="22"/>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339,546</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750,000</w:t>
            </w:r>
            <w:r>
              <w:rPr>
                <w:rFonts w:ascii="Arial" w:cs="Arial" w:eastAsia="Arial" w:hAnsi="Arial"/>
                <w:sz w:val="22"/>
                <w:szCs w:val="22"/>
                <w:color w:val="auto"/>
                <w:vertAlign w:val="superscript"/>
              </w:rPr>
              <w:t>(6)</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1,312,500</w:t>
            </w:r>
            <w:r>
              <w:rPr>
                <w:rFonts w:ascii="Arial" w:cs="Arial" w:eastAsia="Arial" w:hAnsi="Arial"/>
                <w:sz w:val="22"/>
                <w:szCs w:val="22"/>
                <w:color w:val="auto"/>
                <w:w w:val="97"/>
                <w:vertAlign w:val="superscript"/>
              </w:rPr>
              <w:t>(6)</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1,875,000</w:t>
            </w:r>
            <w:r>
              <w:rPr>
                <w:rFonts w:ascii="Arial" w:cs="Arial" w:eastAsia="Arial" w:hAnsi="Arial"/>
                <w:sz w:val="22"/>
                <w:szCs w:val="22"/>
                <w:color w:val="auto"/>
                <w:w w:val="99"/>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0"/>
                <w:szCs w:val="20"/>
                <w:color w:val="auto"/>
              </w:rPr>
            </w:pPr>
            <w:r>
              <w:rPr>
                <w:rFonts w:ascii="Arial" w:cs="Arial" w:eastAsia="Arial" w:hAnsi="Arial"/>
                <w:sz w:val="14"/>
                <w:szCs w:val="14"/>
                <w:color w:val="auto"/>
              </w:rPr>
              <w:t>Andrew Mathias</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01/01/2018</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12/13/2016</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00" w:type="dxa"/>
            <w:vAlign w:val="bottom"/>
            <w:shd w:val="clear" w:color="auto" w:fill="D0D3DB"/>
          </w:tcPr>
          <w:p>
            <w:pPr>
              <w:spacing w:after="0"/>
              <w:rPr>
                <w:sz w:val="24"/>
                <w:szCs w:val="24"/>
                <w:color w:val="auto"/>
              </w:rPr>
            </w:pPr>
          </w:p>
        </w:tc>
        <w:tc>
          <w:tcPr>
            <w:tcW w:w="880" w:type="dxa"/>
            <w:vAlign w:val="bottom"/>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88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98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5,436</w:t>
            </w:r>
            <w:r>
              <w:rPr>
                <w:rFonts w:ascii="Arial" w:cs="Arial" w:eastAsia="Arial" w:hAnsi="Arial"/>
                <w:sz w:val="22"/>
                <w:szCs w:val="22"/>
                <w:color w:val="auto"/>
                <w:vertAlign w:val="superscript"/>
              </w:rPr>
              <w:t>(4)</w:t>
            </w:r>
          </w:p>
        </w:tc>
        <w:tc>
          <w:tcPr>
            <w:tcW w:w="220" w:type="dxa"/>
            <w:vAlign w:val="bottom"/>
            <w:gridSpan w:val="2"/>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rPr>
              <w:t>548,655</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37,698</w:t>
            </w:r>
            <w:r>
              <w:rPr>
                <w:rFonts w:ascii="Arial" w:cs="Arial" w:eastAsia="Arial" w:hAnsi="Arial"/>
                <w:sz w:val="22"/>
                <w:szCs w:val="22"/>
                <w:color w:val="auto"/>
                <w:w w:val="98"/>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2,969,198</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56,000</w:t>
            </w:r>
            <w:r>
              <w:rPr>
                <w:rFonts w:ascii="Arial" w:cs="Arial" w:eastAsia="Arial" w:hAnsi="Arial"/>
                <w:sz w:val="22"/>
                <w:szCs w:val="22"/>
                <w:color w:val="auto"/>
                <w:w w:val="98"/>
                <w:vertAlign w:val="superscript"/>
              </w:rPr>
              <w:t>(5)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4,544,372</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12/21/2018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12/21/2018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21,224</w:t>
            </w:r>
            <w:r>
              <w:rPr>
                <w:rFonts w:ascii="Arial" w:cs="Arial" w:eastAsia="Arial" w:hAnsi="Arial"/>
                <w:sz w:val="22"/>
                <w:szCs w:val="22"/>
                <w:color w:val="auto"/>
                <w:w w:val="98"/>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1,409,189</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900,000</w:t>
            </w:r>
            <w:r>
              <w:rPr>
                <w:rFonts w:ascii="Arial" w:cs="Arial" w:eastAsia="Arial" w:hAnsi="Arial"/>
                <w:sz w:val="22"/>
                <w:szCs w:val="22"/>
                <w:color w:val="auto"/>
                <w:vertAlign w:val="superscript"/>
              </w:rPr>
              <w:t>(6)</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1,575,000</w:t>
            </w:r>
            <w:r>
              <w:rPr>
                <w:rFonts w:ascii="Arial" w:cs="Arial" w:eastAsia="Arial" w:hAnsi="Arial"/>
                <w:sz w:val="22"/>
                <w:szCs w:val="22"/>
                <w:color w:val="auto"/>
                <w:w w:val="97"/>
                <w:vertAlign w:val="superscript"/>
              </w:rPr>
              <w:t>(6)</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2,250,000</w:t>
            </w:r>
            <w:r>
              <w:rPr>
                <w:rFonts w:ascii="Arial" w:cs="Arial" w:eastAsia="Arial" w:hAnsi="Arial"/>
                <w:sz w:val="22"/>
                <w:szCs w:val="22"/>
                <w:color w:val="auto"/>
                <w:w w:val="99"/>
                <w:vertAlign w:val="superscript"/>
              </w:rPr>
              <w:t>(6)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0"/>
                <w:szCs w:val="20"/>
                <w:color w:val="auto"/>
              </w:rPr>
            </w:pPr>
            <w:r>
              <w:rPr>
                <w:rFonts w:ascii="Arial" w:cs="Arial" w:eastAsia="Arial" w:hAnsi="Arial"/>
                <w:sz w:val="14"/>
                <w:szCs w:val="14"/>
                <w:color w:val="auto"/>
              </w:rPr>
              <w:t>Matthew J. DiLiberto</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shd w:val="clear" w:color="auto" w:fill="D0D3DB"/>
          </w:tcPr>
          <w:p>
            <w:pPr>
              <w:spacing w:after="0"/>
              <w:rPr>
                <w:sz w:val="24"/>
                <w:szCs w:val="24"/>
                <w:color w:val="auto"/>
              </w:rPr>
            </w:pP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00" w:type="dxa"/>
            <w:vAlign w:val="bottom"/>
            <w:shd w:val="clear" w:color="auto" w:fill="D0D3DB"/>
          </w:tcPr>
          <w:p>
            <w:pPr>
              <w:spacing w:after="0"/>
              <w:rPr>
                <w:sz w:val="24"/>
                <w:szCs w:val="24"/>
                <w:color w:val="auto"/>
              </w:rPr>
            </w:pPr>
          </w:p>
        </w:tc>
        <w:tc>
          <w:tcPr>
            <w:tcW w:w="880" w:type="dxa"/>
            <w:vAlign w:val="bottom"/>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88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0D3DB"/>
          </w:tcPr>
          <w:p>
            <w:pPr>
              <w:spacing w:after="0"/>
              <w:rPr>
                <w:sz w:val="24"/>
                <w:szCs w:val="24"/>
                <w:color w:val="auto"/>
              </w:rPr>
            </w:pPr>
          </w:p>
        </w:tc>
        <w:tc>
          <w:tcPr>
            <w:tcW w:w="160" w:type="dxa"/>
            <w:vAlign w:val="bottom"/>
            <w:shd w:val="clear" w:color="auto" w:fill="D0D3DB"/>
          </w:tcPr>
          <w:p>
            <w:pPr>
              <w:spacing w:after="0"/>
              <w:rPr>
                <w:sz w:val="24"/>
                <w:szCs w:val="24"/>
                <w:color w:val="auto"/>
              </w:rPr>
            </w:pPr>
          </w:p>
        </w:tc>
        <w:tc>
          <w:tcPr>
            <w:tcW w:w="98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0D3DB"/>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0D3DB"/>
          </w:tcPr>
          <w:p>
            <w:pPr>
              <w:jc w:val="right"/>
              <w:ind w:right="80"/>
              <w:spacing w:after="0"/>
              <w:rPr>
                <w:sz w:val="20"/>
                <w:szCs w:val="20"/>
                <w:color w:val="auto"/>
              </w:rPr>
            </w:pPr>
            <w:r>
              <w:rPr>
                <w:rFonts w:ascii="Arial" w:cs="Arial" w:eastAsia="Arial" w:hAnsi="Arial"/>
                <w:sz w:val="14"/>
                <w:szCs w:val="14"/>
                <w:color w:val="auto"/>
              </w:rPr>
              <w:t>3,142</w:t>
            </w:r>
            <w:r>
              <w:rPr>
                <w:rFonts w:ascii="Arial" w:cs="Arial" w:eastAsia="Arial" w:hAnsi="Arial"/>
                <w:sz w:val="22"/>
                <w:szCs w:val="22"/>
                <w:color w:val="auto"/>
                <w:vertAlign w:val="superscript"/>
              </w:rPr>
              <w:t>(1)</w:t>
            </w:r>
          </w:p>
        </w:tc>
        <w:tc>
          <w:tcPr>
            <w:tcW w:w="220" w:type="dxa"/>
            <w:vAlign w:val="bottom"/>
            <w:gridSpan w:val="2"/>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0D3DB"/>
          </w:tcPr>
          <w:p>
            <w:pPr>
              <w:jc w:val="right"/>
              <w:spacing w:after="0"/>
              <w:rPr>
                <w:sz w:val="20"/>
                <w:szCs w:val="20"/>
                <w:color w:val="auto"/>
              </w:rPr>
            </w:pPr>
            <w:r>
              <w:rPr>
                <w:rFonts w:ascii="Arial" w:cs="Arial" w:eastAsia="Arial" w:hAnsi="Arial"/>
                <w:sz w:val="14"/>
                <w:szCs w:val="14"/>
                <w:color w:val="auto"/>
              </w:rPr>
              <w:t>247,473</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shd w:val="clear" w:color="auto" w:fill="D0D3DB"/>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80" w:type="dxa"/>
            <w:vAlign w:val="bottom"/>
            <w:shd w:val="clear" w:color="auto" w:fill="D0D3DB"/>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02/02/2018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01/31/2018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15,000</w:t>
            </w:r>
            <w:r>
              <w:rPr>
                <w:rFonts w:ascii="Arial" w:cs="Arial" w:eastAsia="Arial" w:hAnsi="Arial"/>
                <w:sz w:val="22"/>
                <w:szCs w:val="22"/>
                <w:color w:val="auto"/>
                <w:w w:val="98"/>
                <w:vertAlign w:val="superscript"/>
              </w:rPr>
              <w:t>(7)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1,360,721</w:t>
            </w:r>
          </w:p>
        </w:tc>
        <w:tc>
          <w:tcPr>
            <w:tcW w:w="0" w:type="dxa"/>
            <w:vAlign w:val="bottom"/>
          </w:tcPr>
          <w:p>
            <w:pPr>
              <w:spacing w:after="0"/>
              <w:rPr>
                <w:sz w:val="1"/>
                <w:szCs w:val="1"/>
                <w:color w:val="auto"/>
              </w:rPr>
            </w:pPr>
          </w:p>
        </w:tc>
      </w:tr>
      <w:tr>
        <w:trPr>
          <w:trHeight w:val="20"/>
        </w:trPr>
        <w:tc>
          <w:tcPr>
            <w:tcW w:w="2180" w:type="dxa"/>
            <w:vAlign w:val="bottom"/>
            <w:shd w:val="clear" w:color="auto" w:fill="D0D3D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8590A9"/>
          </w:tcPr>
          <w:p>
            <w:pPr>
              <w:spacing w:after="0" w:line="20" w:lineRule="exact"/>
              <w:rPr>
                <w:sz w:val="1"/>
                <w:szCs w:val="1"/>
                <w:color w:val="auto"/>
              </w:rPr>
            </w:pPr>
          </w:p>
        </w:tc>
        <w:tc>
          <w:tcPr>
            <w:tcW w:w="82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700" w:type="dxa"/>
            <w:vAlign w:val="bottom"/>
            <w:shd w:val="clear" w:color="auto" w:fill="8590A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80" w:type="dxa"/>
            <w:vAlign w:val="bottom"/>
            <w:shd w:val="clear" w:color="auto" w:fill="D0D3DB"/>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02/02/2018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01/31/2018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7,500</w:t>
            </w:r>
            <w:r>
              <w:rPr>
                <w:rFonts w:ascii="Arial" w:cs="Arial" w:eastAsia="Arial" w:hAnsi="Arial"/>
                <w:sz w:val="22"/>
                <w:szCs w:val="22"/>
                <w:color w:val="auto"/>
                <w:vertAlign w:val="superscript"/>
              </w:rPr>
              <w:t>(8)</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11,250</w:t>
            </w:r>
            <w:r>
              <w:rPr>
                <w:rFonts w:ascii="Arial" w:cs="Arial" w:eastAsia="Arial" w:hAnsi="Arial"/>
                <w:sz w:val="22"/>
                <w:szCs w:val="22"/>
                <w:color w:val="auto"/>
                <w:w w:val="88"/>
                <w:vertAlign w:val="superscript"/>
              </w:rPr>
              <w:t>(8)</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15,000</w:t>
            </w:r>
            <w:r>
              <w:rPr>
                <w:rFonts w:ascii="Arial" w:cs="Arial" w:eastAsia="Arial" w:hAnsi="Arial"/>
                <w:sz w:val="22"/>
                <w:szCs w:val="22"/>
                <w:color w:val="auto"/>
                <w:vertAlign w:val="superscript"/>
              </w:rPr>
              <w:t>(8)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1,471,050</w:t>
            </w:r>
          </w:p>
        </w:tc>
        <w:tc>
          <w:tcPr>
            <w:tcW w:w="0" w:type="dxa"/>
            <w:vAlign w:val="bottom"/>
          </w:tcPr>
          <w:p>
            <w:pPr>
              <w:spacing w:after="0"/>
              <w:rPr>
                <w:sz w:val="1"/>
                <w:szCs w:val="1"/>
                <w:color w:val="auto"/>
              </w:rPr>
            </w:pPr>
          </w:p>
        </w:tc>
      </w:tr>
      <w:tr>
        <w:trPr>
          <w:trHeight w:val="298"/>
        </w:trPr>
        <w:tc>
          <w:tcPr>
            <w:tcW w:w="2180" w:type="dxa"/>
            <w:vAlign w:val="bottom"/>
            <w:tcBorders>
              <w:top w:val="single" w:sz="8" w:color="8590A9"/>
              <w:bottom w:val="single" w:sz="8" w:color="345988"/>
            </w:tcBorders>
          </w:tcPr>
          <w:p>
            <w:pPr>
              <w:spacing w:after="0"/>
              <w:rPr>
                <w:sz w:val="20"/>
                <w:szCs w:val="20"/>
                <w:color w:val="auto"/>
              </w:rPr>
            </w:pPr>
            <w:r>
              <w:rPr>
                <w:rFonts w:ascii="Arial" w:cs="Arial" w:eastAsia="Arial" w:hAnsi="Arial"/>
                <w:sz w:val="14"/>
                <w:szCs w:val="14"/>
                <w:color w:val="auto"/>
              </w:rPr>
              <w:t>Andrew S. Levine</w:t>
            </w:r>
          </w:p>
        </w:tc>
        <w:tc>
          <w:tcPr>
            <w:tcW w:w="160" w:type="dxa"/>
            <w:vAlign w:val="bottom"/>
          </w:tcPr>
          <w:p>
            <w:pPr>
              <w:spacing w:after="0"/>
              <w:rPr>
                <w:sz w:val="24"/>
                <w:szCs w:val="24"/>
                <w:color w:val="auto"/>
              </w:rPr>
            </w:pPr>
          </w:p>
        </w:tc>
        <w:tc>
          <w:tcPr>
            <w:tcW w:w="70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160" w:type="dxa"/>
            <w:vAlign w:val="bottom"/>
          </w:tcPr>
          <w:p>
            <w:pPr>
              <w:spacing w:after="0"/>
              <w:rPr>
                <w:sz w:val="24"/>
                <w:szCs w:val="24"/>
                <w:color w:val="auto"/>
              </w:rPr>
            </w:pPr>
          </w:p>
        </w:tc>
        <w:tc>
          <w:tcPr>
            <w:tcW w:w="70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w w:val="96"/>
              </w:rPr>
              <w:t>01/15/2018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8590A9"/>
              <w:bottom w:val="single" w:sz="8" w:color="345988"/>
            </w:tcBorders>
            <w:shd w:val="clear" w:color="auto" w:fill="D0D3DB"/>
          </w:tcPr>
          <w:p>
            <w:pPr>
              <w:spacing w:after="0"/>
              <w:rPr>
                <w:sz w:val="24"/>
                <w:szCs w:val="24"/>
                <w:color w:val="auto"/>
              </w:rPr>
            </w:pPr>
          </w:p>
        </w:tc>
        <w:tc>
          <w:tcPr>
            <w:tcW w:w="88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8590A9"/>
              <w:bottom w:val="single" w:sz="8" w:color="345988"/>
            </w:tcBorders>
            <w:shd w:val="clear" w:color="auto" w:fill="D0D3DB"/>
          </w:tcPr>
          <w:p>
            <w:pPr>
              <w:spacing w:after="0"/>
              <w:rPr>
                <w:sz w:val="24"/>
                <w:szCs w:val="24"/>
                <w:color w:val="auto"/>
              </w:rPr>
            </w:pPr>
          </w:p>
        </w:tc>
        <w:tc>
          <w:tcPr>
            <w:tcW w:w="80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8590A9"/>
              <w:bottom w:val="single" w:sz="8" w:color="345988"/>
            </w:tcBorders>
            <w:shd w:val="clear" w:color="auto" w:fill="D0D3DB"/>
          </w:tcPr>
          <w:p>
            <w:pPr>
              <w:spacing w:after="0"/>
              <w:rPr>
                <w:sz w:val="24"/>
                <w:szCs w:val="24"/>
                <w:color w:val="auto"/>
              </w:rPr>
            </w:pPr>
          </w:p>
        </w:tc>
        <w:tc>
          <w:tcPr>
            <w:tcW w:w="82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6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2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w w:val="98"/>
              </w:rPr>
              <w:t>13,355</w:t>
            </w:r>
            <w:r>
              <w:rPr>
                <w:rFonts w:ascii="Arial" w:cs="Arial" w:eastAsia="Arial" w:hAnsi="Arial"/>
                <w:sz w:val="22"/>
                <w:szCs w:val="22"/>
                <w:color w:val="auto"/>
                <w:w w:val="98"/>
                <w:vertAlign w:val="superscript"/>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8590A9"/>
              <w:bottom w:val="single" w:sz="8" w:color="345988"/>
            </w:tcBorders>
            <w:shd w:val="clear" w:color="auto" w:fill="D0D3DB"/>
          </w:tcPr>
          <w:p>
            <w:pPr>
              <w:jc w:val="right"/>
              <w:spacing w:after="0"/>
              <w:rPr>
                <w:sz w:val="20"/>
                <w:szCs w:val="20"/>
                <w:color w:val="auto"/>
              </w:rPr>
            </w:pPr>
            <w:r>
              <w:rPr>
                <w:rFonts w:ascii="Arial" w:cs="Arial" w:eastAsia="Arial" w:hAnsi="Arial"/>
                <w:sz w:val="14"/>
                <w:szCs w:val="14"/>
                <w:color w:val="auto"/>
              </w:rPr>
              <w:t>1,051,877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-3952875</wp:posOffset>
            </wp:positionV>
            <wp:extent cx="6715125" cy="3953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15125" cy="3953510"/>
                    </a:xfrm>
                    <a:prstGeom prst="rect">
                      <a:avLst/>
                    </a:prstGeom>
                    <a:noFill/>
                  </pic:spPr>
                </pic:pic>
              </a:graphicData>
            </a:graphic>
          </wp:anchor>
        </w:drawing>
      </w:r>
    </w:p>
    <w:p>
      <w:pPr>
        <w:spacing w:after="0" w:line="87" w:lineRule="exact"/>
        <w:rPr>
          <w:sz w:val="20"/>
          <w:szCs w:val="20"/>
          <w:color w:val="auto"/>
        </w:rPr>
      </w:pPr>
    </w:p>
    <w:p>
      <w:pPr>
        <w:ind w:left="380" w:hanging="372"/>
        <w:spacing w:after="0"/>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three-year restriction on transfer from the date of grant.</w:t>
      </w:r>
    </w:p>
    <w:p>
      <w:pPr>
        <w:spacing w:after="0" w:line="95" w:lineRule="exact"/>
        <w:rPr>
          <w:rFonts w:ascii="Arial" w:cs="Arial" w:eastAsia="Arial" w:hAnsi="Arial"/>
          <w:sz w:val="14"/>
          <w:szCs w:val="14"/>
          <w:color w:val="auto"/>
        </w:rPr>
      </w:pPr>
    </w:p>
    <w:p>
      <w:pPr>
        <w:ind w:left="380" w:right="20" w:hanging="372"/>
        <w:spacing w:after="0" w:line="224"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Holliday’s employment agreement and was subject to the achievement of performance-based vesting hurdles, with 50-100% of the LTIP units vesting based on the achievement of either annual FFO growth or TSR of 5-8% per year or TSR in the top 50-35% of the MSCI US REIT Index, respectively, during 2017 (or on a cumulative basis from 2016 through the end of 2017 or a subsequent quarter during the term of Mr. Holliday’s employment agreement). None of these LTIP units would have vested if threshold performance had not been achieved. Vesting was also subject to Mr. Holliday’s continued employment through January 17, 2018. This grant is presented in the “All Other Stock Awards: Number of Shares of Stock or Units” column instead of the “Estimated Future Payouts Under Equity Incentive Plan Award” column, because the grant occurred after performance-based vesting was achieved. Once vested, these LTIP units remain subject to a restriction on transfer until the earlier of two years after vesting, termination of employment or a change in control.</w:t>
      </w:r>
    </w:p>
    <w:p>
      <w:pPr>
        <w:spacing w:after="0" w:line="96" w:lineRule="exact"/>
        <w:rPr>
          <w:rFonts w:ascii="Arial" w:cs="Arial" w:eastAsia="Arial" w:hAnsi="Arial"/>
          <w:sz w:val="14"/>
          <w:szCs w:val="14"/>
          <w:color w:val="auto"/>
        </w:rPr>
      </w:pPr>
    </w:p>
    <w:p>
      <w:pPr>
        <w:ind w:left="380" w:right="120" w:hanging="372"/>
        <w:spacing w:after="0" w:line="231"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January 17, 2019. Each stock unit represents the contingent right to receive the value of one share of our common stock in accordance with the terms of a deferred compensation agreement.</w:t>
      </w:r>
    </w:p>
    <w:p>
      <w:pPr>
        <w:spacing w:after="0" w:line="95" w:lineRule="exact"/>
        <w:rPr>
          <w:rFonts w:ascii="Arial" w:cs="Arial" w:eastAsia="Arial" w:hAnsi="Arial"/>
          <w:sz w:val="14"/>
          <w:szCs w:val="14"/>
          <w:color w:val="auto"/>
        </w:rPr>
      </w:pPr>
    </w:p>
    <w:p>
      <w:pPr>
        <w:ind w:left="380" w:right="320" w:hanging="372"/>
        <w:spacing w:after="0" w:line="231"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grant of notional stock units was subject to vesting based on continued employment through December 31, 2018. Each stock unit represents the contingent right to receive the value of one share of our common stock in accordance with the terms of a deferred compensation agreement.</w:t>
      </w:r>
    </w:p>
    <w:p>
      <w:pPr>
        <w:spacing w:after="0" w:line="95" w:lineRule="exact"/>
        <w:rPr>
          <w:rFonts w:ascii="Arial" w:cs="Arial" w:eastAsia="Arial" w:hAnsi="Arial"/>
          <w:sz w:val="14"/>
          <w:szCs w:val="14"/>
          <w:color w:val="auto"/>
        </w:rPr>
      </w:pPr>
    </w:p>
    <w:p>
      <w:pPr>
        <w:ind w:left="380" w:right="100" w:hanging="372"/>
        <w:spacing w:after="0" w:line="228"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the automatic one-year extension of Mr. Mathias’s employment agreement and was subject to vesting based on continued employment through December 31, 2018. Once vested, these LTIP units remain subject to a restriction on transfer until the earlier of two years after vesting, termination of employment or a change in control.</w:t>
      </w:r>
    </w:p>
    <w:p>
      <w:pPr>
        <w:spacing w:after="0" w:line="94" w:lineRule="exact"/>
        <w:rPr>
          <w:rFonts w:ascii="Arial" w:cs="Arial" w:eastAsia="Arial" w:hAnsi="Arial"/>
          <w:sz w:val="14"/>
          <w:szCs w:val="14"/>
          <w:color w:val="auto"/>
        </w:rPr>
      </w:pPr>
    </w:p>
    <w:p>
      <w:pPr>
        <w:ind w:left="380" w:right="200" w:hanging="372"/>
        <w:spacing w:after="0" w:line="231"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cash payouts that were possible pursuant to the formulaic component of our annual cash bonus program for 2018. See “—Compensation Discussion and Analysis—2018 Pay Outcomes—Annual Cash Bonus Program (Top Three Named Executive Officers)” for a description of these awards.</w:t>
      </w:r>
    </w:p>
    <w:p>
      <w:pPr>
        <w:spacing w:after="0" w:line="20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316" w:lineRule="exact"/>
        <w:rPr>
          <w:sz w:val="20"/>
          <w:szCs w:val="20"/>
          <w:color w:val="auto"/>
        </w:rPr>
      </w:pPr>
    </w:p>
    <w:p>
      <w:pPr>
        <w:ind w:left="380" w:right="460" w:hanging="372"/>
        <w:spacing w:after="0" w:line="231" w:lineRule="auto"/>
        <w:tabs>
          <w:tab w:leader="none" w:pos="3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This grant of LTIP units was awarded in connection with Mr. DiLiberto’s employment agreement, with equal installments vesting on each of January 1, 2019, January 1, 2020 and January 1, 2021, subject to continued employment.</w:t>
      </w:r>
    </w:p>
    <w:p>
      <w:pPr>
        <w:spacing w:after="0" w:line="95" w:lineRule="exact"/>
        <w:rPr>
          <w:rFonts w:ascii="Arial" w:cs="Arial" w:eastAsia="Arial" w:hAnsi="Arial"/>
          <w:sz w:val="14"/>
          <w:szCs w:val="14"/>
          <w:color w:val="auto"/>
        </w:rPr>
      </w:pPr>
    </w:p>
    <w:p>
      <w:pPr>
        <w:ind w:left="380" w:right="140" w:hanging="372"/>
        <w:spacing w:after="0" w:line="265" w:lineRule="auto"/>
        <w:tabs>
          <w:tab w:leader="none" w:pos="3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DiLiberto’s employment agreement and was subject to the achievement of performance-based vesting hurdles over three years. One-third of the LTIP units were initially eligible to be earned in each of 2019, 2020 and 2021, with 50-100% of such LTIP units earned upon the achievement of either annual FFO growth of 2.5-5.0% per year or TSR in the top 66.7-33.3% of the MSCI US REIT Index, respectively, during the prior year (or on a cumulative basis from 2018 through the end of such year or a subsequent quarter during the term of Mr. DiLiberto’s employment agreement). None of these LTIP units will vest if threshold performance is not achieved. “Threshold” performance equals annual FFO growth of 2.5% per year or TSR in the top 66.7% of the MSCI US REIT Index. “Target” performance equals annual FFO growth of 3.75% per year or TSR in the top 50% of the MSCI US REIT Index. “Maximum” performance equals annual FFO growth of 5.0% per year or TSR in the top 33.3% of the MSCI US REIT Index. Vesting is also subject to Mr. DiLiberto’s continued employment through January 1st of the year following the year in which the performance-based vesting hurdles are achieved.</w:t>
      </w:r>
    </w:p>
    <w:p>
      <w:pPr>
        <w:spacing w:after="0" w:line="1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See “Potential Payments Upon Termination or Change in Control” below, for a discussion regarding potential acceleration of the equity awards and a description of the material terms of each named executive officer’s employment agreement.</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Outstanding Equity Awards at Fiscal Year-End 2018</w:t>
      </w:r>
    </w:p>
    <w:p>
      <w:pPr>
        <w:spacing w:after="0" w:line="23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each named executive officer at the fiscal year ended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ind w:left="440"/>
              <w:spacing w:after="0"/>
              <w:rPr>
                <w:sz w:val="20"/>
                <w:szCs w:val="20"/>
                <w:color w:val="auto"/>
              </w:rPr>
            </w:pPr>
            <w:r>
              <w:rPr>
                <w:rFonts w:ascii="Arial" w:cs="Arial" w:eastAsia="Arial" w:hAnsi="Arial"/>
                <w:sz w:val="14"/>
                <w:szCs w:val="14"/>
                <w:b w:val="1"/>
                <w:bCs w:val="1"/>
                <w:color w:val="345988"/>
              </w:rPr>
              <w:t>Option Awards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345988"/>
              </w:rPr>
              <w:t>Stock Awards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3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tcPr>
          <w:p>
            <w:pPr>
              <w:spacing w:after="0"/>
              <w:rPr>
                <w:sz w:val="4"/>
                <w:szCs w:val="4"/>
                <w:color w:val="auto"/>
              </w:rPr>
            </w:pPr>
          </w:p>
        </w:tc>
      </w:tr>
      <w:tr>
        <w:trPr>
          <w:trHeight w:val="132"/>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345988"/>
            </w:tcBorders>
          </w:tcPr>
          <w:p>
            <w:pPr>
              <w:spacing w:after="0"/>
              <w:rPr>
                <w:sz w:val="11"/>
                <w:szCs w:val="11"/>
                <w:color w:val="auto"/>
              </w:rPr>
            </w:pPr>
          </w:p>
        </w:tc>
        <w:tc>
          <w:tcPr>
            <w:tcW w:w="160" w:type="dxa"/>
            <w:vAlign w:val="bottom"/>
            <w:tcBorders>
              <w:top w:val="single" w:sz="8" w:color="345988"/>
            </w:tcBorders>
          </w:tcPr>
          <w:p>
            <w:pPr>
              <w:spacing w:after="0"/>
              <w:rPr>
                <w:sz w:val="11"/>
                <w:szCs w:val="11"/>
                <w:color w:val="auto"/>
              </w:rPr>
            </w:pPr>
          </w:p>
        </w:tc>
        <w:tc>
          <w:tcPr>
            <w:tcW w:w="920" w:type="dxa"/>
            <w:vAlign w:val="bottom"/>
            <w:tcBorders>
              <w:top w:val="single" w:sz="8" w:color="345988"/>
            </w:tcBorders>
          </w:tcPr>
          <w:p>
            <w:pPr>
              <w:spacing w:after="0"/>
              <w:rPr>
                <w:sz w:val="11"/>
                <w:szCs w:val="11"/>
                <w:color w:val="auto"/>
              </w:rPr>
            </w:pPr>
          </w:p>
        </w:tc>
        <w:tc>
          <w:tcPr>
            <w:tcW w:w="80" w:type="dxa"/>
            <w:vAlign w:val="bottom"/>
            <w:tcBorders>
              <w:top w:val="single" w:sz="8" w:color="345988"/>
            </w:tcBorders>
          </w:tcPr>
          <w:p>
            <w:pPr>
              <w:spacing w:after="0"/>
              <w:rPr>
                <w:sz w:val="11"/>
                <w:szCs w:val="11"/>
                <w:color w:val="auto"/>
              </w:rPr>
            </w:pPr>
          </w:p>
        </w:tc>
        <w:tc>
          <w:tcPr>
            <w:tcW w:w="80" w:type="dxa"/>
            <w:vAlign w:val="bottom"/>
            <w:tcBorders>
              <w:top w:val="single" w:sz="8" w:color="345988"/>
            </w:tcBorders>
          </w:tcPr>
          <w:p>
            <w:pPr>
              <w:spacing w:after="0"/>
              <w:rPr>
                <w:sz w:val="11"/>
                <w:szCs w:val="11"/>
                <w:color w:val="auto"/>
              </w:rPr>
            </w:pPr>
          </w:p>
        </w:tc>
        <w:tc>
          <w:tcPr>
            <w:tcW w:w="120" w:type="dxa"/>
            <w:vAlign w:val="bottom"/>
            <w:tcBorders>
              <w:top w:val="single" w:sz="8" w:color="345988"/>
            </w:tcBorders>
          </w:tcPr>
          <w:p>
            <w:pPr>
              <w:spacing w:after="0"/>
              <w:rPr>
                <w:sz w:val="11"/>
                <w:szCs w:val="11"/>
                <w:color w:val="auto"/>
              </w:rPr>
            </w:pPr>
          </w:p>
        </w:tc>
        <w:tc>
          <w:tcPr>
            <w:tcW w:w="540" w:type="dxa"/>
            <w:vAlign w:val="bottom"/>
            <w:tcBorders>
              <w:top w:val="single" w:sz="8" w:color="345988"/>
            </w:tcBorders>
          </w:tcPr>
          <w:p>
            <w:pPr>
              <w:spacing w:after="0"/>
              <w:rPr>
                <w:sz w:val="11"/>
                <w:szCs w:val="11"/>
                <w:color w:val="auto"/>
              </w:rPr>
            </w:pPr>
          </w:p>
        </w:tc>
        <w:tc>
          <w:tcPr>
            <w:tcW w:w="160" w:type="dxa"/>
            <w:vAlign w:val="bottom"/>
            <w:tcBorders>
              <w:top w:val="single" w:sz="8" w:color="345988"/>
            </w:tcBorders>
          </w:tcPr>
          <w:p>
            <w:pPr>
              <w:spacing w:after="0"/>
              <w:rPr>
                <w:sz w:val="11"/>
                <w:szCs w:val="11"/>
                <w:color w:val="auto"/>
              </w:rPr>
            </w:pPr>
          </w:p>
        </w:tc>
        <w:tc>
          <w:tcPr>
            <w:tcW w:w="880" w:type="dxa"/>
            <w:vAlign w:val="bottom"/>
            <w:tcBorders>
              <w:top w:val="single" w:sz="8" w:color="345988"/>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345988"/>
            </w:tcBorders>
          </w:tcPr>
          <w:p>
            <w:pPr>
              <w:spacing w:after="0"/>
              <w:rPr>
                <w:sz w:val="11"/>
                <w:szCs w:val="11"/>
                <w:color w:val="auto"/>
              </w:rPr>
            </w:pPr>
          </w:p>
        </w:tc>
        <w:tc>
          <w:tcPr>
            <w:tcW w:w="160" w:type="dxa"/>
            <w:vAlign w:val="bottom"/>
            <w:tcBorders>
              <w:top w:val="single" w:sz="8" w:color="345988"/>
            </w:tcBorders>
          </w:tcPr>
          <w:p>
            <w:pPr>
              <w:spacing w:after="0"/>
              <w:rPr>
                <w:sz w:val="11"/>
                <w:szCs w:val="11"/>
                <w:color w:val="auto"/>
              </w:rPr>
            </w:pPr>
          </w:p>
        </w:tc>
        <w:tc>
          <w:tcPr>
            <w:tcW w:w="100" w:type="dxa"/>
            <w:vAlign w:val="bottom"/>
            <w:tcBorders>
              <w:top w:val="single" w:sz="8" w:color="345988"/>
            </w:tcBorders>
          </w:tcPr>
          <w:p>
            <w:pPr>
              <w:spacing w:after="0"/>
              <w:rPr>
                <w:sz w:val="11"/>
                <w:szCs w:val="11"/>
                <w:color w:val="auto"/>
              </w:rPr>
            </w:pPr>
          </w:p>
        </w:tc>
        <w:tc>
          <w:tcPr>
            <w:tcW w:w="780" w:type="dxa"/>
            <w:vAlign w:val="bottom"/>
            <w:tcBorders>
              <w:top w:val="single" w:sz="8" w:color="345988"/>
            </w:tcBorders>
          </w:tcPr>
          <w:p>
            <w:pPr>
              <w:spacing w:after="0"/>
              <w:rPr>
                <w:sz w:val="11"/>
                <w:szCs w:val="11"/>
                <w:color w:val="auto"/>
              </w:rPr>
            </w:pPr>
          </w:p>
        </w:tc>
        <w:tc>
          <w:tcPr>
            <w:tcW w:w="160" w:type="dxa"/>
            <w:vAlign w:val="bottom"/>
            <w:tcBorders>
              <w:top w:val="single" w:sz="8" w:color="345988"/>
            </w:tcBorders>
          </w:tcPr>
          <w:p>
            <w:pPr>
              <w:spacing w:after="0"/>
              <w:rPr>
                <w:sz w:val="11"/>
                <w:szCs w:val="11"/>
                <w:color w:val="auto"/>
              </w:rPr>
            </w:pPr>
          </w:p>
        </w:tc>
        <w:tc>
          <w:tcPr>
            <w:tcW w:w="980" w:type="dxa"/>
            <w:vAlign w:val="bottom"/>
            <w:tcBorders>
              <w:top w:val="single" w:sz="8" w:color="345988"/>
            </w:tcBorders>
          </w:tcPr>
          <w:p>
            <w:pPr>
              <w:spacing w:after="0"/>
              <w:rPr>
                <w:sz w:val="11"/>
                <w:szCs w:val="11"/>
                <w:color w:val="auto"/>
              </w:rPr>
            </w:pPr>
          </w:p>
        </w:tc>
        <w:tc>
          <w:tcPr>
            <w:tcW w:w="80" w:type="dxa"/>
            <w:vAlign w:val="bottom"/>
            <w:tcBorders>
              <w:top w:val="single" w:sz="8" w:color="345988"/>
            </w:tcBorders>
          </w:tcPr>
          <w:p>
            <w:pPr>
              <w:spacing w:after="0"/>
              <w:rPr>
                <w:sz w:val="11"/>
                <w:szCs w:val="11"/>
                <w:color w:val="auto"/>
              </w:rPr>
            </w:pPr>
          </w:p>
        </w:tc>
        <w:tc>
          <w:tcPr>
            <w:tcW w:w="80" w:type="dxa"/>
            <w:vAlign w:val="bottom"/>
            <w:tcBorders>
              <w:top w:val="single" w:sz="8" w:color="345988"/>
            </w:tcBorders>
          </w:tcPr>
          <w:p>
            <w:pPr>
              <w:spacing w:after="0"/>
              <w:rPr>
                <w:sz w:val="11"/>
                <w:szCs w:val="11"/>
                <w:color w:val="auto"/>
              </w:rPr>
            </w:pPr>
          </w:p>
        </w:tc>
        <w:tc>
          <w:tcPr>
            <w:tcW w:w="760" w:type="dxa"/>
            <w:vAlign w:val="bottom"/>
            <w:tcBorders>
              <w:top w:val="single" w:sz="8" w:color="345988"/>
            </w:tcBorders>
          </w:tcPr>
          <w:p>
            <w:pPr>
              <w:jc w:val="right"/>
              <w:spacing w:after="0" w:line="132" w:lineRule="exact"/>
              <w:rPr>
                <w:sz w:val="20"/>
                <w:szCs w:val="20"/>
                <w:color w:val="auto"/>
              </w:rPr>
            </w:pPr>
            <w:r>
              <w:rPr>
                <w:rFonts w:ascii="Arial" w:cs="Arial" w:eastAsia="Arial" w:hAnsi="Arial"/>
                <w:sz w:val="14"/>
                <w:szCs w:val="14"/>
                <w:b w:val="1"/>
                <w:bCs w:val="1"/>
                <w:color w:val="345988"/>
              </w:rPr>
              <w:t>Equity</w:t>
            </w:r>
          </w:p>
        </w:tc>
        <w:tc>
          <w:tcPr>
            <w:tcW w:w="20" w:type="dxa"/>
            <w:vAlign w:val="bottom"/>
          </w:tcPr>
          <w:p>
            <w:pPr>
              <w:spacing w:after="0"/>
              <w:rPr>
                <w:sz w:val="11"/>
                <w:szCs w:val="11"/>
                <w:color w:val="auto"/>
              </w:rPr>
            </w:pP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Incentive</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Plan</w:t>
            </w:r>
          </w:p>
        </w:tc>
      </w:tr>
      <w:tr>
        <w:trPr>
          <w:trHeight w:val="179"/>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Equity</w:t>
            </w:r>
          </w:p>
        </w:tc>
        <w:tc>
          <w:tcPr>
            <w:tcW w:w="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5988"/>
              </w:rPr>
              <w:t>Awards:</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Incentive</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Market</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Plan Awards:</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or Payout</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Number of</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Value of</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Market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Unearned</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Unearned</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Number of</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Number</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Value of</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Shares, Units</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Shares</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Securities</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of Shares</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Shares or</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or Other</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or Units</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Underlying</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Underlying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Option</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or Units of</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Units of</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Rights That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or Other</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w w:val="93"/>
              </w:rPr>
              <w:t>Unexercised</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Unexercised</w:t>
            </w:r>
          </w:p>
        </w:tc>
        <w:tc>
          <w:tcPr>
            <w:tcW w:w="8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345988"/>
              </w:rPr>
              <w:t>Exercise</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45988"/>
              </w:rPr>
              <w:t>Option</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Stock That</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Stock That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Have Not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Rights that</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Options (#)</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Options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Price</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45988"/>
              </w:rPr>
              <w:t>Expiration</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Have Not</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Have Not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rPr>
              <w:t>Vested</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345988"/>
              </w:rPr>
              <w:t>Have Not</w:t>
            </w:r>
          </w:p>
        </w:tc>
      </w:tr>
      <w:tr>
        <w:trPr>
          <w:trHeight w:val="210"/>
        </w:trPr>
        <w:tc>
          <w:tcPr>
            <w:tcW w:w="3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Exercisable</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w w:val="94"/>
              </w:rPr>
              <w:t>Unexercisable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rPr>
              <w:t>Date</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4"/>
                <w:szCs w:val="14"/>
                <w:b w:val="1"/>
                <w:bCs w:val="1"/>
                <w:color w:val="345988"/>
                <w:w w:val="88"/>
              </w:rPr>
              <w:t>Vested(#)</w:t>
            </w:r>
            <w:r>
              <w:rPr>
                <w:rFonts w:ascii="Arial" w:cs="Arial" w:eastAsia="Arial" w:hAnsi="Arial"/>
                <w:sz w:val="22"/>
                <w:szCs w:val="22"/>
                <w:b w:val="1"/>
                <w:bCs w:val="1"/>
                <w:color w:val="345988"/>
                <w:w w:val="88"/>
                <w:vertAlign w:val="superscript"/>
              </w:rPr>
              <w:t>(1)</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4"/>
                <w:szCs w:val="14"/>
                <w:b w:val="1"/>
                <w:bCs w:val="1"/>
                <w:color w:val="345988"/>
              </w:rPr>
              <w:t>Vested</w:t>
            </w:r>
            <w:r>
              <w:rPr>
                <w:rFonts w:ascii="Arial" w:cs="Arial" w:eastAsia="Arial" w:hAnsi="Arial"/>
                <w:sz w:val="22"/>
                <w:szCs w:val="22"/>
                <w:b w:val="1"/>
                <w:bCs w:val="1"/>
                <w:color w:val="345988"/>
                <w:vertAlign w:val="superscript"/>
              </w:rPr>
              <w:t>(2)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3459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4"/>
                <w:szCs w:val="14"/>
                <w:b w:val="1"/>
                <w:bCs w:val="1"/>
                <w:color w:val="345988"/>
              </w:rPr>
              <w:t>Vested</w:t>
            </w:r>
            <w:r>
              <w:rPr>
                <w:rFonts w:ascii="Arial" w:cs="Arial" w:eastAsia="Arial" w:hAnsi="Arial"/>
                <w:sz w:val="22"/>
                <w:szCs w:val="22"/>
                <w:b w:val="1"/>
                <w:bCs w:val="1"/>
                <w:color w:val="345988"/>
                <w:vertAlign w:val="superscript"/>
              </w:rPr>
              <w:t>(2)</w:t>
            </w:r>
          </w:p>
        </w:tc>
      </w:tr>
      <w:tr>
        <w:trPr>
          <w:trHeight w:val="237"/>
        </w:trPr>
        <w:tc>
          <w:tcPr>
            <w:tcW w:w="35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8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920" w:type="dxa"/>
            <w:vAlign w:val="bottom"/>
            <w:tcBorders>
              <w:top w:val="single" w:sz="8" w:color="345988"/>
              <w:bottom w:val="single" w:sz="8" w:color="8590A9"/>
            </w:tcBorders>
            <w:shd w:val="clear" w:color="auto" w:fill="D0D3DB"/>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5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76.65</w:t>
            </w:r>
          </w:p>
        </w:tc>
        <w:tc>
          <w:tcPr>
            <w:tcW w:w="160" w:type="dxa"/>
            <w:vAlign w:val="bottom"/>
          </w:tcPr>
          <w:p>
            <w:pPr>
              <w:spacing w:after="0"/>
              <w:rPr>
                <w:sz w:val="20"/>
                <w:szCs w:val="20"/>
                <w:color w:val="auto"/>
              </w:rPr>
            </w:pPr>
          </w:p>
        </w:tc>
        <w:tc>
          <w:tcPr>
            <w:tcW w:w="880" w:type="dxa"/>
            <w:vAlign w:val="bottom"/>
            <w:tcBorders>
              <w:top w:val="single" w:sz="8" w:color="345988"/>
              <w:bottom w:val="single" w:sz="8" w:color="8590A9"/>
            </w:tcBorders>
            <w:shd w:val="clear" w:color="auto" w:fill="D0D3DB"/>
          </w:tcPr>
          <w:p>
            <w:pPr>
              <w:ind w:left="20"/>
              <w:spacing w:after="0"/>
              <w:rPr>
                <w:sz w:val="20"/>
                <w:szCs w:val="20"/>
                <w:color w:val="auto"/>
              </w:rPr>
            </w:pPr>
            <w:r>
              <w:rPr>
                <w:rFonts w:ascii="Arial" w:cs="Arial" w:eastAsia="Arial" w:hAnsi="Arial"/>
                <w:sz w:val="18"/>
                <w:szCs w:val="18"/>
                <w:color w:val="auto"/>
                <w:highlight w:val="lightGray"/>
                <w:w w:val="93"/>
              </w:rPr>
              <w:t>01/02/2023</w:t>
            </w:r>
          </w:p>
        </w:tc>
        <w:tc>
          <w:tcPr>
            <w:tcW w:w="180" w:type="dxa"/>
            <w:vAlign w:val="bottom"/>
          </w:tcPr>
          <w:p>
            <w:pPr>
              <w:spacing w:after="0"/>
              <w:rPr>
                <w:sz w:val="20"/>
                <w:szCs w:val="20"/>
                <w:color w:val="auto"/>
              </w:rPr>
            </w:pPr>
          </w:p>
        </w:tc>
        <w:tc>
          <w:tcPr>
            <w:tcW w:w="74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7,692</w:t>
            </w:r>
          </w:p>
        </w:tc>
        <w:tc>
          <w:tcPr>
            <w:tcW w:w="160" w:type="dxa"/>
            <w:vAlign w:val="bottom"/>
          </w:tcPr>
          <w:p>
            <w:pPr>
              <w:spacing w:after="0"/>
              <w:rPr>
                <w:sz w:val="20"/>
                <w:szCs w:val="20"/>
                <w:color w:val="auto"/>
              </w:rPr>
            </w:pPr>
          </w:p>
        </w:tc>
        <w:tc>
          <w:tcPr>
            <w:tcW w:w="10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608,283</w:t>
            </w:r>
          </w:p>
        </w:tc>
        <w:tc>
          <w:tcPr>
            <w:tcW w:w="160" w:type="dxa"/>
            <w:vAlign w:val="bottom"/>
          </w:tcPr>
          <w:p>
            <w:pPr>
              <w:spacing w:after="0"/>
              <w:rPr>
                <w:sz w:val="20"/>
                <w:szCs w:val="20"/>
                <w:color w:val="auto"/>
              </w:rPr>
            </w:pPr>
          </w:p>
        </w:tc>
        <w:tc>
          <w:tcPr>
            <w:tcW w:w="98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345988"/>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5"/>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99.86</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06/17/2021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35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5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8590A9"/>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r>
      <w:tr>
        <w:trPr>
          <w:trHeight w:val="235"/>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99.86</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06/17/2026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35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5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8590A9"/>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r>
      <w:tr>
        <w:trPr>
          <w:trHeight w:val="235"/>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105.73</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06/17/2022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35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5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8590A9"/>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105.73</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06/17/2027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8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spacing w:after="0"/>
              <w:rPr>
                <w:sz w:val="20"/>
                <w:szCs w:val="20"/>
                <w:color w:val="auto"/>
              </w:rPr>
            </w:pPr>
          </w:p>
        </w:tc>
        <w:tc>
          <w:tcPr>
            <w:tcW w:w="5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spacing w:after="0"/>
              <w:rPr>
                <w:sz w:val="20"/>
                <w:szCs w:val="20"/>
                <w:color w:val="auto"/>
              </w:rPr>
            </w:pPr>
          </w:p>
        </w:tc>
        <w:tc>
          <w:tcPr>
            <w:tcW w:w="780" w:type="dxa"/>
            <w:vAlign w:val="bottom"/>
            <w:tcBorders>
              <w:top w:val="single" w:sz="8" w:color="8590A9"/>
              <w:bottom w:val="single" w:sz="8" w:color="8590A9"/>
            </w:tcBorders>
            <w:shd w:val="clear" w:color="auto" w:fill="D0D3DB"/>
          </w:tcPr>
          <w:p>
            <w:pPr>
              <w:ind w:left="6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20"/>
                <w:szCs w:val="20"/>
                <w:color w:val="auto"/>
              </w:rPr>
            </w:pPr>
          </w:p>
        </w:tc>
        <w:tc>
          <w:tcPr>
            <w:tcW w:w="9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35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8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20"/>
                <w:szCs w:val="20"/>
                <w:color w:val="auto"/>
              </w:rPr>
            </w:pPr>
          </w:p>
        </w:tc>
        <w:tc>
          <w:tcPr>
            <w:tcW w:w="9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91.43</w:t>
            </w:r>
          </w:p>
        </w:tc>
        <w:tc>
          <w:tcPr>
            <w:tcW w:w="160" w:type="dxa"/>
            <w:vAlign w:val="bottom"/>
          </w:tcPr>
          <w:p>
            <w:pPr>
              <w:spacing w:after="0"/>
              <w:rPr>
                <w:sz w:val="20"/>
                <w:szCs w:val="20"/>
                <w:color w:val="auto"/>
              </w:rPr>
            </w:pPr>
          </w:p>
        </w:tc>
        <w:tc>
          <w:tcPr>
            <w:tcW w:w="880" w:type="dxa"/>
            <w:vAlign w:val="bottom"/>
            <w:tcBorders>
              <w:bottom w:val="single" w:sz="8" w:color="8590A9"/>
            </w:tcBorders>
            <w:shd w:val="clear" w:color="auto" w:fill="D0D3DB"/>
          </w:tcPr>
          <w:p>
            <w:pPr>
              <w:ind w:left="20"/>
              <w:spacing w:after="0"/>
              <w:rPr>
                <w:sz w:val="20"/>
                <w:szCs w:val="20"/>
                <w:color w:val="auto"/>
              </w:rPr>
            </w:pPr>
            <w:r>
              <w:rPr>
                <w:rFonts w:ascii="Arial" w:cs="Arial" w:eastAsia="Arial" w:hAnsi="Arial"/>
                <w:sz w:val="18"/>
                <w:szCs w:val="18"/>
                <w:color w:val="auto"/>
                <w:w w:val="93"/>
              </w:rPr>
              <w:t>11/08/2023</w:t>
            </w:r>
          </w:p>
        </w:tc>
        <w:tc>
          <w:tcPr>
            <w:tcW w:w="180" w:type="dxa"/>
            <w:vAlign w:val="bottom"/>
          </w:tcPr>
          <w:p>
            <w:pPr>
              <w:spacing w:after="0"/>
              <w:rPr>
                <w:sz w:val="20"/>
                <w:szCs w:val="20"/>
                <w:color w:val="auto"/>
              </w:rPr>
            </w:pPr>
          </w:p>
        </w:tc>
        <w:tc>
          <w:tcPr>
            <w:tcW w:w="7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8590A9"/>
            </w:tcBorders>
            <w:shd w:val="clear" w:color="auto" w:fill="D0D3DB"/>
          </w:tcPr>
          <w:p>
            <w:pPr>
              <w:spacing w:after="0"/>
              <w:rPr>
                <w:sz w:val="20"/>
                <w:szCs w:val="20"/>
                <w:color w:val="auto"/>
              </w:rPr>
            </w:pPr>
          </w:p>
        </w:tc>
        <w:tc>
          <w:tcPr>
            <w:tcW w:w="780" w:type="dxa"/>
            <w:vAlign w:val="bottom"/>
            <w:tcBorders>
              <w:bottom w:val="single" w:sz="8" w:color="8590A9"/>
            </w:tcBorders>
            <w:shd w:val="clear" w:color="auto" w:fill="D0D3DB"/>
          </w:tcPr>
          <w:p>
            <w:pPr>
              <w:ind w:left="6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20"/>
                <w:szCs w:val="20"/>
                <w:color w:val="auto"/>
              </w:rPr>
            </w:pPr>
          </w:p>
        </w:tc>
        <w:tc>
          <w:tcPr>
            <w:tcW w:w="9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8590A9"/>
            </w:tcBorders>
          </w:tcPr>
          <w:p>
            <w:pPr>
              <w:spacing w:after="0"/>
              <w:rPr>
                <w:sz w:val="20"/>
                <w:szCs w:val="20"/>
                <w:color w:val="auto"/>
              </w:rPr>
            </w:pPr>
          </w:p>
        </w:tc>
      </w:tr>
      <w:tr>
        <w:trPr>
          <w:trHeight w:val="311"/>
        </w:trPr>
        <w:tc>
          <w:tcPr>
            <w:tcW w:w="350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4"/>
                <w:szCs w:val="24"/>
                <w:color w:val="auto"/>
              </w:rPr>
            </w:pPr>
          </w:p>
        </w:tc>
        <w:tc>
          <w:tcPr>
            <w:tcW w:w="8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4"/>
                <w:szCs w:val="24"/>
                <w:color w:val="auto"/>
              </w:rPr>
            </w:pPr>
          </w:p>
        </w:tc>
        <w:tc>
          <w:tcPr>
            <w:tcW w:w="920" w:type="dxa"/>
            <w:vAlign w:val="bottom"/>
            <w:tcBorders>
              <w:bottom w:val="single" w:sz="8" w:color="8590A9"/>
            </w:tcBorders>
            <w:shd w:val="clear" w:color="auto" w:fill="D0D3DB"/>
          </w:tcPr>
          <w:p>
            <w:pPr>
              <w:jc w:val="right"/>
              <w:spacing w:after="0" w:line="310"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106.05</w:t>
            </w:r>
          </w:p>
        </w:tc>
        <w:tc>
          <w:tcPr>
            <w:tcW w:w="160" w:type="dxa"/>
            <w:vAlign w:val="bottom"/>
          </w:tcPr>
          <w:p>
            <w:pPr>
              <w:spacing w:after="0"/>
              <w:rPr>
                <w:sz w:val="24"/>
                <w:szCs w:val="24"/>
                <w:color w:val="auto"/>
              </w:rPr>
            </w:pPr>
          </w:p>
        </w:tc>
        <w:tc>
          <w:tcPr>
            <w:tcW w:w="880" w:type="dxa"/>
            <w:vAlign w:val="bottom"/>
            <w:tcBorders>
              <w:bottom w:val="single" w:sz="8" w:color="8590A9"/>
            </w:tcBorders>
            <w:shd w:val="clear" w:color="auto" w:fill="D0D3DB"/>
          </w:tcPr>
          <w:p>
            <w:pPr>
              <w:ind w:left="20"/>
              <w:spacing w:after="0"/>
              <w:rPr>
                <w:sz w:val="20"/>
                <w:szCs w:val="20"/>
                <w:color w:val="auto"/>
              </w:rPr>
            </w:pPr>
            <w:r>
              <w:rPr>
                <w:rFonts w:ascii="Arial" w:cs="Arial" w:eastAsia="Arial" w:hAnsi="Arial"/>
                <w:sz w:val="18"/>
                <w:szCs w:val="18"/>
                <w:color w:val="auto"/>
                <w:w w:val="93"/>
              </w:rPr>
              <w:t>01/11/2022</w:t>
            </w:r>
          </w:p>
        </w:tc>
        <w:tc>
          <w:tcPr>
            <w:tcW w:w="180" w:type="dxa"/>
            <w:vAlign w:val="bottom"/>
          </w:tcPr>
          <w:p>
            <w:pPr>
              <w:spacing w:after="0"/>
              <w:rPr>
                <w:sz w:val="24"/>
                <w:szCs w:val="24"/>
                <w:color w:val="auto"/>
              </w:rPr>
            </w:pPr>
          </w:p>
        </w:tc>
        <w:tc>
          <w:tcPr>
            <w:tcW w:w="74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4"/>
                <w:szCs w:val="24"/>
                <w:color w:val="auto"/>
              </w:rPr>
            </w:pPr>
          </w:p>
        </w:tc>
        <w:tc>
          <w:tcPr>
            <w:tcW w:w="10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w w:val="94"/>
              </w:rPr>
              <w:t>1,581,600</w:t>
            </w:r>
          </w:p>
        </w:tc>
        <w:tc>
          <w:tcPr>
            <w:tcW w:w="160" w:type="dxa"/>
            <w:vAlign w:val="bottom"/>
          </w:tcPr>
          <w:p>
            <w:pPr>
              <w:spacing w:after="0"/>
              <w:rPr>
                <w:sz w:val="24"/>
                <w:szCs w:val="24"/>
                <w:color w:val="auto"/>
              </w:rPr>
            </w:pPr>
          </w:p>
        </w:tc>
        <w:tc>
          <w:tcPr>
            <w:tcW w:w="98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04"/>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000" w:type="dxa"/>
            <w:vAlign w:val="bottom"/>
            <w:gridSpan w:val="2"/>
          </w:tcPr>
          <w:p>
            <w:pPr>
              <w:jc w:val="right"/>
              <w:ind w:right="80"/>
              <w:spacing w:after="0" w:line="303"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106.05</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01/11/2027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303"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$ 790,800</w:t>
            </w:r>
          </w:p>
        </w:tc>
        <w:tc>
          <w:tcPr>
            <w:tcW w:w="20" w:type="dxa"/>
            <w:vAlign w:val="bottom"/>
          </w:tcPr>
          <w:p>
            <w:pPr>
              <w:spacing w:after="0"/>
              <w:rPr>
                <w:sz w:val="24"/>
                <w:szCs w:val="24"/>
                <w:color w:val="auto"/>
              </w:rPr>
            </w:pPr>
          </w:p>
        </w:tc>
      </w:tr>
      <w:tr>
        <w:trPr>
          <w:trHeight w:val="230"/>
        </w:trPr>
        <w:tc>
          <w:tcPr>
            <w:tcW w:w="35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8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20"/>
                <w:szCs w:val="20"/>
                <w:color w:val="auto"/>
              </w:rPr>
            </w:pPr>
          </w:p>
        </w:tc>
        <w:tc>
          <w:tcPr>
            <w:tcW w:w="9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5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90.15</w:t>
            </w:r>
          </w:p>
        </w:tc>
        <w:tc>
          <w:tcPr>
            <w:tcW w:w="160" w:type="dxa"/>
            <w:vAlign w:val="bottom"/>
          </w:tcPr>
          <w:p>
            <w:pPr>
              <w:spacing w:after="0"/>
              <w:rPr>
                <w:sz w:val="20"/>
                <w:szCs w:val="20"/>
                <w:color w:val="auto"/>
              </w:rPr>
            </w:pPr>
          </w:p>
        </w:tc>
        <w:tc>
          <w:tcPr>
            <w:tcW w:w="880" w:type="dxa"/>
            <w:vAlign w:val="bottom"/>
            <w:tcBorders>
              <w:top w:val="single" w:sz="8" w:color="8590A9"/>
              <w:bottom w:val="single" w:sz="8" w:color="8590A9"/>
            </w:tcBorders>
            <w:shd w:val="clear" w:color="auto" w:fill="D0D3DB"/>
          </w:tcPr>
          <w:p>
            <w:pPr>
              <w:ind w:left="20"/>
              <w:spacing w:after="0"/>
              <w:rPr>
                <w:sz w:val="20"/>
                <w:szCs w:val="20"/>
                <w:color w:val="auto"/>
              </w:rPr>
            </w:pPr>
            <w:r>
              <w:rPr>
                <w:rFonts w:ascii="Arial" w:cs="Arial" w:eastAsia="Arial" w:hAnsi="Arial"/>
                <w:sz w:val="18"/>
                <w:szCs w:val="18"/>
                <w:color w:val="auto"/>
                <w:highlight w:val="lightGray"/>
                <w:w w:val="93"/>
              </w:rPr>
              <w:t>12/12/2023</w:t>
            </w:r>
          </w:p>
        </w:tc>
        <w:tc>
          <w:tcPr>
            <w:tcW w:w="180" w:type="dxa"/>
            <w:vAlign w:val="bottom"/>
          </w:tcPr>
          <w:p>
            <w:pPr>
              <w:spacing w:after="0"/>
              <w:rPr>
                <w:sz w:val="20"/>
                <w:szCs w:val="20"/>
                <w:color w:val="auto"/>
              </w:rPr>
            </w:pPr>
          </w:p>
        </w:tc>
        <w:tc>
          <w:tcPr>
            <w:tcW w:w="74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0"/>
                <w:szCs w:val="20"/>
                <w:color w:val="auto"/>
              </w:rPr>
            </w:pPr>
          </w:p>
        </w:tc>
        <w:tc>
          <w:tcPr>
            <w:tcW w:w="10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w w:val="79"/>
              </w:rPr>
              <w:t>$</w:t>
            </w:r>
          </w:p>
        </w:tc>
        <w:tc>
          <w:tcPr>
            <w:tcW w:w="7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highlight w:val="lightGray"/>
              </w:rPr>
              <w:t>948,960</w:t>
            </w:r>
          </w:p>
        </w:tc>
        <w:tc>
          <w:tcPr>
            <w:tcW w:w="160" w:type="dxa"/>
            <w:vAlign w:val="bottom"/>
          </w:tcPr>
          <w:p>
            <w:pPr>
              <w:spacing w:after="0"/>
              <w:rPr>
                <w:sz w:val="20"/>
                <w:szCs w:val="20"/>
                <w:color w:val="auto"/>
              </w:rPr>
            </w:pPr>
          </w:p>
        </w:tc>
        <w:tc>
          <w:tcPr>
            <w:tcW w:w="98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8590A9"/>
              <w:bottom w:val="single" w:sz="8" w:color="8590A9"/>
            </w:tcBorders>
            <w:shd w:val="clear" w:color="auto" w:fill="D0D3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311"/>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000" w:type="dxa"/>
            <w:vAlign w:val="bottom"/>
            <w:gridSpan w:val="2"/>
          </w:tcPr>
          <w:p>
            <w:pPr>
              <w:jc w:val="right"/>
              <w:ind w:right="80"/>
              <w:spacing w:after="0" w:line="310"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106.05</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01/11/2022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5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8590A9"/>
          </w:tcPr>
          <w:p>
            <w:pPr>
              <w:spacing w:after="0" w:line="20" w:lineRule="exact"/>
              <w:rPr>
                <w:sz w:val="1"/>
                <w:szCs w:val="1"/>
                <w:color w:val="auto"/>
              </w:rPr>
            </w:pPr>
          </w:p>
        </w:tc>
        <w:tc>
          <w:tcPr>
            <w:tcW w:w="20" w:type="dxa"/>
            <w:vAlign w:val="bottom"/>
            <w:shd w:val="clear" w:color="auto" w:fill="8590A9"/>
          </w:tcPr>
          <w:p>
            <w:pPr>
              <w:spacing w:after="0" w:line="20" w:lineRule="exact"/>
              <w:rPr>
                <w:sz w:val="1"/>
                <w:szCs w:val="1"/>
                <w:color w:val="auto"/>
              </w:rPr>
            </w:pPr>
          </w:p>
        </w:tc>
      </w:tr>
      <w:tr>
        <w:trPr>
          <w:trHeight w:val="304"/>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000" w:type="dxa"/>
            <w:vAlign w:val="bottom"/>
            <w:gridSpan w:val="2"/>
          </w:tcPr>
          <w:p>
            <w:pPr>
              <w:jc w:val="right"/>
              <w:ind w:right="80"/>
              <w:spacing w:after="0" w:line="303"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106.05</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01/11/2027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345988"/>
          </w:tcPr>
          <w:p>
            <w:pPr>
              <w:spacing w:after="0"/>
              <w:rPr>
                <w:sz w:val="2"/>
                <w:szCs w:val="2"/>
                <w:color w:val="auto"/>
              </w:rPr>
            </w:pPr>
          </w:p>
        </w:tc>
        <w:tc>
          <w:tcPr>
            <w:tcW w:w="5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78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345988"/>
          </w:tcPr>
          <w:p>
            <w:pPr>
              <w:spacing w:after="0"/>
              <w:rPr>
                <w:sz w:val="2"/>
                <w:szCs w:val="2"/>
                <w:color w:val="auto"/>
              </w:rPr>
            </w:pPr>
          </w:p>
        </w:tc>
        <w:tc>
          <w:tcPr>
            <w:tcW w:w="20" w:type="dxa"/>
            <w:vAlign w:val="bottom"/>
            <w:shd w:val="clear" w:color="auto" w:fill="345988"/>
          </w:tcPr>
          <w:p>
            <w:pPr>
              <w:spacing w:after="0"/>
              <w:rPr>
                <w:sz w:val="2"/>
                <w:szCs w:val="2"/>
                <w:color w:val="auto"/>
              </w:rPr>
            </w:pPr>
          </w:p>
        </w:tc>
      </w:tr>
    </w:tbl>
    <w:p>
      <w:pPr>
        <w:spacing w:after="0" w:line="107"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w w:val="95"/>
              </w:rPr>
              <w:t>Performance-</w:t>
            </w:r>
          </w:p>
        </w:tc>
        <w:tc>
          <w:tcPr>
            <w:tcW w:w="82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Based</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Time-Based</w:t>
            </w:r>
          </w:p>
        </w:tc>
      </w:tr>
      <w:tr>
        <w:trPr>
          <w:trHeight w:val="149"/>
        </w:trPr>
        <w:tc>
          <w:tcPr>
            <w:tcW w:w="7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Employment</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w w:val="95"/>
              </w:rPr>
              <w:t>Employment</w:t>
            </w:r>
          </w:p>
        </w:tc>
      </w:tr>
      <w:tr>
        <w:trPr>
          <w:trHeight w:val="157"/>
        </w:trPr>
        <w:tc>
          <w:tcPr>
            <w:tcW w:w="7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345988"/>
              </w:rPr>
              <w:t>Notional</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345988"/>
              </w:rPr>
              <w:t>Agreement</w:t>
            </w:r>
          </w:p>
        </w:tc>
        <w:tc>
          <w:tcPr>
            <w:tcW w:w="820" w:type="dxa"/>
            <w:vAlign w:val="bottom"/>
          </w:tcPr>
          <w:p>
            <w:pPr>
              <w:jc w:val="right"/>
              <w:spacing w:after="0" w:line="157" w:lineRule="exact"/>
              <w:rPr>
                <w:sz w:val="20"/>
                <w:szCs w:val="20"/>
                <w:color w:val="auto"/>
              </w:rPr>
            </w:pPr>
            <w:r>
              <w:rPr>
                <w:rFonts w:ascii="Arial" w:cs="Arial" w:eastAsia="Arial" w:hAnsi="Arial"/>
                <w:sz w:val="14"/>
                <w:szCs w:val="14"/>
                <w:b w:val="1"/>
                <w:bCs w:val="1"/>
                <w:color w:val="345988"/>
              </w:rPr>
              <w:t>Agreement</w:t>
            </w:r>
          </w:p>
        </w:tc>
      </w:tr>
      <w:tr>
        <w:trPr>
          <w:trHeight w:val="231"/>
        </w:trPr>
        <w:tc>
          <w:tcPr>
            <w:tcW w:w="7960" w:type="dxa"/>
            <w:vAlign w:val="bottom"/>
            <w:tcBorders>
              <w:bottom w:val="single" w:sz="8" w:color="345988"/>
            </w:tcBorders>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20"/>
                <w:szCs w:val="20"/>
                <w:color w:val="auto"/>
              </w:rPr>
            </w:pPr>
          </w:p>
        </w:tc>
        <w:tc>
          <w:tcPr>
            <w:tcW w:w="900" w:type="dxa"/>
            <w:vAlign w:val="bottom"/>
            <w:tcBorders>
              <w:bottom w:val="single" w:sz="8" w:color="345988"/>
            </w:tcBorders>
          </w:tcPr>
          <w:p>
            <w:pPr>
              <w:jc w:val="right"/>
              <w:spacing w:after="0" w:line="224" w:lineRule="exact"/>
              <w:rPr>
                <w:sz w:val="20"/>
                <w:szCs w:val="20"/>
                <w:color w:val="auto"/>
              </w:rPr>
            </w:pPr>
            <w:r>
              <w:rPr>
                <w:rFonts w:ascii="Arial" w:cs="Arial" w:eastAsia="Arial" w:hAnsi="Arial"/>
                <w:sz w:val="14"/>
                <w:szCs w:val="14"/>
                <w:b w:val="1"/>
                <w:bCs w:val="1"/>
                <w:color w:val="345988"/>
                <w:w w:val="92"/>
              </w:rPr>
              <w:t>Stock Units</w:t>
            </w:r>
            <w:r>
              <w:rPr>
                <w:rFonts w:ascii="Arial" w:cs="Arial" w:eastAsia="Arial" w:hAnsi="Arial"/>
                <w:sz w:val="22"/>
                <w:szCs w:val="22"/>
                <w:b w:val="1"/>
                <w:bCs w:val="1"/>
                <w:color w:val="345988"/>
                <w:w w:val="92"/>
                <w:vertAlign w:val="superscript"/>
              </w:rPr>
              <w:t>(a)</w:t>
            </w:r>
          </w:p>
        </w:tc>
        <w:tc>
          <w:tcPr>
            <w:tcW w:w="160" w:type="dxa"/>
            <w:vAlign w:val="bottom"/>
          </w:tcPr>
          <w:p>
            <w:pPr>
              <w:spacing w:after="0"/>
              <w:rPr>
                <w:sz w:val="20"/>
                <w:szCs w:val="20"/>
                <w:color w:val="auto"/>
              </w:rPr>
            </w:pPr>
          </w:p>
        </w:tc>
        <w:tc>
          <w:tcPr>
            <w:tcW w:w="880" w:type="dxa"/>
            <w:vAlign w:val="bottom"/>
            <w:tcBorders>
              <w:bottom w:val="single" w:sz="8" w:color="345988"/>
            </w:tcBorders>
          </w:tcPr>
          <w:p>
            <w:pPr>
              <w:jc w:val="right"/>
              <w:spacing w:after="0" w:line="224" w:lineRule="exact"/>
              <w:rPr>
                <w:sz w:val="20"/>
                <w:szCs w:val="20"/>
                <w:color w:val="auto"/>
              </w:rPr>
            </w:pPr>
            <w:r>
              <w:rPr>
                <w:rFonts w:ascii="Arial" w:cs="Arial" w:eastAsia="Arial" w:hAnsi="Arial"/>
                <w:sz w:val="14"/>
                <w:szCs w:val="14"/>
                <w:b w:val="1"/>
                <w:bCs w:val="1"/>
                <w:color w:val="345988"/>
                <w:w w:val="97"/>
              </w:rPr>
              <w:t>LTIP Units</w:t>
            </w:r>
            <w:r>
              <w:rPr>
                <w:rFonts w:ascii="Arial" w:cs="Arial" w:eastAsia="Arial" w:hAnsi="Arial"/>
                <w:sz w:val="22"/>
                <w:szCs w:val="22"/>
                <w:b w:val="1"/>
                <w:bCs w:val="1"/>
                <w:color w:val="345988"/>
                <w:w w:val="97"/>
                <w:vertAlign w:val="superscript"/>
              </w:rPr>
              <w:t>(b)</w:t>
            </w:r>
          </w:p>
        </w:tc>
        <w:tc>
          <w:tcPr>
            <w:tcW w:w="160" w:type="dxa"/>
            <w:vAlign w:val="bottom"/>
          </w:tcPr>
          <w:p>
            <w:pPr>
              <w:spacing w:after="0"/>
              <w:rPr>
                <w:sz w:val="20"/>
                <w:szCs w:val="20"/>
                <w:color w:val="auto"/>
              </w:rPr>
            </w:pPr>
          </w:p>
        </w:tc>
        <w:tc>
          <w:tcPr>
            <w:tcW w:w="820" w:type="dxa"/>
            <w:vAlign w:val="bottom"/>
            <w:tcBorders>
              <w:bottom w:val="single" w:sz="8" w:color="345988"/>
            </w:tcBorders>
          </w:tcPr>
          <w:p>
            <w:pPr>
              <w:jc w:val="right"/>
              <w:spacing w:after="0" w:line="224" w:lineRule="exact"/>
              <w:rPr>
                <w:sz w:val="20"/>
                <w:szCs w:val="20"/>
                <w:color w:val="auto"/>
              </w:rPr>
            </w:pPr>
            <w:r>
              <w:rPr>
                <w:rFonts w:ascii="Arial" w:cs="Arial" w:eastAsia="Arial" w:hAnsi="Arial"/>
                <w:sz w:val="14"/>
                <w:szCs w:val="14"/>
                <w:b w:val="1"/>
                <w:bCs w:val="1"/>
                <w:color w:val="345988"/>
                <w:w w:val="91"/>
              </w:rPr>
              <w:t>LTIP Units</w:t>
            </w:r>
            <w:r>
              <w:rPr>
                <w:rFonts w:ascii="Arial" w:cs="Arial" w:eastAsia="Arial" w:hAnsi="Arial"/>
                <w:sz w:val="22"/>
                <w:szCs w:val="22"/>
                <w:b w:val="1"/>
                <w:bCs w:val="1"/>
                <w:color w:val="345988"/>
                <w:w w:val="91"/>
                <w:vertAlign w:val="superscript"/>
              </w:rPr>
              <w:t>(c)</w:t>
            </w:r>
          </w:p>
        </w:tc>
      </w:tr>
      <w:tr>
        <w:trPr>
          <w:trHeight w:val="237"/>
        </w:trPr>
        <w:tc>
          <w:tcPr>
            <w:tcW w:w="796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7,692</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8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15,000</w:t>
            </w:r>
          </w:p>
        </w:tc>
      </w:tr>
      <w:tr>
        <w:trPr>
          <w:trHeight w:val="250"/>
        </w:trPr>
        <w:tc>
          <w:tcPr>
            <w:tcW w:w="7960" w:type="dxa"/>
            <w:vAlign w:val="bottom"/>
            <w:tcBorders>
              <w:bottom w:val="single" w:sz="8" w:color="345988"/>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9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1"/>
                <w:szCs w:val="21"/>
                <w:color w:val="auto"/>
              </w:rPr>
            </w:pPr>
          </w:p>
        </w:tc>
        <w:tc>
          <w:tcPr>
            <w:tcW w:w="8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6,000</w:t>
            </w:r>
          </w:p>
        </w:tc>
      </w:tr>
    </w:tbl>
    <w:p>
      <w:pPr>
        <w:spacing w:after="0" w:line="107" w:lineRule="exact"/>
        <w:rPr>
          <w:sz w:val="20"/>
          <w:szCs w:val="20"/>
          <w:color w:val="auto"/>
        </w:rPr>
      </w:pPr>
    </w:p>
    <w:p>
      <w:pPr>
        <w:ind w:left="760" w:right="160" w:hanging="374"/>
        <w:spacing w:after="0" w:line="226" w:lineRule="auto"/>
        <w:tabs>
          <w:tab w:leader="none" w:pos="760" w:val="left"/>
        </w:tabs>
        <w:numPr>
          <w:ilvl w:val="1"/>
          <w:numId w:val="96"/>
        </w:numPr>
        <w:rPr>
          <w:rFonts w:ascii="Arial" w:cs="Arial" w:eastAsia="Arial" w:hAnsi="Arial"/>
          <w:sz w:val="14"/>
          <w:szCs w:val="14"/>
          <w:color w:val="auto"/>
        </w:rPr>
      </w:pPr>
      <w:r>
        <w:rPr>
          <w:rFonts w:ascii="Arial" w:cs="Arial" w:eastAsia="Arial" w:hAnsi="Arial"/>
          <w:sz w:val="14"/>
          <w:szCs w:val="14"/>
          <w:color w:val="auto"/>
        </w:rPr>
        <w:t>Represents notional stock units, each of which represents the contingent right to receive the value of one share of our common stock in accordance with the terms of a deferred compensation agreement. These notional stock units vested on 01/17/2019. Vested notional stock units are settled in cash no later than 30 days following the earliest of (i) Mr. Holliday’s death, (ii) the date of Mr. Holliday’s separation from service with us, and (iii) the effective date of a change in control (as defined in the deferred compensation agreement).</w:t>
      </w:r>
    </w:p>
    <w:p>
      <w:pPr>
        <w:spacing w:after="0" w:line="95" w:lineRule="exact"/>
        <w:rPr>
          <w:rFonts w:ascii="Arial" w:cs="Arial" w:eastAsia="Arial" w:hAnsi="Arial"/>
          <w:sz w:val="14"/>
          <w:szCs w:val="14"/>
          <w:color w:val="auto"/>
        </w:rPr>
      </w:pPr>
    </w:p>
    <w:p>
      <w:pPr>
        <w:ind w:left="760" w:hanging="374"/>
        <w:spacing w:after="0"/>
        <w:tabs>
          <w:tab w:leader="none" w:pos="760" w:val="left"/>
        </w:tabs>
        <w:numPr>
          <w:ilvl w:val="1"/>
          <w:numId w:val="96"/>
        </w:numPr>
        <w:rPr>
          <w:rFonts w:ascii="Arial" w:cs="Arial" w:eastAsia="Arial" w:hAnsi="Arial"/>
          <w:sz w:val="14"/>
          <w:szCs w:val="14"/>
          <w:color w:val="auto"/>
        </w:rPr>
      </w:pPr>
      <w:r>
        <w:rPr>
          <w:rFonts w:ascii="Arial" w:cs="Arial" w:eastAsia="Arial" w:hAnsi="Arial"/>
          <w:sz w:val="14"/>
          <w:szCs w:val="14"/>
          <w:color w:val="auto"/>
        </w:rPr>
        <w:t>Represents LTIP units that vested in 2019 based on 2018 performance.</w:t>
      </w:r>
    </w:p>
    <w:p>
      <w:pPr>
        <w:spacing w:after="0" w:line="95" w:lineRule="exact"/>
        <w:rPr>
          <w:rFonts w:ascii="Arial" w:cs="Arial" w:eastAsia="Arial" w:hAnsi="Arial"/>
          <w:sz w:val="14"/>
          <w:szCs w:val="14"/>
          <w:color w:val="auto"/>
        </w:rPr>
      </w:pPr>
    </w:p>
    <w:p>
      <w:pPr>
        <w:ind w:left="760" w:right="180" w:hanging="374"/>
        <w:spacing w:after="0" w:line="231" w:lineRule="auto"/>
        <w:tabs>
          <w:tab w:leader="none" w:pos="760" w:val="left"/>
        </w:tabs>
        <w:numPr>
          <w:ilvl w:val="1"/>
          <w:numId w:val="96"/>
        </w:numPr>
        <w:rPr>
          <w:rFonts w:ascii="Arial" w:cs="Arial" w:eastAsia="Arial" w:hAnsi="Arial"/>
          <w:sz w:val="14"/>
          <w:szCs w:val="14"/>
          <w:color w:val="auto"/>
        </w:rPr>
      </w:pPr>
      <w:r>
        <w:rPr>
          <w:rFonts w:ascii="Arial" w:cs="Arial" w:eastAsia="Arial" w:hAnsi="Arial"/>
          <w:sz w:val="14"/>
          <w:szCs w:val="14"/>
          <w:color w:val="auto"/>
        </w:rPr>
        <w:t>For Mr. DiLiberto, represents 5,000 LTIP units that vested on 01/01/2019, 5,000 LTIP units scheduled to vest 01/01/2020 and 5,000 LTIP units scheduled to vest on 01/01/2021, subject to continued employment. For Mr. Levine, represents 6,000 LTIP units that vested on 01/01/2019.</w:t>
      </w:r>
    </w:p>
    <w:p>
      <w:pPr>
        <w:spacing w:after="0" w:line="95" w:lineRule="exact"/>
        <w:rPr>
          <w:rFonts w:ascii="Arial" w:cs="Arial" w:eastAsia="Arial" w:hAnsi="Arial"/>
          <w:sz w:val="14"/>
          <w:szCs w:val="14"/>
          <w:color w:val="auto"/>
        </w:rPr>
      </w:pPr>
    </w:p>
    <w:p>
      <w:pPr>
        <w:ind w:left="380" w:right="80" w:hanging="372"/>
        <w:spacing w:after="0" w:line="231" w:lineRule="auto"/>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Based on a price of $79.08 per share/unit, which was the closing price on the NYSE of one share of our common stock on December 31, 2018. Assumes that the value of LTIP units on a per unit basis is equal to the per share value of our common stock.</w:t>
      </w:r>
    </w:p>
    <w:p>
      <w:pPr>
        <w:spacing w:after="0" w:line="95" w:lineRule="exact"/>
        <w:rPr>
          <w:rFonts w:ascii="Arial" w:cs="Arial" w:eastAsia="Arial" w:hAnsi="Arial"/>
          <w:sz w:val="14"/>
          <w:szCs w:val="14"/>
          <w:color w:val="auto"/>
        </w:rPr>
      </w:pPr>
    </w:p>
    <w:p>
      <w:pPr>
        <w:ind w:left="380" w:right="80" w:hanging="372"/>
        <w:spacing w:after="0" w:line="226" w:lineRule="auto"/>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two-thirds of a grant of 15,000 LTIP units that was awarded in connection with Mr. DiLiberto’s employment agreement and was subject to the achievement of performance-based vesting hurdles over three years. One-third of the LTIP units were initially eligible to be earned in each of 2019, 2020 and 2021, with 50-100% of such LTIP units earned upon the achievement of either annual FFO growth of 2.5-5.0% per year or TSR in the top 66.7-33.3% of the MSCI US REIT Index, respectively, during the prior year (or on a cumulative basis from 2018 through the end of such year or a subsequent quarter during the term of Mr. DiLiberto’s employment</w:t>
      </w:r>
    </w:p>
    <w:p>
      <w:pPr>
        <w:spacing w:after="0" w:line="208"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08" w:lineRule="exact"/>
        <w:rPr>
          <w:sz w:val="20"/>
          <w:szCs w:val="20"/>
          <w:color w:val="auto"/>
        </w:rPr>
      </w:pPr>
    </w:p>
    <w:p>
      <w:pPr>
        <w:jc w:val="both"/>
        <w:ind w:left="380"/>
        <w:spacing w:after="0" w:line="264" w:lineRule="auto"/>
        <w:rPr>
          <w:sz w:val="20"/>
          <w:szCs w:val="20"/>
          <w:color w:val="auto"/>
        </w:rPr>
      </w:pPr>
      <w:r>
        <w:rPr>
          <w:rFonts w:ascii="Arial" w:cs="Arial" w:eastAsia="Arial" w:hAnsi="Arial"/>
          <w:sz w:val="12"/>
          <w:szCs w:val="12"/>
          <w:color w:val="auto"/>
        </w:rPr>
        <w:t>agreement). None of these LTIP units will vest if threshold performance is not achieved. “Threshold” performance equals annual FFO growth of 2.5% per year or TSR in the top 66.7% of the MSCI US REIT Index. “Target” performance equals annual FFO growth of 3.75% per year or TSR in the top 50% of the MSCI US REIT Index. “Maximum” performance equals</w:t>
      </w:r>
    </w:p>
    <w:p>
      <w:pPr>
        <w:ind w:left="380" w:right="240"/>
        <w:spacing w:after="0" w:line="199" w:lineRule="auto"/>
        <w:rPr>
          <w:sz w:val="20"/>
          <w:szCs w:val="20"/>
          <w:color w:val="auto"/>
        </w:rPr>
      </w:pPr>
      <w:r>
        <w:rPr>
          <w:rFonts w:ascii="Arial" w:cs="Arial" w:eastAsia="Arial" w:hAnsi="Arial"/>
          <w:sz w:val="14"/>
          <w:szCs w:val="14"/>
          <w:color w:val="auto"/>
        </w:rPr>
        <w:t>annual FFO growth of 5.0% per year or TSR in the top 33.3% of the MSCI US REIT Index. Vesting is also subject to Mr. DiLiberto’s continued employment through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of the year following the year in which the performance-based vesting hurdles are achieved.</w:t>
      </w:r>
    </w:p>
    <w:p>
      <w:pPr>
        <w:spacing w:after="0" w:line="96" w:lineRule="exact"/>
        <w:rPr>
          <w:sz w:val="20"/>
          <w:szCs w:val="20"/>
          <w:color w:val="auto"/>
        </w:rPr>
      </w:pPr>
    </w:p>
    <w:p>
      <w:pPr>
        <w:ind w:left="380" w:right="180" w:hanging="372"/>
        <w:spacing w:after="0" w:line="265" w:lineRule="auto"/>
        <w:tabs>
          <w:tab w:leader="none" w:pos="3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Reflects an award of 15,000 Class O LTIP units with a mandatory conversion date that is 5 years after the date of grant and an award of 15,000 Class O LTIP units with a mandatory conversion date that is 10 years after the date of grant, each of which vests pro-rata over a three-year period on January 1, 2018, 2019 and 2020, respectively, subject to continued employment through each vesting date. Accordingly, 5,000 of the Class O LTIP units of each award vested on January 1, 2018, and 10,000 Class O LTIP units of each award remain subject to vesting pursuant to the foregoing terms.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January 10, 2017, the last preceding trading date prior to the grant date. See “—Compensation Discussion and Analysis—Other Compensation Policies and Information—Other Matters— LTIP units and Class O LTIP units” for a description of Class O LTIP units.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2018 Option Exercises and Stock Vested</w:t>
      </w:r>
    </w:p>
    <w:p>
      <w:pPr>
        <w:spacing w:after="0" w:line="233"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2018.</w:t>
      </w:r>
    </w:p>
    <w:p>
      <w:pPr>
        <w:spacing w:after="0" w:line="183" w:lineRule="exact"/>
        <w:rPr>
          <w:sz w:val="20"/>
          <w:szCs w:val="20"/>
          <w:color w:val="auto"/>
        </w:rPr>
      </w:pPr>
    </w:p>
    <w:p>
      <w:pPr>
        <w:ind w:left="7380"/>
        <w:spacing w:after="0"/>
        <w:tabs>
          <w:tab w:leader="none" w:pos="9840" w:val="left"/>
        </w:tabs>
        <w:rPr>
          <w:sz w:val="20"/>
          <w:szCs w:val="20"/>
          <w:color w:val="auto"/>
        </w:rPr>
      </w:pPr>
      <w:r>
        <w:rPr>
          <w:rFonts w:ascii="Arial" w:cs="Arial" w:eastAsia="Arial" w:hAnsi="Arial"/>
          <w:sz w:val="14"/>
          <w:szCs w:val="14"/>
          <w:b w:val="1"/>
          <w:bCs w:val="1"/>
          <w:color w:val="345988"/>
        </w:rPr>
        <w:t>Option Awards</w:t>
      </w:r>
      <w:r>
        <w:rPr>
          <w:sz w:val="20"/>
          <w:szCs w:val="20"/>
          <w:color w:val="auto"/>
        </w:rPr>
        <w:tab/>
      </w:r>
      <w:r>
        <w:rPr>
          <w:rFonts w:ascii="Arial" w:cs="Arial" w:eastAsia="Arial" w:hAnsi="Arial"/>
          <w:sz w:val="12"/>
          <w:szCs w:val="12"/>
          <w:b w:val="1"/>
          <w:bCs w:val="1"/>
          <w:color w:val="345988"/>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36830</wp:posOffset>
            </wp:positionV>
            <wp:extent cx="29845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345988"/>
        </w:rPr>
        <w:t>Number of</w:t>
      </w:r>
    </w:p>
    <w:p>
      <w:pPr>
        <w:jc w:val="right"/>
        <w:spacing w:after="0" w:line="226" w:lineRule="auto"/>
        <w:rPr>
          <w:sz w:val="20"/>
          <w:szCs w:val="20"/>
          <w:color w:val="auto"/>
        </w:rPr>
      </w:pPr>
      <w:r>
        <w:rPr>
          <w:rFonts w:ascii="Arial" w:cs="Arial" w:eastAsia="Arial" w:hAnsi="Arial"/>
          <w:sz w:val="14"/>
          <w:szCs w:val="14"/>
          <w:b w:val="1"/>
          <w:bCs w:val="1"/>
          <w:color w:val="345988"/>
        </w:rPr>
        <w:t>Shares Acquired</w:t>
      </w:r>
    </w:p>
    <w:p>
      <w:pPr>
        <w:spacing w:after="0" w:line="1" w:lineRule="exact"/>
        <w:rPr>
          <w:sz w:val="20"/>
          <w:szCs w:val="20"/>
          <w:color w:val="auto"/>
        </w:rPr>
      </w:pPr>
    </w:p>
    <w:p>
      <w:pPr>
        <w:spacing w:after="0"/>
        <w:tabs>
          <w:tab w:leader="none" w:pos="6820" w:val="left"/>
        </w:tabs>
        <w:rPr>
          <w:sz w:val="20"/>
          <w:szCs w:val="20"/>
          <w:color w:val="auto"/>
        </w:rPr>
      </w:pPr>
      <w:r>
        <w:rPr>
          <w:rFonts w:ascii="Arial" w:cs="Arial" w:eastAsia="Arial" w:hAnsi="Arial"/>
          <w:sz w:val="12"/>
          <w:szCs w:val="12"/>
          <w:b w:val="1"/>
          <w:bCs w:val="1"/>
          <w:color w:val="auto"/>
        </w:rPr>
        <w:t>Name</w:t>
      </w:r>
      <w:r>
        <w:rPr>
          <w:sz w:val="20"/>
          <w:szCs w:val="20"/>
          <w:color w:val="auto"/>
        </w:rPr>
        <w:tab/>
      </w:r>
      <w:r>
        <w:rPr>
          <w:rFonts w:ascii="Arial" w:cs="Arial" w:eastAsia="Arial" w:hAnsi="Arial"/>
          <w:sz w:val="12"/>
          <w:szCs w:val="12"/>
          <w:b w:val="1"/>
          <w:bCs w:val="1"/>
          <w:color w:val="345988"/>
        </w:rPr>
        <w:t>on Exercise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345988"/>
              </w:rPr>
              <w:t>Value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345988"/>
              </w:rPr>
              <w:t>Number of</w:t>
            </w:r>
          </w:p>
        </w:tc>
      </w:tr>
      <w:tr>
        <w:trPr>
          <w:trHeight w:val="149"/>
        </w:trPr>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345988"/>
              </w:rPr>
              <w:t>Realized on</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Shares Acquired</w:t>
            </w:r>
          </w:p>
        </w:tc>
      </w:tr>
      <w:tr>
        <w:trPr>
          <w:trHeight w:val="203"/>
        </w:trPr>
        <w:tc>
          <w:tcPr>
            <w:tcW w:w="900" w:type="dxa"/>
            <w:vAlign w:val="bottom"/>
          </w:tcPr>
          <w:p>
            <w:pPr>
              <w:jc w:val="right"/>
              <w:ind w:right="12"/>
              <w:spacing w:after="0" w:line="203" w:lineRule="exact"/>
              <w:rPr>
                <w:sz w:val="20"/>
                <w:szCs w:val="20"/>
                <w:color w:val="auto"/>
              </w:rPr>
            </w:pPr>
            <w:r>
              <w:rPr>
                <w:rFonts w:ascii="Arial" w:cs="Arial" w:eastAsia="Arial" w:hAnsi="Arial"/>
                <w:sz w:val="14"/>
                <w:szCs w:val="14"/>
                <w:b w:val="1"/>
                <w:bCs w:val="1"/>
                <w:color w:val="345988"/>
                <w:w w:val="89"/>
              </w:rPr>
              <w:t>Vesting</w:t>
            </w:r>
            <w:r>
              <w:rPr>
                <w:rFonts w:ascii="Arial" w:cs="Arial" w:eastAsia="Arial" w:hAnsi="Arial"/>
                <w:sz w:val="22"/>
                <w:szCs w:val="22"/>
                <w:b w:val="1"/>
                <w:bCs w:val="1"/>
                <w:color w:val="345988"/>
                <w:w w:val="89"/>
                <w:vertAlign w:val="superscript"/>
              </w:rPr>
              <w:t>(1)</w:t>
            </w:r>
            <w:r>
              <w:rPr>
                <w:rFonts w:ascii="Arial" w:cs="Arial" w:eastAsia="Arial" w:hAnsi="Arial"/>
                <w:sz w:val="14"/>
                <w:szCs w:val="14"/>
                <w:b w:val="1"/>
                <w:bCs w:val="1"/>
                <w:color w:val="345988"/>
                <w:w w:val="89"/>
              </w:rPr>
              <w:t xml:space="preserve"> ($)</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345988"/>
              </w:rPr>
              <w:t>on Vesting (#)</w:t>
            </w: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345988"/>
        </w:rPr>
        <w:t>Value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345988"/>
        </w:rPr>
        <w:t>Realized 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345988"/>
        </w:rPr>
        <w:t>Vesting</w:t>
      </w:r>
      <w:r>
        <w:rPr>
          <w:rFonts w:ascii="Arial" w:cs="Arial" w:eastAsia="Arial" w:hAnsi="Arial"/>
          <w:sz w:val="19"/>
          <w:szCs w:val="19"/>
          <w:b w:val="1"/>
          <w:bCs w:val="1"/>
          <w:color w:val="345988"/>
          <w:vertAlign w:val="superscript"/>
        </w:rPr>
        <w:t>(2)</w:t>
      </w:r>
      <w:r>
        <w:rPr>
          <w:rFonts w:ascii="Arial" w:cs="Arial" w:eastAsia="Arial" w:hAnsi="Arial"/>
          <w:sz w:val="12"/>
          <w:szCs w:val="12"/>
          <w:b w:val="1"/>
          <w:bCs w:val="1"/>
          <w:color w:val="345988"/>
        </w:rPr>
        <w:t xml:space="preserve"> ($)</w:t>
      </w:r>
    </w:p>
    <w:p>
      <w:pPr>
        <w:spacing w:after="0" w:line="20" w:lineRule="exact"/>
        <w:rPr>
          <w:sz w:val="20"/>
          <w:szCs w:val="20"/>
          <w:color w:val="auto"/>
        </w:rPr>
      </w:pPr>
    </w:p>
    <w:p>
      <w:pPr>
        <w:sectPr>
          <w:pgSz w:w="11900" w:h="16838" w:orient="portrait"/>
          <w:cols w:equalWidth="0" w:num="3">
            <w:col w:w="7800" w:space="400"/>
            <w:col w:w="2060" w:space="340"/>
            <w:col w:w="8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56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3459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345988"/>
          </w:tcPr>
          <w:p>
            <w:pPr>
              <w:spacing w:after="0" w:line="20" w:lineRule="exact"/>
              <w:rPr>
                <w:sz w:val="1"/>
                <w:szCs w:val="1"/>
                <w:color w:val="auto"/>
              </w:rPr>
            </w:pPr>
          </w:p>
        </w:tc>
        <w:tc>
          <w:tcPr>
            <w:tcW w:w="8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45988"/>
          </w:tcPr>
          <w:p>
            <w:pPr>
              <w:spacing w:after="0" w:line="20" w:lineRule="exact"/>
              <w:rPr>
                <w:sz w:val="1"/>
                <w:szCs w:val="1"/>
                <w:color w:val="auto"/>
              </w:rPr>
            </w:pPr>
          </w:p>
        </w:tc>
        <w:tc>
          <w:tcPr>
            <w:tcW w:w="900" w:type="dxa"/>
            <w:vAlign w:val="bottom"/>
            <w:shd w:val="clear" w:color="auto" w:fill="345988"/>
          </w:tcPr>
          <w:p>
            <w:pPr>
              <w:spacing w:after="0" w:line="20" w:lineRule="exact"/>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115,809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11,028,869</w:t>
            </w:r>
          </w:p>
        </w:tc>
      </w:tr>
      <w:tr>
        <w:trPr>
          <w:trHeight w:val="21"/>
        </w:trPr>
        <w:tc>
          <w:tcPr>
            <w:tcW w:w="6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5,793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528,768</w:t>
            </w:r>
          </w:p>
        </w:tc>
      </w:tr>
      <w:tr>
        <w:trPr>
          <w:trHeight w:val="21"/>
        </w:trPr>
        <w:tc>
          <w:tcPr>
            <w:tcW w:w="6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904,436</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120,358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10,165,495</w:t>
            </w:r>
          </w:p>
        </w:tc>
      </w:tr>
      <w:tr>
        <w:trPr>
          <w:trHeight w:val="21"/>
        </w:trPr>
        <w:tc>
          <w:tcPr>
            <w:tcW w:w="6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1,006,477</w:t>
            </w:r>
          </w:p>
        </w:tc>
      </w:tr>
      <w:tr>
        <w:trPr>
          <w:trHeight w:val="21"/>
        </w:trPr>
        <w:tc>
          <w:tcPr>
            <w:tcW w:w="65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8590A9"/>
          </w:tcPr>
          <w:p>
            <w:pPr>
              <w:spacing w:after="0" w:line="20" w:lineRule="exact"/>
              <w:rPr>
                <w:sz w:val="1"/>
                <w:szCs w:val="1"/>
                <w:color w:val="auto"/>
              </w:rPr>
            </w:pPr>
          </w:p>
        </w:tc>
        <w:tc>
          <w:tcPr>
            <w:tcW w:w="8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25,355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2,486,162</w:t>
            </w:r>
          </w:p>
        </w:tc>
      </w:tr>
      <w:tr>
        <w:trPr>
          <w:trHeight w:val="35"/>
        </w:trPr>
        <w:tc>
          <w:tcPr>
            <w:tcW w:w="65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shd w:val="clear" w:color="auto" w:fill="345988"/>
          </w:tcPr>
          <w:p>
            <w:pPr>
              <w:spacing w:after="0"/>
              <w:rPr>
                <w:sz w:val="3"/>
                <w:szCs w:val="3"/>
                <w:color w:val="auto"/>
              </w:rPr>
            </w:pPr>
          </w:p>
        </w:tc>
        <w:tc>
          <w:tcPr>
            <w:tcW w:w="8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345988"/>
          </w:tcPr>
          <w:p>
            <w:pPr>
              <w:spacing w:after="0"/>
              <w:rPr>
                <w:sz w:val="3"/>
                <w:szCs w:val="3"/>
                <w:color w:val="auto"/>
              </w:rPr>
            </w:pPr>
          </w:p>
        </w:tc>
        <w:tc>
          <w:tcPr>
            <w:tcW w:w="900" w:type="dxa"/>
            <w:vAlign w:val="bottom"/>
            <w:shd w:val="clear" w:color="auto" w:fill="345988"/>
          </w:tcPr>
          <w:p>
            <w:pPr>
              <w:spacing w:after="0"/>
              <w:rPr>
                <w:sz w:val="3"/>
                <w:szCs w:val="3"/>
                <w:color w:val="auto"/>
              </w:rPr>
            </w:pPr>
          </w:p>
        </w:tc>
      </w:tr>
    </w:tbl>
    <w:p>
      <w:pPr>
        <w:spacing w:after="0" w:line="148"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82" w:lineRule="exact"/>
        <w:rPr>
          <w:rFonts w:ascii="Arial" w:cs="Arial" w:eastAsia="Arial" w:hAnsi="Arial"/>
          <w:sz w:val="14"/>
          <w:szCs w:val="14"/>
          <w:color w:val="auto"/>
        </w:rPr>
      </w:pPr>
    </w:p>
    <w:p>
      <w:pPr>
        <w:ind w:left="380" w:hanging="372"/>
        <w:spacing w:after="0"/>
        <w:tabs>
          <w:tab w:leader="none" w:pos="3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2018 Nonqualified Deferred Compensation</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following table sets forth certain information regarding non-tax qualified compensation deferred during the year ended December 31, 2018.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2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Under our new employment agreements with our Named Executive Officers, we eliminated nonqualified deferred compensation.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Executive</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Registrant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45988"/>
              </w:rPr>
              <w:t>Aggregate</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Aggregate</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345988"/>
              </w:rPr>
              <w:t>Aggregate</w:t>
            </w:r>
          </w:p>
        </w:tc>
      </w:tr>
      <w:tr>
        <w:trPr>
          <w:trHeight w:val="149"/>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Contributions</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345988"/>
                <w:w w:val="95"/>
              </w:rPr>
              <w:t>Contributions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45988"/>
              </w:rPr>
              <w:t>Earnings</w:t>
            </w: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Withdrawals/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Balance</w:t>
            </w:r>
          </w:p>
        </w:tc>
      </w:tr>
      <w:tr>
        <w:trPr>
          <w:trHeight w:val="203"/>
        </w:trPr>
        <w:tc>
          <w:tcPr>
            <w:tcW w:w="464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7"/>
                <w:szCs w:val="17"/>
                <w:color w:val="auto"/>
              </w:rPr>
            </w:pPr>
          </w:p>
        </w:tc>
        <w:tc>
          <w:tcPr>
            <w:tcW w:w="1360" w:type="dxa"/>
            <w:vAlign w:val="bottom"/>
            <w:gridSpan w:val="3"/>
          </w:tcPr>
          <w:p>
            <w:pPr>
              <w:jc w:val="right"/>
              <w:ind w:right="160"/>
              <w:spacing w:after="0" w:line="203" w:lineRule="exact"/>
              <w:rPr>
                <w:sz w:val="20"/>
                <w:szCs w:val="20"/>
                <w:color w:val="auto"/>
              </w:rPr>
            </w:pPr>
            <w:r>
              <w:rPr>
                <w:rFonts w:ascii="Arial" w:cs="Arial" w:eastAsia="Arial" w:hAnsi="Arial"/>
                <w:sz w:val="14"/>
                <w:szCs w:val="14"/>
                <w:b w:val="1"/>
                <w:bCs w:val="1"/>
                <w:color w:val="345988"/>
                <w:w w:val="95"/>
              </w:rPr>
              <w:t>in Last FY ($)</w:t>
            </w:r>
            <w:r>
              <w:rPr>
                <w:rFonts w:ascii="Arial" w:cs="Arial" w:eastAsia="Arial" w:hAnsi="Arial"/>
                <w:sz w:val="22"/>
                <w:szCs w:val="22"/>
                <w:b w:val="1"/>
                <w:bCs w:val="1"/>
                <w:color w:val="345988"/>
                <w:w w:val="95"/>
                <w:vertAlign w:val="superscript"/>
              </w:rPr>
              <w:t>(1)(2)</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45988"/>
              </w:rPr>
              <w:t>in Last FY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80"/>
              <w:spacing w:after="0" w:line="203" w:lineRule="exact"/>
              <w:rPr>
                <w:sz w:val="20"/>
                <w:szCs w:val="20"/>
                <w:color w:val="auto"/>
              </w:rPr>
            </w:pPr>
            <w:r>
              <w:rPr>
                <w:rFonts w:ascii="Arial" w:cs="Arial" w:eastAsia="Arial" w:hAnsi="Arial"/>
                <w:sz w:val="14"/>
                <w:szCs w:val="14"/>
                <w:b w:val="1"/>
                <w:bCs w:val="1"/>
                <w:color w:val="345988"/>
                <w:w w:val="90"/>
              </w:rPr>
              <w:t>in Last FY ($)</w:t>
            </w:r>
            <w:r>
              <w:rPr>
                <w:rFonts w:ascii="Arial" w:cs="Arial" w:eastAsia="Arial" w:hAnsi="Arial"/>
                <w:sz w:val="22"/>
                <w:szCs w:val="22"/>
                <w:b w:val="1"/>
                <w:bCs w:val="1"/>
                <w:color w:val="345988"/>
                <w:w w:val="90"/>
                <w:vertAlign w:val="superscript"/>
              </w:rPr>
              <w:t>(2)(3)</w:t>
            </w:r>
          </w:p>
        </w:tc>
        <w:tc>
          <w:tcPr>
            <w:tcW w:w="1360" w:type="dxa"/>
            <w:vAlign w:val="bottom"/>
            <w:gridSpan w:val="3"/>
          </w:tcPr>
          <w:p>
            <w:pPr>
              <w:jc w:val="right"/>
              <w:ind w:right="160"/>
              <w:spacing w:after="0" w:line="203" w:lineRule="exact"/>
              <w:rPr>
                <w:sz w:val="20"/>
                <w:szCs w:val="20"/>
                <w:color w:val="auto"/>
              </w:rPr>
            </w:pPr>
            <w:r>
              <w:rPr>
                <w:rFonts w:ascii="Arial" w:cs="Arial" w:eastAsia="Arial" w:hAnsi="Arial"/>
                <w:sz w:val="14"/>
                <w:szCs w:val="14"/>
                <w:b w:val="1"/>
                <w:bCs w:val="1"/>
                <w:color w:val="345988"/>
                <w:w w:val="94"/>
              </w:rPr>
              <w:t>Distributions ($)</w:t>
            </w:r>
            <w:r>
              <w:rPr>
                <w:rFonts w:ascii="Arial" w:cs="Arial" w:eastAsia="Arial" w:hAnsi="Arial"/>
                <w:sz w:val="22"/>
                <w:szCs w:val="22"/>
                <w:b w:val="1"/>
                <w:bCs w:val="1"/>
                <w:color w:val="345988"/>
                <w:w w:val="94"/>
                <w:vertAlign w:val="superscript"/>
              </w:rPr>
              <w:t>(4)</w:t>
            </w:r>
          </w:p>
        </w:tc>
        <w:tc>
          <w:tcPr>
            <w:tcW w:w="1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4"/>
                <w:szCs w:val="14"/>
                <w:b w:val="1"/>
                <w:bCs w:val="1"/>
                <w:color w:val="345988"/>
                <w:w w:val="93"/>
              </w:rPr>
              <w:t>at Last FYE ($)</w:t>
            </w:r>
            <w:r>
              <w:rPr>
                <w:rFonts w:ascii="Arial" w:cs="Arial" w:eastAsia="Arial" w:hAnsi="Arial"/>
                <w:sz w:val="22"/>
                <w:szCs w:val="22"/>
                <w:b w:val="1"/>
                <w:bCs w:val="1"/>
                <w:color w:val="345988"/>
                <w:w w:val="93"/>
                <w:vertAlign w:val="superscript"/>
              </w:rPr>
              <w:t>(2)(5)</w:t>
            </w:r>
          </w:p>
        </w:tc>
      </w:tr>
      <w:tr>
        <w:trPr>
          <w:trHeight w:val="27"/>
        </w:trPr>
        <w:tc>
          <w:tcPr>
            <w:tcW w:w="464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45988"/>
          </w:tcPr>
          <w:p>
            <w:pPr>
              <w:spacing w:after="0"/>
              <w:rPr>
                <w:sz w:val="2"/>
                <w:szCs w:val="2"/>
                <w:color w:val="auto"/>
              </w:rPr>
            </w:pPr>
          </w:p>
        </w:tc>
        <w:tc>
          <w:tcPr>
            <w:tcW w:w="10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345988"/>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345988"/>
          </w:tcPr>
          <w:p>
            <w:pPr>
              <w:spacing w:after="0"/>
              <w:rPr>
                <w:sz w:val="2"/>
                <w:szCs w:val="2"/>
                <w:color w:val="auto"/>
              </w:rPr>
            </w:pPr>
          </w:p>
        </w:tc>
        <w:tc>
          <w:tcPr>
            <w:tcW w:w="1140" w:type="dxa"/>
            <w:vAlign w:val="bottom"/>
            <w:shd w:val="clear" w:color="auto" w:fill="345988"/>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1260" w:type="dxa"/>
            <w:vAlign w:val="bottom"/>
            <w:shd w:val="clear" w:color="auto" w:fill="345988"/>
          </w:tcPr>
          <w:p>
            <w:pPr>
              <w:spacing w:after="0"/>
              <w:rPr>
                <w:sz w:val="2"/>
                <w:szCs w:val="2"/>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661,307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-939,718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193,346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4,248,336</w:t>
            </w:r>
          </w:p>
        </w:tc>
      </w:tr>
      <w:tr>
        <w:trPr>
          <w:trHeight w:val="21"/>
        </w:trPr>
        <w:tc>
          <w:tcPr>
            <w:tcW w:w="4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590A9"/>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114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1260" w:type="dxa"/>
            <w:vAlign w:val="bottom"/>
            <w:shd w:val="clear" w:color="auto" w:fill="8590A9"/>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117,197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-274,983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1,306,797</w:t>
            </w:r>
          </w:p>
        </w:tc>
      </w:tr>
      <w:tr>
        <w:trPr>
          <w:trHeight w:val="21"/>
        </w:trPr>
        <w:tc>
          <w:tcPr>
            <w:tcW w:w="4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590A9"/>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114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1260" w:type="dxa"/>
            <w:vAlign w:val="bottom"/>
            <w:shd w:val="clear" w:color="auto" w:fill="8590A9"/>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429,879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-593,101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124,387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3,026,629</w:t>
            </w:r>
          </w:p>
        </w:tc>
      </w:tr>
      <w:tr>
        <w:trPr>
          <w:trHeight w:val="21"/>
        </w:trPr>
        <w:tc>
          <w:tcPr>
            <w:tcW w:w="4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590A9"/>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114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1260" w:type="dxa"/>
            <w:vAlign w:val="bottom"/>
            <w:shd w:val="clear" w:color="auto" w:fill="8590A9"/>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64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590A9"/>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590A9"/>
          </w:tcPr>
          <w:p>
            <w:pPr>
              <w:spacing w:after="0" w:line="20" w:lineRule="exact"/>
              <w:rPr>
                <w:sz w:val="1"/>
                <w:szCs w:val="1"/>
                <w:color w:val="auto"/>
              </w:rPr>
            </w:pPr>
          </w:p>
        </w:tc>
        <w:tc>
          <w:tcPr>
            <w:tcW w:w="114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6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590A9"/>
          </w:tcPr>
          <w:p>
            <w:pPr>
              <w:spacing w:after="0" w:line="20" w:lineRule="exact"/>
              <w:rPr>
                <w:sz w:val="1"/>
                <w:szCs w:val="1"/>
                <w:color w:val="auto"/>
              </w:rPr>
            </w:pPr>
          </w:p>
        </w:tc>
        <w:tc>
          <w:tcPr>
            <w:tcW w:w="1260" w:type="dxa"/>
            <w:vAlign w:val="bottom"/>
            <w:shd w:val="clear" w:color="auto" w:fill="8590A9"/>
          </w:tcPr>
          <w:p>
            <w:pPr>
              <w:spacing w:after="0" w:line="20" w:lineRule="exact"/>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464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shd w:val="clear" w:color="auto" w:fill="345988"/>
          </w:tcPr>
          <w:p>
            <w:pPr>
              <w:spacing w:after="0"/>
              <w:rPr>
                <w:sz w:val="3"/>
                <w:szCs w:val="3"/>
                <w:color w:val="auto"/>
              </w:rPr>
            </w:pPr>
          </w:p>
        </w:tc>
        <w:tc>
          <w:tcPr>
            <w:tcW w:w="100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shd w:val="clear" w:color="auto" w:fill="345988"/>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345988"/>
          </w:tcPr>
          <w:p>
            <w:pPr>
              <w:spacing w:after="0"/>
              <w:rPr>
                <w:sz w:val="3"/>
                <w:szCs w:val="3"/>
                <w:color w:val="auto"/>
              </w:rPr>
            </w:pPr>
          </w:p>
        </w:tc>
        <w:tc>
          <w:tcPr>
            <w:tcW w:w="1140" w:type="dxa"/>
            <w:vAlign w:val="bottom"/>
            <w:shd w:val="clear" w:color="auto" w:fill="345988"/>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shd w:val="clear" w:color="auto" w:fill="345988"/>
          </w:tcPr>
          <w:p>
            <w:pPr>
              <w:spacing w:after="0"/>
              <w:rPr>
                <w:sz w:val="3"/>
                <w:szCs w:val="3"/>
                <w:color w:val="auto"/>
              </w:rPr>
            </w:pPr>
          </w:p>
        </w:tc>
        <w:tc>
          <w:tcPr>
            <w:tcW w:w="960" w:type="dxa"/>
            <w:vAlign w:val="bottom"/>
            <w:shd w:val="clear" w:color="auto" w:fill="345988"/>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345988"/>
          </w:tcPr>
          <w:p>
            <w:pPr>
              <w:spacing w:after="0"/>
              <w:rPr>
                <w:sz w:val="3"/>
                <w:szCs w:val="3"/>
                <w:color w:val="auto"/>
              </w:rPr>
            </w:pPr>
          </w:p>
        </w:tc>
        <w:tc>
          <w:tcPr>
            <w:tcW w:w="1260" w:type="dxa"/>
            <w:vAlign w:val="bottom"/>
            <w:shd w:val="clear" w:color="auto" w:fill="345988"/>
          </w:tcPr>
          <w:p>
            <w:pPr>
              <w:spacing w:after="0"/>
              <w:rPr>
                <w:sz w:val="3"/>
                <w:szCs w:val="3"/>
                <w:color w:val="auto"/>
              </w:rPr>
            </w:pPr>
          </w:p>
        </w:tc>
      </w:tr>
    </w:tbl>
    <w:p>
      <w:pPr>
        <w:spacing w:after="0" w:line="107"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values as of the vesting dates for notional units that vested during 2018, which are reported in the 2018 Option Exercises and Stock Vested table.</w:t>
      </w:r>
    </w:p>
    <w:p>
      <w:pPr>
        <w:spacing w:after="0" w:line="95" w:lineRule="exact"/>
        <w:rPr>
          <w:rFonts w:ascii="Arial" w:cs="Arial" w:eastAsia="Arial" w:hAnsi="Arial"/>
          <w:sz w:val="14"/>
          <w:szCs w:val="14"/>
          <w:color w:val="auto"/>
        </w:rPr>
      </w:pPr>
    </w:p>
    <w:p>
      <w:pPr>
        <w:ind w:left="380" w:right="40" w:hanging="372"/>
        <w:spacing w:after="0" w:line="226" w:lineRule="auto"/>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95" w:lineRule="exact"/>
        <w:rPr>
          <w:rFonts w:ascii="Arial" w:cs="Arial" w:eastAsia="Arial" w:hAnsi="Arial"/>
          <w:sz w:val="14"/>
          <w:szCs w:val="14"/>
          <w:color w:val="auto"/>
        </w:rPr>
      </w:pPr>
    </w:p>
    <w:p>
      <w:pPr>
        <w:ind w:left="380" w:right="80" w:hanging="372"/>
        <w:spacing w:after="0" w:line="226" w:lineRule="auto"/>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amounts in this column represent the increase or decrease in value of vested notional units from December 31, 2017 through December 31, 2018, as calculated based on the closing stock price on the NYSE of one share of our common stock on December 31, 2017, or, for notional units that vested during 2018, the closing stock price on the NYSE of one share of our common stock on such vesting date, compared to the closing stock price on the NYSE of one share of our common stock on December 31, 2018, plus the aggregate value of dividend equivalent rights paid with respect to all vested and unvested notional units held by each executive during 2018.</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aggregate value of dividend equivalent rights paid with respect to all vested and unvested notional units held by each executive during 2018.</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a per share price of $79.08, which was the closing stock price on the NYSE of one share of our common stock on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Potential Payments Upon Termination or Change in Control</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During 2018, we entered into new employment agreements with each of Messrs. Holliday, Mathias and Levine that did not become effective until 2019 upon the expiration of the terms of each of their then current employment agreements. These agreements are all currently in effect, and they reflect the Compensation Committee’s significant restructuring of our named executive officers’ compensation that was established in response to feedback that we received during stockholder engagement meetings. Because these executive’s prior employment agreements were in effect as of December 31, 2018, we are providing information below for both these prior employment agreements and the current employment agreements that we have with our executives. Mr. DiLiberto’s current employment agreement was entered into in early 2018 before we had completed the restructuring of our named executive officers’ compensation and, accordingly, it includes certain elements that we have removed from our other executives’ current employment agreements.</w:t>
      </w:r>
    </w:p>
    <w:p>
      <w:pPr>
        <w:spacing w:after="0" w:line="215"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The Compensation Committee currently expects that any new employment agreement entered into with Mr. DiLiberto, to be effective following the end of the term of his current employment agreement, will conform to the structure reflected in the new employment agreements entered into with Messrs. Holliday, Mathias and Levine, including elimination of additional performance retesting periods for earning performance-based LTIP units</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connection with Mr. Green’s transition to his new role as Chairman Emeritus, the term of Mr. Green’s employment agreement expired on December 31, 2018. We have entered into a Chairman Emeritus agreement with Mr. Green that is described in “Certain Relationships and Related Party Transactions – Chairman Emeritus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describes these contractual arrangements in greater detail.</w:t>
      </w:r>
    </w:p>
    <w:p>
      <w:pPr>
        <w:spacing w:after="0" w:line="212"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Employment Agreements in Effect During 2018</w:t>
      </w:r>
    </w:p>
    <w:p>
      <w:pPr>
        <w:spacing w:after="0" w:line="22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During 2018, we had employment agreements with all of our named executive officers. All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employment agreements with our named executive officers, as in effect during 2018. In addition, as previously discussed, the Committee significantly restructured Mr. Holliday’s and Mr. Mathias’ compensation, as governed by their new employment agreements, which were entered into in April 2018 and December 2018, respectively, and became effective in January 2019 following the expiration of the terms of their current employment agreements. In addition, the Committee also significantly restructured Mr. Levine’s compensation, as governed by his new employment agreement, which was entered into in December 2018, and became effective in January 2019 following the expiration of the terms of his current employment agreement. The terms of these new employment agreements are further described below.</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663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166370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63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p>
      <w:pPr>
        <w:jc w:val="both"/>
        <w:ind w:right="540"/>
        <w:spacing w:after="0" w:line="292" w:lineRule="auto"/>
        <w:rPr>
          <w:sz w:val="20"/>
          <w:szCs w:val="20"/>
          <w:color w:val="auto"/>
        </w:rPr>
      </w:pPr>
      <w:r>
        <w:rPr>
          <w:rFonts w:ascii="Arial" w:cs="Arial" w:eastAsia="Arial" w:hAnsi="Arial"/>
          <w:sz w:val="16"/>
          <w:szCs w:val="16"/>
          <w:b w:val="1"/>
          <w:bCs w:val="1"/>
          <w:color w:val="auto"/>
        </w:rPr>
        <w:t>Annual Deferred Compensation</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663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Guaranteed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63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OPP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63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63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46" w:lineRule="exact"/>
        <w:rPr>
          <w:sz w:val="20"/>
          <w:szCs w:val="20"/>
          <w:color w:val="auto"/>
        </w:rPr>
      </w:pPr>
    </w:p>
    <w:p>
      <w:pPr>
        <w:jc w:val="both"/>
        <w:ind w:right="380"/>
        <w:spacing w:after="0" w:line="249" w:lineRule="auto"/>
        <w:rPr>
          <w:sz w:val="20"/>
          <w:szCs w:val="20"/>
          <w:color w:val="auto"/>
        </w:rPr>
      </w:pPr>
      <w:r>
        <w:rPr>
          <w:rFonts w:ascii="Arial" w:cs="Arial" w:eastAsia="Arial" w:hAnsi="Arial"/>
          <w:sz w:val="18"/>
          <w:szCs w:val="18"/>
          <w:b w:val="1"/>
          <w:bCs w:val="1"/>
          <w:color w:val="auto"/>
        </w:rPr>
        <w:t>Stock Options and Class O LTIP units (Grant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663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63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p>
      <w:pPr>
        <w:ind w:right="500"/>
        <w:spacing w:after="0" w:line="328" w:lineRule="auto"/>
        <w:rPr>
          <w:sz w:val="20"/>
          <w:szCs w:val="20"/>
          <w:color w:val="auto"/>
        </w:rPr>
      </w:pPr>
      <w:r>
        <w:rPr>
          <w:rFonts w:ascii="Arial" w:cs="Arial" w:eastAsia="Arial" w:hAnsi="Arial"/>
          <w:sz w:val="16"/>
          <w:szCs w:val="16"/>
          <w:b w:val="1"/>
          <w:bCs w:val="1"/>
          <w:color w:val="auto"/>
        </w:rPr>
        <w:t>Performance-Based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166370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63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1663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Benefits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78"/>
        </w:trPr>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345988"/>
              </w:rPr>
              <w:t>Marc Holliday</w:t>
            </w: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345988"/>
              </w:rPr>
              <w:t>Stephen L. Green</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345988"/>
              </w:rPr>
              <w:t>Andrew Mathias</w:t>
            </w: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345988"/>
              </w:rPr>
              <w:t>Matthew J. DiLiberto</w:t>
            </w:r>
          </w:p>
        </w:tc>
        <w:tc>
          <w:tcPr>
            <w:tcW w:w="1660" w:type="dxa"/>
            <w:vAlign w:val="bottom"/>
          </w:tcPr>
          <w:p>
            <w:pPr>
              <w:jc w:val="right"/>
              <w:ind w:right="174"/>
              <w:spacing w:after="0"/>
              <w:rPr>
                <w:sz w:val="20"/>
                <w:szCs w:val="20"/>
                <w:color w:val="auto"/>
              </w:rPr>
            </w:pPr>
            <w:r>
              <w:rPr>
                <w:rFonts w:ascii="Arial" w:cs="Arial" w:eastAsia="Arial" w:hAnsi="Arial"/>
                <w:sz w:val="14"/>
                <w:szCs w:val="14"/>
                <w:b w:val="1"/>
                <w:bCs w:val="1"/>
                <w:color w:val="345988"/>
              </w:rPr>
              <w:t>Andrew S. Levine</w:t>
            </w:r>
          </w:p>
        </w:tc>
      </w:tr>
      <w:tr>
        <w:trPr>
          <w:trHeight w:val="48"/>
        </w:trPr>
        <w:tc>
          <w:tcPr>
            <w:tcW w:w="15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345988"/>
            </w:tcBorders>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Borders>
              <w:bottom w:val="single" w:sz="8" w:color="345988"/>
            </w:tcBorders>
          </w:tcPr>
          <w:p>
            <w:pPr>
              <w:spacing w:after="0"/>
              <w:rPr>
                <w:sz w:val="4"/>
                <w:szCs w:val="4"/>
                <w:color w:val="auto"/>
              </w:rPr>
            </w:pPr>
          </w:p>
        </w:tc>
      </w:tr>
      <w:tr>
        <w:trPr>
          <w:trHeight w:val="228"/>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1/18/16 – 1/17/19</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1/1/18 – 12/31/18</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1/1/18 – 12/31/18</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1/1/18 – 1/1/21</w:t>
            </w:r>
          </w:p>
        </w:tc>
        <w:tc>
          <w:tcPr>
            <w:tcW w:w="1660" w:type="dxa"/>
            <w:vAlign w:val="bottom"/>
          </w:tcPr>
          <w:p>
            <w:pPr>
              <w:jc w:val="right"/>
              <w:spacing w:after="0"/>
              <w:rPr>
                <w:sz w:val="20"/>
                <w:szCs w:val="20"/>
                <w:color w:val="auto"/>
              </w:rPr>
            </w:pPr>
            <w:r>
              <w:rPr>
                <w:rFonts w:ascii="Arial" w:cs="Arial" w:eastAsia="Arial" w:hAnsi="Arial"/>
                <w:sz w:val="18"/>
                <w:szCs w:val="18"/>
                <w:color w:val="auto"/>
              </w:rPr>
              <w:t>1/1/16 – 1/1/19</w:t>
            </w:r>
          </w:p>
        </w:tc>
      </w:tr>
      <w:tr>
        <w:trPr>
          <w:trHeight w:val="83"/>
        </w:trPr>
        <w:tc>
          <w:tcPr>
            <w:tcW w:w="1580" w:type="dxa"/>
            <w:vAlign w:val="bottom"/>
            <w:tcBorders>
              <w:bottom w:val="single" w:sz="8" w:color="8590A9"/>
            </w:tcBorders>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bottom w:val="single" w:sz="8" w:color="8590A9"/>
            </w:tcBorders>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bottom w:val="single" w:sz="8" w:color="8590A9"/>
            </w:tcBorders>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bottom w:val="single" w:sz="8" w:color="8590A9"/>
            </w:tcBorders>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Borders>
              <w:bottom w:val="single" w:sz="8" w:color="8590A9"/>
            </w:tcBorders>
          </w:tcPr>
          <w:p>
            <w:pPr>
              <w:spacing w:after="0"/>
              <w:rPr>
                <w:sz w:val="7"/>
                <w:szCs w:val="7"/>
                <w:color w:val="auto"/>
              </w:rPr>
            </w:pPr>
          </w:p>
        </w:tc>
      </w:tr>
      <w:tr>
        <w:trPr>
          <w:trHeight w:val="304"/>
        </w:trPr>
        <w:tc>
          <w:tcPr>
            <w:tcW w:w="15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$1.25M</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$750K</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$900K</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$550K</w:t>
            </w:r>
          </w:p>
        </w:tc>
        <w:tc>
          <w:tcPr>
            <w:tcW w:w="160" w:type="dxa"/>
            <w:vAlign w:val="bottom"/>
          </w:tcPr>
          <w:p>
            <w:pPr>
              <w:spacing w:after="0"/>
              <w:rPr>
                <w:sz w:val="24"/>
                <w:szCs w:val="24"/>
                <w:color w:val="auto"/>
              </w:rPr>
            </w:pPr>
          </w:p>
        </w:tc>
        <w:tc>
          <w:tcPr>
            <w:tcW w:w="1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$550K</w:t>
            </w:r>
          </w:p>
        </w:tc>
      </w:tr>
      <w:tr>
        <w:trPr>
          <w:trHeight w:val="235"/>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$750K</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$150K</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$550K</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None</w:t>
            </w:r>
          </w:p>
        </w:tc>
        <w:tc>
          <w:tcPr>
            <w:tcW w:w="16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59"/>
        </w:trPr>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Borders>
              <w:bottom w:val="single" w:sz="8" w:color="8590A9"/>
            </w:tcBorders>
          </w:tcPr>
          <w:p>
            <w:pPr>
              <w:spacing w:after="0"/>
              <w:rPr>
                <w:sz w:val="22"/>
                <w:szCs w:val="22"/>
                <w:color w:val="auto"/>
              </w:rPr>
            </w:pPr>
          </w:p>
        </w:tc>
      </w:tr>
      <w:tr>
        <w:trPr>
          <w:trHeight w:val="304"/>
        </w:trPr>
        <w:tc>
          <w:tcPr>
            <w:tcW w:w="15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None</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580" w:type="dxa"/>
            <w:vAlign w:val="bottom"/>
            <w:tcBorders>
              <w:bottom w:val="single" w:sz="8" w:color="8590A9"/>
            </w:tcBorders>
          </w:tcPr>
          <w:p>
            <w:pPr>
              <w:ind w:left="1160"/>
              <w:spacing w:after="0"/>
              <w:rPr>
                <w:sz w:val="20"/>
                <w:szCs w:val="20"/>
                <w:color w:val="auto"/>
              </w:rPr>
            </w:pPr>
            <w:r>
              <w:rPr>
                <w:rFonts w:ascii="Arial" w:cs="Arial" w:eastAsia="Arial" w:hAnsi="Arial"/>
                <w:sz w:val="18"/>
                <w:szCs w:val="18"/>
                <w:color w:val="auto"/>
                <w:w w:val="92"/>
              </w:rPr>
              <w:t>None</w:t>
            </w:r>
          </w:p>
        </w:tc>
        <w:tc>
          <w:tcPr>
            <w:tcW w:w="160" w:type="dxa"/>
            <w:vAlign w:val="bottom"/>
          </w:tcPr>
          <w:p>
            <w:pPr>
              <w:spacing w:after="0"/>
              <w:rPr>
                <w:sz w:val="24"/>
                <w:szCs w:val="24"/>
                <w:color w:val="auto"/>
              </w:rPr>
            </w:pPr>
          </w:p>
        </w:tc>
        <w:tc>
          <w:tcPr>
            <w:tcW w:w="1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r>
      <w:tr>
        <w:trPr>
          <w:trHeight w:val="235"/>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None</w:t>
            </w:r>
          </w:p>
        </w:tc>
        <w:tc>
          <w:tcPr>
            <w:tcW w:w="16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18"/>
        </w:trPr>
        <w:tc>
          <w:tcPr>
            <w:tcW w:w="1580" w:type="dxa"/>
            <w:vAlign w:val="bottom"/>
            <w:tcBorders>
              <w:bottom w:val="single" w:sz="8" w:color="8590A9"/>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8590A9"/>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8590A9"/>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8590A9"/>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8590A9"/>
            </w:tcBorders>
          </w:tcPr>
          <w:p>
            <w:pPr>
              <w:spacing w:after="0"/>
              <w:rPr>
                <w:sz w:val="18"/>
                <w:szCs w:val="18"/>
                <w:color w:val="auto"/>
              </w:rPr>
            </w:pPr>
          </w:p>
        </w:tc>
      </w:tr>
      <w:tr>
        <w:trPr>
          <w:trHeight w:val="226"/>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$10M of life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$5M of life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None</w:t>
            </w:r>
          </w:p>
        </w:tc>
        <w:tc>
          <w:tcPr>
            <w:tcW w:w="16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0"/>
        </w:trPr>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9"/>
                <w:szCs w:val="19"/>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9"/>
                <w:szCs w:val="19"/>
                <w:color w:val="auto"/>
              </w:rPr>
            </w:pPr>
          </w:p>
        </w:tc>
        <w:tc>
          <w:tcPr>
            <w:tcW w:w="1580" w:type="dxa"/>
            <w:vAlign w:val="bottom"/>
            <w:tcBorders>
              <w:bottom w:val="single" w:sz="8" w:color="8590A9"/>
            </w:tcBorders>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bottom w:val="single" w:sz="8" w:color="8590A9"/>
            </w:tcBorders>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Borders>
              <w:bottom w:val="single" w:sz="8" w:color="8590A9"/>
            </w:tcBorders>
          </w:tcPr>
          <w:p>
            <w:pPr>
              <w:spacing w:after="0"/>
              <w:rPr>
                <w:sz w:val="19"/>
                <w:szCs w:val="19"/>
                <w:color w:val="auto"/>
              </w:rPr>
            </w:pPr>
          </w:p>
        </w:tc>
      </w:tr>
      <w:tr>
        <w:trPr>
          <w:trHeight w:val="405"/>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210,000</w:t>
            </w:r>
            <w:r>
              <w:rPr>
                <w:rFonts w:ascii="Arial" w:cs="Arial" w:eastAsia="Arial" w:hAnsi="Arial"/>
                <w:sz w:val="29"/>
                <w:szCs w:val="29"/>
                <w:color w:val="auto"/>
                <w:vertAlign w:val="superscript"/>
              </w:rPr>
              <w:t>(5)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None</w:t>
            </w:r>
          </w:p>
        </w:tc>
        <w:tc>
          <w:tcPr>
            <w:tcW w:w="16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57"/>
        </w:trPr>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Borders>
              <w:bottom w:val="single" w:sz="8" w:color="8590A9"/>
            </w:tcBorders>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Borders>
              <w:bottom w:val="single" w:sz="8" w:color="8590A9"/>
            </w:tcBorders>
          </w:tcPr>
          <w:p>
            <w:pPr>
              <w:spacing w:after="0"/>
              <w:rPr>
                <w:sz w:val="22"/>
                <w:szCs w:val="22"/>
                <w:color w:val="auto"/>
              </w:rPr>
            </w:pPr>
          </w:p>
        </w:tc>
      </w:tr>
      <w:tr>
        <w:trPr>
          <w:trHeight w:val="398"/>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56,000</w:t>
            </w:r>
            <w:r>
              <w:rPr>
                <w:rFonts w:ascii="Arial" w:cs="Arial" w:eastAsia="Arial" w:hAnsi="Arial"/>
                <w:sz w:val="29"/>
                <w:szCs w:val="29"/>
                <w:color w:val="auto"/>
                <w:vertAlign w:val="superscript"/>
              </w:rPr>
              <w:t>(7)</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(8)</w:t>
            </w:r>
          </w:p>
        </w:tc>
        <w:tc>
          <w:tcPr>
            <w:tcW w:w="1660" w:type="dxa"/>
            <w:vAlign w:val="bottom"/>
          </w:tcPr>
          <w:p>
            <w:pPr>
              <w:jc w:val="right"/>
              <w:spacing w:after="0"/>
              <w:rPr>
                <w:sz w:val="20"/>
                <w:szCs w:val="20"/>
                <w:color w:val="auto"/>
              </w:rPr>
            </w:pPr>
            <w:r>
              <w:rPr>
                <w:rFonts w:ascii="Arial" w:cs="Arial" w:eastAsia="Arial" w:hAnsi="Arial"/>
                <w:sz w:val="18"/>
                <w:szCs w:val="18"/>
                <w:color w:val="auto"/>
              </w:rPr>
              <w:t>18,000</w:t>
            </w:r>
            <w:r>
              <w:rPr>
                <w:rFonts w:ascii="Arial" w:cs="Arial" w:eastAsia="Arial" w:hAnsi="Arial"/>
                <w:sz w:val="29"/>
                <w:szCs w:val="29"/>
                <w:color w:val="auto"/>
                <w:vertAlign w:val="superscript"/>
              </w:rPr>
              <w:t>(9)</w:t>
            </w:r>
          </w:p>
        </w:tc>
      </w:tr>
      <w:tr>
        <w:trPr>
          <w:trHeight w:val="55"/>
        </w:trPr>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Borders>
              <w:bottom w:val="single" w:sz="8" w:color="8590A9"/>
            </w:tcBorders>
          </w:tcPr>
          <w:p>
            <w:pPr>
              <w:spacing w:after="0"/>
              <w:rPr>
                <w:sz w:val="4"/>
                <w:szCs w:val="4"/>
                <w:color w:val="auto"/>
              </w:rPr>
            </w:pPr>
          </w:p>
        </w:tc>
      </w:tr>
      <w:tr>
        <w:trPr>
          <w:trHeight w:val="398"/>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76,980</w:t>
            </w:r>
            <w:r>
              <w:rPr>
                <w:rFonts w:ascii="Arial" w:cs="Arial" w:eastAsia="Arial" w:hAnsi="Arial"/>
                <w:sz w:val="29"/>
                <w:szCs w:val="29"/>
                <w:color w:val="auto"/>
                <w:vertAlign w:val="superscript"/>
              </w:rPr>
              <w:t>(6)</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(8)</w:t>
            </w:r>
          </w:p>
        </w:tc>
        <w:tc>
          <w:tcPr>
            <w:tcW w:w="1660" w:type="dxa"/>
            <w:vAlign w:val="bottom"/>
          </w:tcPr>
          <w:p>
            <w:pPr>
              <w:jc w:val="right"/>
              <w:spacing w:after="0"/>
              <w:rPr>
                <w:sz w:val="20"/>
                <w:szCs w:val="20"/>
                <w:color w:val="auto"/>
              </w:rPr>
            </w:pPr>
            <w:r>
              <w:rPr>
                <w:rFonts w:ascii="Arial" w:cs="Arial" w:eastAsia="Arial" w:hAnsi="Arial"/>
                <w:sz w:val="18"/>
                <w:szCs w:val="18"/>
                <w:color w:val="auto"/>
              </w:rPr>
              <w:t>18,000</w:t>
            </w:r>
            <w:r>
              <w:rPr>
                <w:rFonts w:ascii="Arial" w:cs="Arial" w:eastAsia="Arial" w:hAnsi="Arial"/>
                <w:sz w:val="29"/>
                <w:szCs w:val="29"/>
                <w:color w:val="auto"/>
                <w:vertAlign w:val="superscript"/>
              </w:rPr>
              <w:t>(10)</w:t>
            </w:r>
          </w:p>
        </w:tc>
      </w:tr>
      <w:tr>
        <w:trPr>
          <w:trHeight w:val="55"/>
        </w:trPr>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8590A9"/>
            </w:tcBorders>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Borders>
              <w:bottom w:val="single" w:sz="8" w:color="8590A9"/>
            </w:tcBorders>
          </w:tcPr>
          <w:p>
            <w:pPr>
              <w:spacing w:after="0"/>
              <w:rPr>
                <w:sz w:val="4"/>
                <w:szCs w:val="4"/>
                <w:color w:val="auto"/>
              </w:rPr>
            </w:pPr>
          </w:p>
        </w:tc>
      </w:tr>
      <w:tr>
        <w:trPr>
          <w:trHeight w:val="304"/>
        </w:trPr>
        <w:tc>
          <w:tcPr>
            <w:tcW w:w="1580" w:type="dxa"/>
            <w:vAlign w:val="bottom"/>
            <w:tcBorders>
              <w:bottom w:val="single" w:sz="8" w:color="8590A9"/>
            </w:tcBorders>
          </w:tcPr>
          <w:p>
            <w:pPr>
              <w:jc w:val="right"/>
              <w:spacing w:after="0" w:line="303" w:lineRule="exact"/>
              <w:rPr>
                <w:sz w:val="20"/>
                <w:szCs w:val="20"/>
                <w:color w:val="auto"/>
              </w:rPr>
            </w:pPr>
            <w:r>
              <w:rPr>
                <w:rFonts w:ascii="Arial" w:cs="Arial" w:eastAsia="Arial" w:hAnsi="Arial"/>
                <w:sz w:val="18"/>
                <w:szCs w:val="18"/>
                <w:color w:val="auto"/>
              </w:rPr>
              <w:t>61,584</w:t>
            </w:r>
            <w:r>
              <w:rPr>
                <w:rFonts w:ascii="Arial" w:cs="Arial" w:eastAsia="Arial" w:hAnsi="Arial"/>
                <w:sz w:val="29"/>
                <w:szCs w:val="29"/>
                <w:color w:val="auto"/>
                <w:vertAlign w:val="superscript"/>
              </w:rPr>
              <w:t>(6)</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5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580" w:type="dxa"/>
            <w:vAlign w:val="bottom"/>
            <w:tcBorders>
              <w:bottom w:val="single" w:sz="8" w:color="8590A9"/>
            </w:tcBorders>
          </w:tcPr>
          <w:p>
            <w:pPr>
              <w:ind w:left="1160"/>
              <w:spacing w:after="0"/>
              <w:rPr>
                <w:sz w:val="20"/>
                <w:szCs w:val="20"/>
                <w:color w:val="auto"/>
              </w:rPr>
            </w:pPr>
            <w:r>
              <w:rPr>
                <w:rFonts w:ascii="Arial" w:cs="Arial" w:eastAsia="Arial" w:hAnsi="Arial"/>
                <w:sz w:val="18"/>
                <w:szCs w:val="18"/>
                <w:color w:val="auto"/>
                <w:w w:val="92"/>
              </w:rPr>
              <w:t>None</w:t>
            </w:r>
          </w:p>
        </w:tc>
        <w:tc>
          <w:tcPr>
            <w:tcW w:w="160" w:type="dxa"/>
            <w:vAlign w:val="bottom"/>
          </w:tcPr>
          <w:p>
            <w:pPr>
              <w:spacing w:after="0"/>
              <w:rPr>
                <w:sz w:val="24"/>
                <w:szCs w:val="24"/>
                <w:color w:val="auto"/>
              </w:rPr>
            </w:pPr>
          </w:p>
        </w:tc>
        <w:tc>
          <w:tcPr>
            <w:tcW w:w="16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None</w:t>
            </w:r>
          </w:p>
        </w:tc>
      </w:tr>
      <w:tr>
        <w:trPr>
          <w:trHeight w:val="334"/>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61,584</w:t>
            </w:r>
            <w:r>
              <w:rPr>
                <w:rFonts w:ascii="Arial" w:cs="Arial" w:eastAsia="Arial" w:hAnsi="Arial"/>
                <w:sz w:val="29"/>
                <w:szCs w:val="29"/>
                <w:color w:val="auto"/>
                <w:vertAlign w:val="superscript"/>
              </w:rPr>
              <w:t>(6)</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rPr>
              <w:t>None</w:t>
            </w:r>
          </w:p>
        </w:tc>
        <w:tc>
          <w:tcPr>
            <w:tcW w:w="166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-18415</wp:posOffset>
            </wp:positionV>
            <wp:extent cx="54800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80050" cy="17145"/>
                    </a:xfrm>
                    <a:prstGeom prst="rect">
                      <a:avLst/>
                    </a:prstGeom>
                    <a:noFill/>
                  </pic:spPr>
                </pic:pic>
              </a:graphicData>
            </a:graphic>
          </wp:anchor>
        </w:drawing>
      </w:r>
    </w:p>
    <w:p>
      <w:pPr>
        <w:ind w:right="40"/>
        <w:spacing w:after="0" w:line="238"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during the term, the executive will be entitled to the following payments or benefits subject (except if such termination is in connection with a Change-in-Control) to the effectiveness of a mutual release:</w:t>
      </w:r>
    </w:p>
    <w:p>
      <w:pPr>
        <w:spacing w:after="0" w:line="32" w:lineRule="exact"/>
        <w:rPr>
          <w:sz w:val="20"/>
          <w:szCs w:val="20"/>
          <w:color w:val="auto"/>
        </w:rPr>
      </w:pPr>
    </w:p>
    <w:p>
      <w:pPr>
        <w:ind w:left="900"/>
        <w:spacing w:after="0"/>
        <w:tabs>
          <w:tab w:leader="none" w:pos="5340" w:val="left"/>
        </w:tabs>
        <w:rPr>
          <w:sz w:val="20"/>
          <w:szCs w:val="20"/>
          <w:color w:val="auto"/>
        </w:rPr>
      </w:pPr>
      <w:r>
        <w:rPr>
          <w:rFonts w:ascii="Arial" w:cs="Arial" w:eastAsia="Arial" w:hAnsi="Arial"/>
          <w:sz w:val="14"/>
          <w:szCs w:val="14"/>
          <w:b w:val="1"/>
          <w:bCs w:val="1"/>
          <w:color w:val="345988"/>
        </w:rPr>
        <w:t>Termination without Change-in-Control</w:t>
      </w:r>
      <w:r>
        <w:rPr>
          <w:sz w:val="20"/>
          <w:szCs w:val="20"/>
          <w:color w:val="auto"/>
        </w:rPr>
        <w:tab/>
      </w:r>
      <w:r>
        <w:rPr>
          <w:rFonts w:ascii="Arial" w:cs="Arial" w:eastAsia="Arial" w:hAnsi="Arial"/>
          <w:sz w:val="20"/>
          <w:szCs w:val="20"/>
          <w:b w:val="1"/>
          <w:bCs w:val="1"/>
          <w:color w:val="345988"/>
          <w:vertAlign w:val="subscript"/>
        </w:rPr>
        <w:t>Termination with Change-in-Control</w:t>
      </w:r>
      <w:r>
        <w:rPr>
          <w:rFonts w:ascii="Arial" w:cs="Arial" w:eastAsia="Arial" w:hAnsi="Arial"/>
          <w:sz w:val="9"/>
          <w:szCs w:val="9"/>
          <w:b w:val="1"/>
          <w:bCs w:val="1"/>
          <w:color w:val="34598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556577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5775" cy="1714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1940" w:space="720"/>
            <w:col w:w="8760"/>
          </w:cols>
          <w:pgMar w:left="240" w:top="121" w:right="239" w:bottom="1440" w:gutter="0" w:footer="0" w:header="0"/>
          <w:type w:val="continuous"/>
        </w:sectPr>
      </w:pPr>
    </w:p>
    <w:p>
      <w:pPr>
        <w:ind w:left="3200" w:right="500" w:hanging="266"/>
        <w:spacing w:after="0" w:line="262" w:lineRule="auto"/>
        <w:tabs>
          <w:tab w:leader="none" w:pos="3177" w:val="left"/>
        </w:tabs>
        <w:numPr>
          <w:ilvl w:val="0"/>
          <w:numId w:val="103"/>
        </w:numPr>
        <w:rPr>
          <w:rFonts w:ascii="Arial" w:cs="Arial" w:eastAsia="Arial" w:hAnsi="Arial"/>
          <w:sz w:val="17"/>
          <w:szCs w:val="17"/>
          <w:color w:val="345988"/>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(12)</w:t>
      </w:r>
    </w:p>
    <w:p>
      <w:pPr>
        <w:spacing w:after="0" w:line="1" w:lineRule="exact"/>
        <w:rPr>
          <w:rFonts w:ascii="Arial" w:cs="Arial" w:eastAsia="Arial" w:hAnsi="Arial"/>
          <w:sz w:val="17"/>
          <w:szCs w:val="17"/>
          <w:color w:val="345988"/>
        </w:rPr>
      </w:pPr>
    </w:p>
    <w:p>
      <w:pPr>
        <w:ind w:left="3180" w:hanging="246"/>
        <w:spacing w:after="0"/>
        <w:tabs>
          <w:tab w:leader="none" w:pos="3180" w:val="left"/>
        </w:tabs>
        <w:numPr>
          <w:ilvl w:val="0"/>
          <w:numId w:val="103"/>
        </w:numPr>
        <w:rPr>
          <w:rFonts w:ascii="Arial" w:cs="Arial" w:eastAsia="Arial" w:hAnsi="Arial"/>
          <w:sz w:val="17"/>
          <w:szCs w:val="17"/>
          <w:color w:val="345988"/>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(13)</w:t>
      </w:r>
    </w:p>
    <w:p>
      <w:pPr>
        <w:spacing w:after="0" w:line="31" w:lineRule="exact"/>
        <w:rPr>
          <w:rFonts w:ascii="Arial" w:cs="Arial" w:eastAsia="Arial" w:hAnsi="Arial"/>
          <w:sz w:val="17"/>
          <w:szCs w:val="17"/>
          <w:color w:val="345988"/>
        </w:rPr>
      </w:pPr>
    </w:p>
    <w:p>
      <w:pPr>
        <w:ind w:left="3200" w:right="340" w:hanging="266"/>
        <w:spacing w:after="0" w:line="244" w:lineRule="auto"/>
        <w:tabs>
          <w:tab w:leader="none" w:pos="3177" w:val="left"/>
        </w:tabs>
        <w:numPr>
          <w:ilvl w:val="0"/>
          <w:numId w:val="103"/>
        </w:numPr>
        <w:rPr>
          <w:rFonts w:ascii="Arial" w:cs="Arial" w:eastAsia="Arial" w:hAnsi="Arial"/>
          <w:sz w:val="17"/>
          <w:szCs w:val="17"/>
          <w:color w:val="345988"/>
        </w:rPr>
      </w:pPr>
      <w:r>
        <w:rPr>
          <w:rFonts w:ascii="Arial" w:cs="Arial" w:eastAsia="Arial" w:hAnsi="Arial"/>
          <w:sz w:val="18"/>
          <w:szCs w:val="18"/>
          <w:color w:val="auto"/>
        </w:rPr>
        <w:t>Acceleration of all unvested equity awards (other than OPP awards) and deferred compensation, if any</w:t>
      </w:r>
    </w:p>
    <w:p>
      <w:pPr>
        <w:spacing w:after="0" w:line="97" w:lineRule="exact"/>
        <w:rPr>
          <w:rFonts w:ascii="Arial" w:cs="Arial" w:eastAsia="Arial" w:hAnsi="Arial"/>
          <w:sz w:val="17"/>
          <w:szCs w:val="17"/>
          <w:color w:val="345988"/>
        </w:rPr>
      </w:pPr>
    </w:p>
    <w:p>
      <w:pPr>
        <w:ind w:left="3200" w:hanging="266"/>
        <w:spacing w:after="0" w:line="251" w:lineRule="auto"/>
        <w:tabs>
          <w:tab w:leader="none" w:pos="3177" w:val="left"/>
        </w:tabs>
        <w:numPr>
          <w:ilvl w:val="0"/>
          <w:numId w:val="103"/>
        </w:numPr>
        <w:rPr>
          <w:rFonts w:ascii="Arial" w:cs="Arial" w:eastAsia="Arial" w:hAnsi="Arial"/>
          <w:sz w:val="17"/>
          <w:szCs w:val="17"/>
          <w:color w:val="345988"/>
        </w:rPr>
      </w:pPr>
      <w:r>
        <w:rPr>
          <w:rFonts w:ascii="Arial" w:cs="Arial" w:eastAsia="Arial" w:hAnsi="Arial"/>
          <w:sz w:val="18"/>
          <w:szCs w:val="18"/>
          <w:color w:val="auto"/>
        </w:rPr>
        <w:t>Grant of certain employment agreement equity awards not previously granted</w:t>
      </w:r>
      <w:r>
        <w:rPr>
          <w:rFonts w:ascii="Arial" w:cs="Arial" w:eastAsia="Arial" w:hAnsi="Arial"/>
          <w:sz w:val="29"/>
          <w:szCs w:val="29"/>
          <w:color w:val="auto"/>
          <w:vertAlign w:val="superscript"/>
        </w:rPr>
        <w:t>(14)</w:t>
      </w:r>
    </w:p>
    <w:p>
      <w:pPr>
        <w:spacing w:after="0" w:line="1" w:lineRule="exact"/>
        <w:rPr>
          <w:rFonts w:ascii="Arial" w:cs="Arial" w:eastAsia="Arial" w:hAnsi="Arial"/>
          <w:sz w:val="17"/>
          <w:szCs w:val="17"/>
          <w:color w:val="345988"/>
        </w:rPr>
      </w:pPr>
    </w:p>
    <w:p>
      <w:pPr>
        <w:ind w:left="3200" w:right="280" w:hanging="266"/>
        <w:spacing w:after="0" w:line="251" w:lineRule="auto"/>
        <w:tabs>
          <w:tab w:leader="none" w:pos="3177" w:val="left"/>
        </w:tabs>
        <w:numPr>
          <w:ilvl w:val="0"/>
          <w:numId w:val="103"/>
        </w:numPr>
        <w:rPr>
          <w:rFonts w:ascii="Arial" w:cs="Arial" w:eastAsia="Arial" w:hAnsi="Arial"/>
          <w:sz w:val="17"/>
          <w:szCs w:val="17"/>
          <w:color w:val="345988"/>
        </w:rPr>
      </w:pPr>
      <w:r>
        <w:rPr>
          <w:rFonts w:ascii="Arial" w:cs="Arial" w:eastAsia="Arial" w:hAnsi="Arial"/>
          <w:sz w:val="18"/>
          <w:szCs w:val="18"/>
          <w:color w:val="auto"/>
        </w:rPr>
        <w:t>Option exercise 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1" w:lineRule="exact"/>
        <w:rPr>
          <w:rFonts w:ascii="Arial" w:cs="Arial" w:eastAsia="Arial" w:hAnsi="Arial"/>
          <w:sz w:val="17"/>
          <w:szCs w:val="17"/>
          <w:color w:val="345988"/>
        </w:rPr>
      </w:pPr>
    </w:p>
    <w:p>
      <w:pPr>
        <w:ind w:left="3180" w:hanging="246"/>
        <w:spacing w:after="0"/>
        <w:tabs>
          <w:tab w:leader="none" w:pos="3180" w:val="left"/>
        </w:tabs>
        <w:numPr>
          <w:ilvl w:val="0"/>
          <w:numId w:val="103"/>
        </w:numPr>
        <w:rPr>
          <w:rFonts w:ascii="Arial" w:cs="Arial" w:eastAsia="Arial" w:hAnsi="Arial"/>
          <w:sz w:val="17"/>
          <w:szCs w:val="17"/>
          <w:color w:val="345988"/>
        </w:rPr>
      </w:pPr>
      <w:r>
        <w:rPr>
          <w:rFonts w:ascii="Arial" w:cs="Arial" w:eastAsia="Arial" w:hAnsi="Arial"/>
          <w:sz w:val="18"/>
          <w:szCs w:val="18"/>
          <w:color w:val="auto"/>
        </w:rPr>
        <w:t>12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9" w:right="420" w:hanging="269"/>
        <w:spacing w:after="0" w:line="262" w:lineRule="auto"/>
        <w:tabs>
          <w:tab w:leader="none" w:pos="246" w:val="left"/>
        </w:tabs>
        <w:numPr>
          <w:ilvl w:val="0"/>
          <w:numId w:val="104"/>
        </w:numPr>
        <w:rPr>
          <w:rFonts w:ascii="Arial" w:cs="Arial" w:eastAsia="Arial" w:hAnsi="Arial"/>
          <w:sz w:val="17"/>
          <w:szCs w:val="17"/>
          <w:color w:val="345988"/>
        </w:rPr>
      </w:pPr>
      <w:r>
        <w:rPr>
          <w:rFonts w:ascii="Arial" w:cs="Arial" w:eastAsia="Arial" w:hAnsi="Arial"/>
          <w:sz w:val="17"/>
          <w:szCs w:val="17"/>
          <w:color w:val="auto"/>
        </w:rPr>
        <w:t>2x-3x average annual base salary, deferred compensation, if any, and bonus</w:t>
      </w:r>
      <w:r>
        <w:rPr>
          <w:rFonts w:ascii="Arial" w:cs="Arial" w:eastAsia="Arial" w:hAnsi="Arial"/>
          <w:sz w:val="28"/>
          <w:szCs w:val="28"/>
          <w:color w:val="auto"/>
          <w:vertAlign w:val="superscript"/>
        </w:rPr>
        <w:t>(12)</w:t>
      </w:r>
    </w:p>
    <w:p>
      <w:pPr>
        <w:spacing w:after="0" w:line="1" w:lineRule="exact"/>
        <w:rPr>
          <w:rFonts w:ascii="Arial" w:cs="Arial" w:eastAsia="Arial" w:hAnsi="Arial"/>
          <w:sz w:val="17"/>
          <w:szCs w:val="17"/>
          <w:color w:val="345988"/>
        </w:rPr>
      </w:pPr>
    </w:p>
    <w:p>
      <w:pPr>
        <w:ind w:left="229" w:hanging="229"/>
        <w:spacing w:after="0"/>
        <w:tabs>
          <w:tab w:leader="none" w:pos="229" w:val="left"/>
        </w:tabs>
        <w:numPr>
          <w:ilvl w:val="0"/>
          <w:numId w:val="104"/>
        </w:numPr>
        <w:rPr>
          <w:rFonts w:ascii="Arial" w:cs="Arial" w:eastAsia="Arial" w:hAnsi="Arial"/>
          <w:sz w:val="17"/>
          <w:szCs w:val="17"/>
          <w:color w:val="345988"/>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(13)</w:t>
      </w:r>
    </w:p>
    <w:p>
      <w:pPr>
        <w:spacing w:after="0" w:line="31" w:lineRule="exact"/>
        <w:rPr>
          <w:rFonts w:ascii="Arial" w:cs="Arial" w:eastAsia="Arial" w:hAnsi="Arial"/>
          <w:sz w:val="17"/>
          <w:szCs w:val="17"/>
          <w:color w:val="345988"/>
        </w:rPr>
      </w:pPr>
    </w:p>
    <w:p>
      <w:pPr>
        <w:ind w:left="269" w:right="520" w:hanging="269"/>
        <w:spacing w:after="0" w:line="244" w:lineRule="auto"/>
        <w:tabs>
          <w:tab w:leader="none" w:pos="246" w:val="left"/>
        </w:tabs>
        <w:numPr>
          <w:ilvl w:val="0"/>
          <w:numId w:val="104"/>
        </w:numPr>
        <w:rPr>
          <w:rFonts w:ascii="Arial" w:cs="Arial" w:eastAsia="Arial" w:hAnsi="Arial"/>
          <w:sz w:val="17"/>
          <w:szCs w:val="17"/>
          <w:color w:val="345988"/>
        </w:rPr>
      </w:pPr>
      <w:r>
        <w:rPr>
          <w:rFonts w:ascii="Arial" w:cs="Arial" w:eastAsia="Arial" w:hAnsi="Arial"/>
          <w:sz w:val="18"/>
          <w:szCs w:val="18"/>
          <w:color w:val="auto"/>
        </w:rPr>
        <w:t>Acceleration of all unvested equity awards (other than OPP awards) and deferred compensation, if any</w:t>
      </w:r>
    </w:p>
    <w:p>
      <w:pPr>
        <w:spacing w:after="0" w:line="97" w:lineRule="exact"/>
        <w:rPr>
          <w:rFonts w:ascii="Arial" w:cs="Arial" w:eastAsia="Arial" w:hAnsi="Arial"/>
          <w:sz w:val="17"/>
          <w:szCs w:val="17"/>
          <w:color w:val="345988"/>
        </w:rPr>
      </w:pPr>
    </w:p>
    <w:p>
      <w:pPr>
        <w:ind w:left="269" w:right="360" w:hanging="269"/>
        <w:spacing w:after="0" w:line="251" w:lineRule="auto"/>
        <w:tabs>
          <w:tab w:leader="none" w:pos="246" w:val="left"/>
        </w:tabs>
        <w:numPr>
          <w:ilvl w:val="0"/>
          <w:numId w:val="104"/>
        </w:numPr>
        <w:rPr>
          <w:rFonts w:ascii="Arial" w:cs="Arial" w:eastAsia="Arial" w:hAnsi="Arial"/>
          <w:sz w:val="17"/>
          <w:szCs w:val="17"/>
          <w:color w:val="345988"/>
        </w:rPr>
      </w:pPr>
      <w:r>
        <w:rPr>
          <w:rFonts w:ascii="Arial" w:cs="Arial" w:eastAsia="Arial" w:hAnsi="Arial"/>
          <w:sz w:val="18"/>
          <w:szCs w:val="18"/>
          <w:color w:val="auto"/>
        </w:rPr>
        <w:t>Grant of employment agreement awards not previously granted</w:t>
      </w:r>
      <w:r>
        <w:rPr>
          <w:rFonts w:ascii="Arial" w:cs="Arial" w:eastAsia="Arial" w:hAnsi="Arial"/>
          <w:sz w:val="29"/>
          <w:szCs w:val="29"/>
          <w:color w:val="auto"/>
          <w:vertAlign w:val="superscript"/>
        </w:rPr>
        <w:t>(14)</w:t>
      </w:r>
    </w:p>
    <w:p>
      <w:pPr>
        <w:spacing w:after="0" w:line="1" w:lineRule="exact"/>
        <w:rPr>
          <w:rFonts w:ascii="Arial" w:cs="Arial" w:eastAsia="Arial" w:hAnsi="Arial"/>
          <w:sz w:val="17"/>
          <w:szCs w:val="17"/>
          <w:color w:val="345988"/>
        </w:rPr>
      </w:pPr>
    </w:p>
    <w:p>
      <w:pPr>
        <w:ind w:left="269" w:right="460" w:hanging="269"/>
        <w:spacing w:after="0" w:line="251" w:lineRule="auto"/>
        <w:tabs>
          <w:tab w:leader="none" w:pos="246" w:val="left"/>
        </w:tabs>
        <w:numPr>
          <w:ilvl w:val="0"/>
          <w:numId w:val="104"/>
        </w:numPr>
        <w:rPr>
          <w:rFonts w:ascii="Arial" w:cs="Arial" w:eastAsia="Arial" w:hAnsi="Arial"/>
          <w:sz w:val="17"/>
          <w:szCs w:val="17"/>
          <w:color w:val="345988"/>
        </w:rPr>
      </w:pPr>
      <w:r>
        <w:rPr>
          <w:rFonts w:ascii="Arial" w:cs="Arial" w:eastAsia="Arial" w:hAnsi="Arial"/>
          <w:sz w:val="18"/>
          <w:szCs w:val="18"/>
          <w:color w:val="auto"/>
        </w:rPr>
        <w:t>Option exercise 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1" w:lineRule="exact"/>
        <w:rPr>
          <w:rFonts w:ascii="Arial" w:cs="Arial" w:eastAsia="Arial" w:hAnsi="Arial"/>
          <w:sz w:val="17"/>
          <w:szCs w:val="17"/>
          <w:color w:val="345988"/>
        </w:rPr>
      </w:pPr>
    </w:p>
    <w:p>
      <w:pPr>
        <w:ind w:left="229" w:hanging="229"/>
        <w:spacing w:after="0"/>
        <w:tabs>
          <w:tab w:leader="none" w:pos="229" w:val="left"/>
        </w:tabs>
        <w:numPr>
          <w:ilvl w:val="0"/>
          <w:numId w:val="104"/>
        </w:numPr>
        <w:rPr>
          <w:rFonts w:ascii="Arial" w:cs="Arial" w:eastAsia="Arial" w:hAnsi="Arial"/>
          <w:sz w:val="16"/>
          <w:szCs w:val="16"/>
          <w:color w:val="345988"/>
        </w:rPr>
      </w:pPr>
      <w:r>
        <w:rPr>
          <w:rFonts w:ascii="Arial" w:cs="Arial" w:eastAsia="Arial" w:hAnsi="Arial"/>
          <w:sz w:val="16"/>
          <w:szCs w:val="16"/>
          <w:color w:val="auto"/>
        </w:rPr>
        <w:t>24 months of benefit continuation/ payments</w:t>
      </w:r>
    </w:p>
    <w:p>
      <w:pPr>
        <w:spacing w:after="0" w:line="139" w:lineRule="exact"/>
        <w:rPr>
          <w:rFonts w:ascii="Arial" w:cs="Arial" w:eastAsia="Arial" w:hAnsi="Arial"/>
          <w:sz w:val="16"/>
          <w:szCs w:val="16"/>
          <w:color w:val="345988"/>
        </w:rPr>
      </w:pPr>
    </w:p>
    <w:p>
      <w:pPr>
        <w:ind w:left="229" w:hanging="229"/>
        <w:spacing w:after="0"/>
        <w:tabs>
          <w:tab w:leader="none" w:pos="229" w:val="left"/>
        </w:tabs>
        <w:numPr>
          <w:ilvl w:val="0"/>
          <w:numId w:val="104"/>
        </w:numPr>
        <w:rPr>
          <w:rFonts w:ascii="Arial" w:cs="Arial" w:eastAsia="Arial" w:hAnsi="Arial"/>
          <w:sz w:val="17"/>
          <w:szCs w:val="17"/>
          <w:color w:val="345988"/>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(15)</w:t>
      </w:r>
    </w:p>
    <w:p>
      <w:pPr>
        <w:spacing w:after="0" w:line="200" w:lineRule="exact"/>
        <w:rPr>
          <w:sz w:val="20"/>
          <w:szCs w:val="20"/>
          <w:color w:val="auto"/>
        </w:rPr>
      </w:pPr>
    </w:p>
    <w:p>
      <w:pPr>
        <w:sectPr>
          <w:pgSz w:w="11900" w:h="16838" w:orient="portrait"/>
          <w:cols w:equalWidth="0" w:num="2">
            <w:col w:w="6800" w:space="591"/>
            <w:col w:w="4029"/>
          </w:cols>
          <w:pgMar w:left="240" w:top="121" w:right="239" w:bottom="1440" w:gutter="0" w:footer="0" w:header="0"/>
          <w:type w:val="continuous"/>
        </w:sectPr>
      </w:pPr>
    </w:p>
    <w:p>
      <w:pPr>
        <w:spacing w:after="0" w:line="183"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40" w:type="dxa"/>
            <w:vAlign w:val="bottom"/>
            <w:tcBorders>
              <w:bottom w:val="single" w:sz="8" w:color="345988"/>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345988"/>
            </w:tcBorders>
          </w:tcPr>
          <w:p>
            <w:pPr>
              <w:ind w:left="340"/>
              <w:spacing w:after="0"/>
              <w:rPr>
                <w:sz w:val="20"/>
                <w:szCs w:val="20"/>
                <w:color w:val="auto"/>
              </w:rPr>
            </w:pPr>
            <w:r>
              <w:rPr>
                <w:rFonts w:ascii="Arial" w:cs="Arial" w:eastAsia="Arial" w:hAnsi="Arial"/>
                <w:sz w:val="14"/>
                <w:szCs w:val="14"/>
                <w:b w:val="1"/>
                <w:bCs w:val="1"/>
                <w:color w:val="345988"/>
              </w:rPr>
              <w:t>Marc Holliday</w:t>
            </w:r>
          </w:p>
        </w:tc>
        <w:tc>
          <w:tcPr>
            <w:tcW w:w="1820" w:type="dxa"/>
            <w:vAlign w:val="bottom"/>
            <w:tcBorders>
              <w:bottom w:val="single" w:sz="8" w:color="345988"/>
            </w:tcBorders>
          </w:tcPr>
          <w:p>
            <w:pPr>
              <w:ind w:left="360"/>
              <w:spacing w:after="0"/>
              <w:rPr>
                <w:sz w:val="20"/>
                <w:szCs w:val="20"/>
                <w:color w:val="auto"/>
              </w:rPr>
            </w:pPr>
            <w:r>
              <w:rPr>
                <w:rFonts w:ascii="Arial" w:cs="Arial" w:eastAsia="Arial" w:hAnsi="Arial"/>
                <w:sz w:val="14"/>
                <w:szCs w:val="14"/>
                <w:b w:val="1"/>
                <w:bCs w:val="1"/>
                <w:color w:val="345988"/>
              </w:rPr>
              <w:t>Stephen L. Green</w:t>
            </w:r>
          </w:p>
        </w:tc>
        <w:tc>
          <w:tcPr>
            <w:tcW w:w="1640" w:type="dxa"/>
            <w:vAlign w:val="bottom"/>
            <w:tcBorders>
              <w:bottom w:val="single" w:sz="8" w:color="345988"/>
            </w:tcBorders>
          </w:tcPr>
          <w:p>
            <w:pPr>
              <w:ind w:left="320"/>
              <w:spacing w:after="0"/>
              <w:rPr>
                <w:sz w:val="20"/>
                <w:szCs w:val="20"/>
                <w:color w:val="auto"/>
              </w:rPr>
            </w:pPr>
            <w:r>
              <w:rPr>
                <w:rFonts w:ascii="Arial" w:cs="Arial" w:eastAsia="Arial" w:hAnsi="Arial"/>
                <w:sz w:val="14"/>
                <w:szCs w:val="14"/>
                <w:b w:val="1"/>
                <w:bCs w:val="1"/>
                <w:color w:val="345988"/>
              </w:rPr>
              <w:t>Andrew Mathias</w:t>
            </w:r>
          </w:p>
        </w:tc>
        <w:tc>
          <w:tcPr>
            <w:tcW w:w="1880" w:type="dxa"/>
            <w:vAlign w:val="bottom"/>
            <w:tcBorders>
              <w:bottom w:val="single" w:sz="8" w:color="345988"/>
            </w:tcBorders>
          </w:tcPr>
          <w:p>
            <w:pPr>
              <w:ind w:left="280"/>
              <w:spacing w:after="0"/>
              <w:rPr>
                <w:sz w:val="20"/>
                <w:szCs w:val="20"/>
                <w:color w:val="auto"/>
              </w:rPr>
            </w:pPr>
            <w:r>
              <w:rPr>
                <w:rFonts w:ascii="Arial" w:cs="Arial" w:eastAsia="Arial" w:hAnsi="Arial"/>
                <w:sz w:val="14"/>
                <w:szCs w:val="14"/>
                <w:b w:val="1"/>
                <w:bCs w:val="1"/>
                <w:color w:val="345988"/>
              </w:rPr>
              <w:t>Matthew J. DiLiberto</w:t>
            </w:r>
          </w:p>
        </w:tc>
        <w:tc>
          <w:tcPr>
            <w:tcW w:w="1680" w:type="dxa"/>
            <w:vAlign w:val="bottom"/>
            <w:tcBorders>
              <w:bottom w:val="single" w:sz="8" w:color="345988"/>
            </w:tcBorders>
          </w:tcPr>
          <w:p>
            <w:pPr>
              <w:ind w:left="280"/>
              <w:spacing w:after="0"/>
              <w:rPr>
                <w:sz w:val="20"/>
                <w:szCs w:val="20"/>
                <w:color w:val="auto"/>
              </w:rPr>
            </w:pPr>
            <w:r>
              <w:rPr>
                <w:rFonts w:ascii="Arial" w:cs="Arial" w:eastAsia="Arial" w:hAnsi="Arial"/>
                <w:sz w:val="14"/>
                <w:szCs w:val="14"/>
                <w:b w:val="1"/>
                <w:bCs w:val="1"/>
                <w:color w:val="345988"/>
              </w:rPr>
              <w:t>Andrew S. Levine</w:t>
            </w:r>
          </w:p>
        </w:tc>
      </w:tr>
      <w:tr>
        <w:trPr>
          <w:trHeight w:val="206"/>
        </w:trPr>
        <w:tc>
          <w:tcPr>
            <w:tcW w:w="20" w:type="dxa"/>
            <w:vAlign w:val="bottom"/>
          </w:tcPr>
          <w:p>
            <w:pPr>
              <w:spacing w:after="0"/>
              <w:rPr>
                <w:sz w:val="17"/>
                <w:szCs w:val="17"/>
                <w:color w:val="auto"/>
              </w:rPr>
            </w:pPr>
          </w:p>
        </w:tc>
        <w:tc>
          <w:tcPr>
            <w:tcW w:w="2640" w:type="dxa"/>
            <w:vAlign w:val="bottom"/>
          </w:tcPr>
          <w:p>
            <w:pPr>
              <w:spacing w:after="0" w:line="206" w:lineRule="exact"/>
              <w:rPr>
                <w:sz w:val="20"/>
                <w:szCs w:val="20"/>
                <w:color w:val="auto"/>
              </w:rPr>
            </w:pPr>
            <w:r>
              <w:rPr>
                <w:rFonts w:ascii="Arial" w:cs="Arial" w:eastAsia="Arial" w:hAnsi="Arial"/>
                <w:sz w:val="18"/>
                <w:szCs w:val="18"/>
                <w:b w:val="1"/>
                <w:bCs w:val="1"/>
                <w:color w:val="auto"/>
              </w:rPr>
              <w:t>Death/Disability</w:t>
            </w:r>
          </w:p>
        </w:tc>
        <w:tc>
          <w:tcPr>
            <w:tcW w:w="160" w:type="dxa"/>
            <w:vAlign w:val="bottom"/>
          </w:tcPr>
          <w:p>
            <w:pPr>
              <w:spacing w:after="0"/>
              <w:rPr>
                <w:sz w:val="17"/>
                <w:szCs w:val="17"/>
                <w:color w:val="auto"/>
              </w:rPr>
            </w:pPr>
          </w:p>
        </w:tc>
        <w:tc>
          <w:tcPr>
            <w:tcW w:w="8600" w:type="dxa"/>
            <w:vAlign w:val="bottom"/>
            <w:gridSpan w:val="5"/>
          </w:tcPr>
          <w:p>
            <w:pPr>
              <w:spacing w:after="0" w:line="206" w:lineRule="exact"/>
              <w:rPr>
                <w:sz w:val="20"/>
                <w:szCs w:val="20"/>
                <w:color w:val="auto"/>
              </w:rPr>
            </w:pPr>
            <w:r>
              <w:rPr>
                <w:rFonts w:ascii="Arial" w:cs="Arial" w:eastAsia="Arial" w:hAnsi="Arial"/>
                <w:sz w:val="18"/>
                <w:szCs w:val="18"/>
                <w:color w:val="auto"/>
                <w:w w:val="97"/>
              </w:rPr>
              <w:t>If the executive’s employment is terminated by us upon death or disability during the term, the executive will be</w:t>
            </w: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0" w:type="dxa"/>
            <w:vAlign w:val="bottom"/>
            <w:gridSpan w:val="5"/>
          </w:tcPr>
          <w:p>
            <w:pPr>
              <w:spacing w:after="0" w:line="202" w:lineRule="exact"/>
              <w:rPr>
                <w:sz w:val="20"/>
                <w:szCs w:val="20"/>
                <w:color w:val="auto"/>
              </w:rPr>
            </w:pPr>
            <w:r>
              <w:rPr>
                <w:rFonts w:ascii="Arial" w:cs="Arial" w:eastAsia="Arial" w:hAnsi="Arial"/>
                <w:sz w:val="18"/>
                <w:szCs w:val="18"/>
                <w:color w:val="auto"/>
                <w:w w:val="98"/>
              </w:rPr>
              <w:t>entitled to the following payments or benefits subject (in the case of disability) to the effectiveness of a mutual</w:t>
            </w:r>
          </w:p>
        </w:tc>
      </w:tr>
      <w:tr>
        <w:trPr>
          <w:trHeight w:val="211"/>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release:</w:t>
            </w: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74"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800"/>
        <w:spacing w:after="0"/>
        <w:rPr>
          <w:sz w:val="20"/>
          <w:szCs w:val="20"/>
          <w:color w:val="auto"/>
        </w:rPr>
      </w:pPr>
      <w:r>
        <w:rPr>
          <w:rFonts w:ascii="Arial" w:cs="Arial" w:eastAsia="Arial" w:hAnsi="Arial"/>
          <w:sz w:val="14"/>
          <w:szCs w:val="14"/>
          <w:b w:val="1"/>
          <w:bCs w:val="1"/>
          <w:color w:val="345988"/>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45720</wp:posOffset>
            </wp:positionV>
            <wp:extent cx="27012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81" w:lineRule="exact"/>
        <w:rPr>
          <w:sz w:val="20"/>
          <w:szCs w:val="20"/>
          <w:color w:val="auto"/>
        </w:rPr>
      </w:pPr>
    </w:p>
    <w:p>
      <w:pPr>
        <w:ind w:left="3380" w:hanging="243"/>
        <w:spacing w:after="0"/>
        <w:tabs>
          <w:tab w:leader="none" w:pos="3380" w:val="left"/>
        </w:tabs>
        <w:numPr>
          <w:ilvl w:val="0"/>
          <w:numId w:val="105"/>
        </w:numPr>
        <w:rPr>
          <w:rFonts w:ascii="Arial" w:cs="Arial" w:eastAsia="Arial" w:hAnsi="Arial"/>
          <w:sz w:val="17"/>
          <w:szCs w:val="17"/>
          <w:color w:val="345988"/>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(13)</w:t>
      </w:r>
    </w:p>
    <w:p>
      <w:pPr>
        <w:spacing w:after="0" w:line="31" w:lineRule="exact"/>
        <w:rPr>
          <w:rFonts w:ascii="Arial" w:cs="Arial" w:eastAsia="Arial" w:hAnsi="Arial"/>
          <w:sz w:val="17"/>
          <w:szCs w:val="17"/>
          <w:color w:val="345988"/>
        </w:rPr>
      </w:pPr>
    </w:p>
    <w:p>
      <w:pPr>
        <w:ind w:left="3400" w:right="40" w:hanging="263"/>
        <w:spacing w:after="0" w:line="247" w:lineRule="auto"/>
        <w:tabs>
          <w:tab w:leader="none" w:pos="3377" w:val="left"/>
        </w:tabs>
        <w:numPr>
          <w:ilvl w:val="0"/>
          <w:numId w:val="105"/>
        </w:numPr>
        <w:rPr>
          <w:rFonts w:ascii="Arial" w:cs="Arial" w:eastAsia="Arial" w:hAnsi="Arial"/>
          <w:sz w:val="17"/>
          <w:szCs w:val="17"/>
          <w:color w:val="345988"/>
        </w:rPr>
      </w:pPr>
      <w:r>
        <w:rPr>
          <w:rFonts w:ascii="Arial" w:cs="Arial" w:eastAsia="Arial" w:hAnsi="Arial"/>
          <w:sz w:val="18"/>
          <w:szCs w:val="18"/>
          <w:color w:val="auto"/>
        </w:rPr>
        <w:t>Partial acceleration of unvested equity awards (other than OPP awards) and deferred compensation, if any</w:t>
      </w:r>
      <w:r>
        <w:rPr>
          <w:rFonts w:ascii="Arial" w:cs="Arial" w:eastAsia="Arial" w:hAnsi="Arial"/>
          <w:sz w:val="29"/>
          <w:szCs w:val="29"/>
          <w:color w:val="auto"/>
          <w:vertAlign w:val="superscript"/>
        </w:rPr>
        <w:t>(16)</w:t>
      </w:r>
    </w:p>
    <w:p>
      <w:pPr>
        <w:ind w:left="3400" w:hanging="263"/>
        <w:spacing w:after="0" w:line="251" w:lineRule="auto"/>
        <w:tabs>
          <w:tab w:leader="none" w:pos="3377" w:val="left"/>
        </w:tabs>
        <w:numPr>
          <w:ilvl w:val="0"/>
          <w:numId w:val="105"/>
        </w:numPr>
        <w:rPr>
          <w:rFonts w:ascii="Arial" w:cs="Arial" w:eastAsia="Arial" w:hAnsi="Arial"/>
          <w:sz w:val="17"/>
          <w:szCs w:val="17"/>
          <w:color w:val="345988"/>
        </w:rPr>
      </w:pPr>
      <w:r>
        <w:rPr>
          <w:rFonts w:ascii="Arial" w:cs="Arial" w:eastAsia="Arial" w:hAnsi="Arial"/>
          <w:sz w:val="18"/>
          <w:szCs w:val="18"/>
          <w:color w:val="auto"/>
        </w:rPr>
        <w:t>Grant of certain employment agreement equity awards not previously granted</w:t>
      </w:r>
      <w:r>
        <w:rPr>
          <w:rFonts w:ascii="Arial" w:cs="Arial" w:eastAsia="Arial" w:hAnsi="Arial"/>
          <w:sz w:val="29"/>
          <w:szCs w:val="29"/>
          <w:color w:val="auto"/>
          <w:vertAlign w:val="superscript"/>
        </w:rPr>
        <w:t>(14)</w:t>
      </w:r>
    </w:p>
    <w:p>
      <w:pPr>
        <w:spacing w:after="0" w:line="1" w:lineRule="exact"/>
        <w:rPr>
          <w:rFonts w:ascii="Arial" w:cs="Arial" w:eastAsia="Arial" w:hAnsi="Arial"/>
          <w:sz w:val="17"/>
          <w:szCs w:val="17"/>
          <w:color w:val="345988"/>
        </w:rPr>
      </w:pPr>
    </w:p>
    <w:p>
      <w:pPr>
        <w:ind w:left="3400" w:right="240" w:hanging="263"/>
        <w:spacing w:after="0" w:line="316" w:lineRule="auto"/>
        <w:tabs>
          <w:tab w:leader="none" w:pos="3377" w:val="left"/>
        </w:tabs>
        <w:numPr>
          <w:ilvl w:val="0"/>
          <w:numId w:val="105"/>
        </w:numPr>
        <w:rPr>
          <w:rFonts w:ascii="Arial" w:cs="Arial" w:eastAsia="Arial" w:hAnsi="Arial"/>
          <w:sz w:val="16"/>
          <w:szCs w:val="16"/>
          <w:color w:val="345988"/>
        </w:rPr>
      </w:pPr>
      <w:r>
        <w:rPr>
          <w:rFonts w:ascii="Arial" w:cs="Arial" w:eastAsia="Arial" w:hAnsi="Arial"/>
          <w:sz w:val="16"/>
          <w:szCs w:val="16"/>
          <w:color w:val="auto"/>
        </w:rPr>
        <w:t>Payments/benefits to Messrs. Holliday and Green are reduced by life insurance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87"/>
        <w:spacing w:after="0"/>
        <w:rPr>
          <w:sz w:val="20"/>
          <w:szCs w:val="20"/>
          <w:color w:val="auto"/>
        </w:rPr>
      </w:pPr>
      <w:r>
        <w:rPr>
          <w:rFonts w:ascii="Arial" w:cs="Arial" w:eastAsia="Arial" w:hAnsi="Arial"/>
          <w:sz w:val="14"/>
          <w:szCs w:val="14"/>
          <w:b w:val="1"/>
          <w:bCs w:val="1"/>
          <w:color w:val="345988"/>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45720</wp:posOffset>
            </wp:positionV>
            <wp:extent cx="263271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82" w:lineRule="exact"/>
        <w:rPr>
          <w:sz w:val="20"/>
          <w:szCs w:val="20"/>
          <w:color w:val="auto"/>
        </w:rPr>
      </w:pPr>
    </w:p>
    <w:p>
      <w:pPr>
        <w:ind w:left="267" w:right="500" w:hanging="267"/>
        <w:spacing w:after="0" w:line="262" w:lineRule="auto"/>
        <w:tabs>
          <w:tab w:leader="none" w:pos="244" w:val="left"/>
        </w:tabs>
        <w:numPr>
          <w:ilvl w:val="0"/>
          <w:numId w:val="106"/>
        </w:numPr>
        <w:rPr>
          <w:rFonts w:ascii="Arial" w:cs="Arial" w:eastAsia="Arial" w:hAnsi="Arial"/>
          <w:sz w:val="17"/>
          <w:szCs w:val="17"/>
          <w:color w:val="345988"/>
        </w:rPr>
      </w:pPr>
      <w:r>
        <w:rPr>
          <w:rFonts w:ascii="Arial" w:cs="Arial" w:eastAsia="Arial" w:hAnsi="Arial"/>
          <w:sz w:val="17"/>
          <w:szCs w:val="17"/>
          <w:color w:val="auto"/>
        </w:rPr>
        <w:t>1x average annual base salary, deferred compensation, if any, and bonus</w:t>
      </w:r>
      <w:r>
        <w:rPr>
          <w:rFonts w:ascii="Arial" w:cs="Arial" w:eastAsia="Arial" w:hAnsi="Arial"/>
          <w:sz w:val="28"/>
          <w:szCs w:val="28"/>
          <w:color w:val="auto"/>
          <w:vertAlign w:val="superscript"/>
        </w:rPr>
        <w:t>(12)</w:t>
      </w:r>
    </w:p>
    <w:p>
      <w:pPr>
        <w:spacing w:after="0" w:line="1" w:lineRule="exact"/>
        <w:rPr>
          <w:rFonts w:ascii="Arial" w:cs="Arial" w:eastAsia="Arial" w:hAnsi="Arial"/>
          <w:sz w:val="17"/>
          <w:szCs w:val="17"/>
          <w:color w:val="345988"/>
        </w:rPr>
      </w:pPr>
    </w:p>
    <w:p>
      <w:pPr>
        <w:ind w:left="287" w:hanging="287"/>
        <w:spacing w:after="0"/>
        <w:tabs>
          <w:tab w:leader="none" w:pos="287" w:val="left"/>
        </w:tabs>
        <w:numPr>
          <w:ilvl w:val="0"/>
          <w:numId w:val="106"/>
        </w:numPr>
        <w:rPr>
          <w:rFonts w:ascii="Arial" w:cs="Arial" w:eastAsia="Arial" w:hAnsi="Arial"/>
          <w:sz w:val="17"/>
          <w:szCs w:val="17"/>
          <w:color w:val="345988"/>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(13)</w:t>
      </w:r>
    </w:p>
    <w:p>
      <w:pPr>
        <w:spacing w:after="0" w:line="31" w:lineRule="exact"/>
        <w:rPr>
          <w:rFonts w:ascii="Arial" w:cs="Arial" w:eastAsia="Arial" w:hAnsi="Arial"/>
          <w:sz w:val="17"/>
          <w:szCs w:val="17"/>
          <w:color w:val="345988"/>
        </w:rPr>
      </w:pPr>
    </w:p>
    <w:p>
      <w:pPr>
        <w:ind w:left="267" w:right="40" w:hanging="267"/>
        <w:spacing w:after="0" w:line="247" w:lineRule="auto"/>
        <w:tabs>
          <w:tab w:leader="none" w:pos="244" w:val="left"/>
        </w:tabs>
        <w:numPr>
          <w:ilvl w:val="0"/>
          <w:numId w:val="106"/>
        </w:numPr>
        <w:rPr>
          <w:rFonts w:ascii="Arial" w:cs="Arial" w:eastAsia="Arial" w:hAnsi="Arial"/>
          <w:sz w:val="17"/>
          <w:szCs w:val="17"/>
          <w:color w:val="345988"/>
        </w:rPr>
      </w:pPr>
      <w:r>
        <w:rPr>
          <w:rFonts w:ascii="Arial" w:cs="Arial" w:eastAsia="Arial" w:hAnsi="Arial"/>
          <w:sz w:val="18"/>
          <w:szCs w:val="18"/>
          <w:color w:val="auto"/>
        </w:rPr>
        <w:t>Partial acceleration of unvested equity awards (other than OPP awards) and deferred compensation, if any</w:t>
      </w:r>
      <w:r>
        <w:rPr>
          <w:rFonts w:ascii="Arial" w:cs="Arial" w:eastAsia="Arial" w:hAnsi="Arial"/>
          <w:sz w:val="29"/>
          <w:szCs w:val="29"/>
          <w:color w:val="auto"/>
          <w:vertAlign w:val="superscript"/>
        </w:rPr>
        <w:t>(16)</w:t>
      </w:r>
    </w:p>
    <w:p>
      <w:pPr>
        <w:jc w:val="both"/>
        <w:ind w:left="267" w:right="480" w:hanging="267"/>
        <w:spacing w:after="0" w:line="263" w:lineRule="auto"/>
        <w:tabs>
          <w:tab w:leader="none" w:pos="244" w:val="left"/>
        </w:tabs>
        <w:numPr>
          <w:ilvl w:val="0"/>
          <w:numId w:val="106"/>
        </w:numPr>
        <w:rPr>
          <w:rFonts w:ascii="Arial" w:cs="Arial" w:eastAsia="Arial" w:hAnsi="Arial"/>
          <w:sz w:val="17"/>
          <w:szCs w:val="17"/>
          <w:color w:val="345988"/>
        </w:rPr>
      </w:pPr>
      <w:r>
        <w:rPr>
          <w:rFonts w:ascii="Arial" w:cs="Arial" w:eastAsia="Arial" w:hAnsi="Arial"/>
          <w:sz w:val="17"/>
          <w:szCs w:val="17"/>
          <w:color w:val="auto"/>
        </w:rPr>
        <w:t>Grant of certain employment agreement equity awards not previously granted</w:t>
      </w:r>
      <w:r>
        <w:rPr>
          <w:rFonts w:ascii="Arial" w:cs="Arial" w:eastAsia="Arial" w:hAnsi="Arial"/>
          <w:sz w:val="28"/>
          <w:szCs w:val="28"/>
          <w:color w:val="auto"/>
          <w:vertAlign w:val="superscript"/>
        </w:rPr>
        <w:t>(14)</w:t>
      </w:r>
    </w:p>
    <w:p>
      <w:pPr>
        <w:ind w:left="247" w:hanging="247"/>
        <w:spacing w:after="0"/>
        <w:tabs>
          <w:tab w:leader="none" w:pos="247" w:val="left"/>
        </w:tabs>
        <w:numPr>
          <w:ilvl w:val="0"/>
          <w:numId w:val="106"/>
        </w:numPr>
        <w:rPr>
          <w:rFonts w:ascii="Arial" w:cs="Arial" w:eastAsia="Arial" w:hAnsi="Arial"/>
          <w:sz w:val="17"/>
          <w:szCs w:val="17"/>
          <w:color w:val="345988"/>
        </w:rPr>
      </w:pPr>
      <w:r>
        <w:rPr>
          <w:rFonts w:ascii="Arial" w:cs="Arial" w:eastAsia="Arial" w:hAnsi="Arial"/>
          <w:sz w:val="18"/>
          <w:szCs w:val="18"/>
          <w:color w:val="auto"/>
        </w:rPr>
        <w:t>36 months of benefit continuation/payments</w:t>
      </w:r>
    </w:p>
    <w:p>
      <w:pPr>
        <w:spacing w:after="0" w:line="136" w:lineRule="exact"/>
        <w:rPr>
          <w:sz w:val="20"/>
          <w:szCs w:val="20"/>
          <w:color w:val="auto"/>
        </w:rPr>
      </w:pPr>
    </w:p>
    <w:p>
      <w:pPr>
        <w:sectPr>
          <w:pgSz w:w="11900" w:h="16838" w:orient="portrait"/>
          <w:cols w:equalWidth="0" w:num="2">
            <w:col w:w="7000" w:space="553"/>
            <w:col w:w="3867"/>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Post-Change-in-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17411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periods following a Change-in-Control, in lieu of the base salary, annual bonus, deferred compensation and OPP awards described above, each executive, while employed, will be entitled to receive salary payable in cash at a per annum rate equal to the sum of his annual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4286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Restrictive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1056005</wp:posOffset>
            </wp:positionV>
            <wp:extent cx="174117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For Messrs. Holliday, Green and Mathias, noncompetition with us for 18 months following termination (12 months if employment is terminated upon or after the scheduled expiration of the term of employment or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319024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For Messrs. DiLiberto and Levine, noncompetition with us for 12 months after termination unless employment is terminated upon non-renewal of the agreement or without Cause or for Good Reason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16979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3">
            <w:col w:w="2160" w:space="720"/>
            <w:col w:w="5000" w:space="120"/>
            <w:col w:w="3420"/>
          </w:cols>
          <w:pgMar w:left="240" w:top="121" w:right="239" w:bottom="1440" w:gutter="0" w:footer="0" w:header="0"/>
          <w:type w:val="continuous"/>
        </w:sectPr>
      </w:pPr>
    </w:p>
    <w:p>
      <w:pPr>
        <w:ind w:left="380" w:right="220" w:hanging="372"/>
        <w:spacing w:after="0" w:line="225" w:lineRule="auto"/>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terms automatically renew for one year (for Messrs. Green and Mathias) and six months (for Messrs. DiLiberto and Levine) unless either party provides advance written notice of non-renewal. The terms would have automatically renewed for one year (for Messrs. Green and Mathias) and six months (for Messrs. DiLiberto and Levine) unless either party had provided advance written notice of non-renewal. During 2018, each of Messrs. Holliday, Mathias and Levine entered into new employment agreements that became effective immediately following the end of their respective then current term. Additionally, in connection with Mr. Green’s transition to his new role as Chairman Emeritus, the term of his employment agreement expired on December 31, 2018.</w:t>
      </w:r>
    </w:p>
    <w:p>
      <w:pPr>
        <w:spacing w:after="0" w:line="96" w:lineRule="exact"/>
        <w:rPr>
          <w:rFonts w:ascii="Arial" w:cs="Arial" w:eastAsia="Arial" w:hAnsi="Arial"/>
          <w:sz w:val="14"/>
          <w:szCs w:val="14"/>
          <w:color w:val="auto"/>
        </w:rPr>
      </w:pPr>
    </w:p>
    <w:p>
      <w:pPr>
        <w:ind w:left="380" w:right="160" w:hanging="372"/>
        <w:spacing w:after="0" w:line="272" w:lineRule="auto"/>
        <w:tabs>
          <w:tab w:leader="none" w:pos="3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Annual deferred compensation contributions are made in the form of notional stock units at the beginning of the term and on each anniversary of such date during the term, subject to vesting based on continued employment for one year from the grant date, and are payable no later than 30 days following the earliest of (i) the executive’s death, (ii) the date of the executive’s separation from service with us and (iii) the effective date of a Change-in-Control based on the value of such stock units at that time. As further described below, under our new employment agreements with our executives, we will no longer make deferred compensation contributions. Previously granted notional stock units will remain outstanding.</w:t>
      </w:r>
    </w:p>
    <w:p>
      <w:pPr>
        <w:spacing w:after="0" w:line="76" w:lineRule="exact"/>
        <w:rPr>
          <w:rFonts w:ascii="Arial" w:cs="Arial" w:eastAsia="Arial" w:hAnsi="Arial"/>
          <w:sz w:val="12"/>
          <w:szCs w:val="12"/>
          <w:color w:val="auto"/>
        </w:rPr>
      </w:pPr>
    </w:p>
    <w:p>
      <w:pPr>
        <w:ind w:left="380" w:right="100" w:hanging="372"/>
        <w:spacing w:after="0" w:line="228" w:lineRule="auto"/>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Pursuant to an agreement Mr. Holliday and the Company entered into in April 2018 in connection with entry by Mr. Holliday into a new employment agreement with the Company, Mr. Holliday consented to a reduction of the aggregate per annum minimum base salary payable pursuant to Mr. Holliday’s then-current employment agreement from $1.35 million to $1.25 million, retroactive to January 18, 2018.</w:t>
      </w:r>
    </w:p>
    <w:p>
      <w:pPr>
        <w:spacing w:after="0" w:line="94" w:lineRule="exact"/>
        <w:rPr>
          <w:rFonts w:ascii="Arial" w:cs="Arial" w:eastAsia="Arial" w:hAnsi="Arial"/>
          <w:sz w:val="14"/>
          <w:szCs w:val="14"/>
          <w:color w:val="auto"/>
        </w:rPr>
      </w:pPr>
    </w:p>
    <w:p>
      <w:pPr>
        <w:ind w:left="380" w:right="100" w:hanging="372"/>
        <w:spacing w:after="0" w:line="231" w:lineRule="auto"/>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Mr. Holliday is eligible to participate in an annual formulaic cash bonus program pursuant to which he will be able to earn up to three times his base salary based on the achievement of specific goals established in advance by the Committee.</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Granted 50% in 2016 and 50% in 2017. Vested on the first anniversary of the date of grant. 50% expiring 5 years after grant and 50% expiring 10 years after grant.</w:t>
      </w:r>
    </w:p>
    <w:p>
      <w:pPr>
        <w:spacing w:after="0" w:line="95" w:lineRule="exact"/>
        <w:rPr>
          <w:rFonts w:ascii="Arial" w:cs="Arial" w:eastAsia="Arial" w:hAnsi="Arial"/>
          <w:sz w:val="14"/>
          <w:szCs w:val="14"/>
          <w:color w:val="auto"/>
        </w:rPr>
      </w:pPr>
    </w:p>
    <w:p>
      <w:pPr>
        <w:ind w:left="380" w:right="20" w:hanging="372"/>
        <w:spacing w:after="0" w:line="213" w:lineRule="auto"/>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Granted in 2017, 2018 and 2019, respectively. Performance-Based LTIP units vesting 1/17/17, 1/17/18 and 1/17/19, respectively contingent on the achievement of performance-based vesting hurdles, with 50-100% of the LTIP units vesting based on the achievement of either annual FFO growth or TSR of 5-8% per year or TSR in the top 50-35% of the MSCI US REIT Index, respectively, during 2018 (or on a cumulative basis from 2016 through the end of 2018 or a subsequent quarter during the term of Mr. Holliday’s employment agreement). None of these LTIP units would have vested if threshold performance had not been achieved. Vesting was also subject to Mr. Holliday’s continued employment through January 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the year following the year in which the performance-based vesting hurdles were achieved; two-year post-vesting no-sale.</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Granted in 2018. Vested on December 31, 2018; two-year post-vesting no-sale.</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See “Executive Compensation Tables – 2018 Grants of Plan-Based Awards.”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Granted in 2016. Vest on each of January 1, 2017, January 1, 2018 and January 1, 2019, subject to continued employment.</w:t>
      </w:r>
    </w:p>
    <w:p>
      <w:pPr>
        <w:spacing w:after="0" w:line="20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08" w:lineRule="exact"/>
        <w:rPr>
          <w:sz w:val="20"/>
          <w:szCs w:val="20"/>
          <w:color w:val="auto"/>
        </w:rPr>
      </w:pPr>
    </w:p>
    <w:p>
      <w:pPr>
        <w:ind w:left="360" w:right="200" w:hanging="352"/>
        <w:spacing w:after="0" w:line="228"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Granted in 2016. One-third vesting on 1/1/17, 1/1/18 and 1/1/19 contingent on achievement of performance hurdle; from 50-100% vesting based on achievement of either annual FFO growth or TSR of 5-8% per year or TSR in the top 35-50% of the MSCI US REIT Index, respectively, for the prior year (or on a cumulative basis from 2016 through such year or a subsequent quarter during the term); no vesting unless the 50% threshold performance criteria described above is met.</w:t>
      </w:r>
    </w:p>
    <w:p>
      <w:pPr>
        <w:spacing w:after="0" w:line="94" w:lineRule="exact"/>
        <w:rPr>
          <w:rFonts w:ascii="Arial" w:cs="Arial" w:eastAsia="Arial" w:hAnsi="Arial"/>
          <w:sz w:val="14"/>
          <w:szCs w:val="14"/>
          <w:color w:val="auto"/>
        </w:rPr>
      </w:pPr>
    </w:p>
    <w:p>
      <w:pPr>
        <w:ind w:left="360" w:hanging="352"/>
        <w:spacing w:after="0"/>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Severance benefits in the event of a termination by us without Cause or by the executive for Good Reason in connection with or within 18 months after a Change-in-Control.</w:t>
      </w:r>
    </w:p>
    <w:p>
      <w:pPr>
        <w:spacing w:after="0" w:line="95" w:lineRule="exact"/>
        <w:rPr>
          <w:rFonts w:ascii="Arial" w:cs="Arial" w:eastAsia="Arial" w:hAnsi="Arial"/>
          <w:sz w:val="14"/>
          <w:szCs w:val="14"/>
          <w:color w:val="auto"/>
        </w:rPr>
      </w:pPr>
    </w:p>
    <w:p>
      <w:pPr>
        <w:ind w:left="360" w:right="80" w:hanging="352"/>
        <w:spacing w:after="0" w:line="224"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Calculated based on the sum of the named executive officer’s (i) average annual base salary in effect during the preceding 24 months, plus (ii) average annual cash bonuses (including any portion of the annual cash bonus paid in the form of equity awards, but excluding any annual or other equity awards made other than as payment of a cash bonus) paid for the two most recently completed fiscal years, plus (iii) average annual deferred compensation contribution, if any, during the preceding 24 months, calculated based on the cash value of the annual deferred compensation contributions as of the dates of such contributions. In connection with a Change-in-Control, Messrs. Holliday and Green are entitled to three times, Mr. Mathias is entitled to two and one-half times and Messrs. DiLiberto and Levine are entitled to two times the foregoing sum. Average deferred compensation is only applicable to Messrs. Holliday, Mathias and Green.</w:t>
      </w:r>
    </w:p>
    <w:p>
      <w:pPr>
        <w:spacing w:after="0" w:line="97" w:lineRule="exact"/>
        <w:rPr>
          <w:rFonts w:ascii="Arial" w:cs="Arial" w:eastAsia="Arial" w:hAnsi="Arial"/>
          <w:sz w:val="14"/>
          <w:szCs w:val="14"/>
          <w:color w:val="auto"/>
        </w:rPr>
      </w:pPr>
    </w:p>
    <w:p>
      <w:pPr>
        <w:ind w:left="360" w:right="420" w:hanging="352"/>
        <w:spacing w:after="0" w:line="231"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Pro-rata bonus is for the year in which employment is terminated (and a bonus for the prior year if such bonus had not yet been determined) based on average annual cash bonus calculated in the manner described in footnote (5) above.</w:t>
      </w:r>
    </w:p>
    <w:p>
      <w:pPr>
        <w:spacing w:after="0" w:line="95" w:lineRule="exact"/>
        <w:rPr>
          <w:rFonts w:ascii="Arial" w:cs="Arial" w:eastAsia="Arial" w:hAnsi="Arial"/>
          <w:sz w:val="14"/>
          <w:szCs w:val="14"/>
          <w:color w:val="auto"/>
        </w:rPr>
      </w:pPr>
    </w:p>
    <w:p>
      <w:pPr>
        <w:ind w:left="360" w:right="40" w:hanging="352"/>
        <w:spacing w:after="0" w:line="228"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Only applicable to Mr. Holliday. Mr. Holliday will be entitled to receive the stock options or Class O LTIP units provided for in his employment agreement, but will not be entitled to receive any other employment agreement equity awards that had not yet been granted unless his termination is in connection with or within 18 months after a Change-in-Control; provided that Mr. Holliday will not be subject to the non-competition provisions in his employment agreement if such other employment agreement equity awards are not granted.</w:t>
      </w:r>
    </w:p>
    <w:p>
      <w:pPr>
        <w:spacing w:after="0" w:line="94" w:lineRule="exact"/>
        <w:rPr>
          <w:rFonts w:ascii="Arial" w:cs="Arial" w:eastAsia="Arial" w:hAnsi="Arial"/>
          <w:sz w:val="14"/>
          <w:szCs w:val="14"/>
          <w:color w:val="auto"/>
        </w:rPr>
      </w:pPr>
    </w:p>
    <w:p>
      <w:pPr>
        <w:ind w:left="360" w:right="140" w:hanging="352"/>
        <w:spacing w:after="0" w:line="228"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94" w:lineRule="exact"/>
        <w:rPr>
          <w:rFonts w:ascii="Arial" w:cs="Arial" w:eastAsia="Arial" w:hAnsi="Arial"/>
          <w:sz w:val="14"/>
          <w:szCs w:val="14"/>
          <w:color w:val="auto"/>
        </w:rPr>
      </w:pPr>
    </w:p>
    <w:p>
      <w:pPr>
        <w:ind w:left="360" w:right="320" w:hanging="352"/>
        <w:spacing w:after="0" w:line="231" w:lineRule="auto"/>
        <w:tabs>
          <w:tab w:leader="none" w:pos="3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Full acceleration of vesting of any unvested equity awards granted in lieu of cash bonuses and deferred compensation and 24 months (Messrs. Holliday and Green), 18 months (Mr. Mathias) or 12 months (Messrs. DiLiberto and Levine) of additional vesting of other outstanding equity awards (other than OPP awards).</w:t>
      </w:r>
    </w:p>
    <w:p>
      <w:pPr>
        <w:spacing w:after="0" w:line="2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terms Cause, Good Reason and Change-in-Control, as used above, are specifically defined in each executive’s employment agreement. The summary above is qualified in its entirety by reference to the copies of the employment agreements and the deferred compensation agreements with our named executive officers, which have been previously filed by us with the SEC, as referenced in our Form 10-K for the year ended December 31, 2018, and are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Performance-Based Equity Awards</w:t>
      </w:r>
    </w:p>
    <w:p>
      <w:pPr>
        <w:spacing w:after="0" w:line="22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Upon a change in control, the performance-based vesting criteria for the performance-based LTIP unit awards that we granted to our named executive officers pursuant to their employment agreements will be determined based on performance through the date of the change in control. Regardless of the satisfaction of the performance-based vesting criteria, these awards will remain subject to vesting based on continued employment through the originally established vesting dates. In the event of a termination by us without Cause or by an executive for Good Reason (as defined in each executive’s employment agreement) in connection with or within 18 months after a change in control, all of the performance-based LTIP units will vest. Otherwise, the vesting of these performance-based LTIP units upon a termination of employment will be treated in the same manner as other equity awards under our executive’s employment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Stock Options and Class O LTIP units</w:t>
      </w:r>
    </w:p>
    <w:p>
      <w:pPr>
        <w:spacing w:after="0" w:line="2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the general terms of the 2005 Plan, the vesting of stock options and Class O LTIP units granted thereunder, including those granted to our named executive officers, will fully accelerate in the event of a termination of the recipient’s employment upon death or disability. Vested stock options and Class O LTIP units generally may be exercised or converted until the earlier of (i) their stated expiration date or mandatory conversion date or (ii) subject to extension of the exercise period or conversion period pursuant to our named executive officers’ employment agreements, a specified period of time after termination of employment (i.e., upon termination in the event of termination for cause, one year after termination in the event of termination due to death or disability and three months after termination in all other cases).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Hypothetical Illustration of Payments upon Termination or Change in Control</w:t>
      </w:r>
    </w:p>
    <w:p>
      <w:pPr>
        <w:spacing w:after="0" w:line="22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2018 based on the employment agreements and other contractual arrangements in effect as of that date. Our named executive officers would not have been entitled to any payments or benefits other than those already accrued in the event of a termination of their employment by us for cause or by them without good reason (including upon retirement) or a change in control without termination.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Information is not presented for Mr. Green, who retired as Executive Chairman as of January 17, 2019 and, in accordance with his existing agreements, did not receive any payments or benefits that had not otherwise previously vested.</w:t>
      </w:r>
    </w:p>
    <w:p>
      <w:pPr>
        <w:spacing w:after="0" w:line="2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345988"/>
        </w:rPr>
        <w:t>Marc Holliday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 without</w:t>
            </w:r>
          </w:p>
        </w:tc>
        <w:tc>
          <w:tcPr>
            <w:tcW w:w="14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192"/>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Payment/Benefit</w:t>
            </w:r>
          </w:p>
        </w:tc>
        <w:tc>
          <w:tcPr>
            <w:tcW w:w="16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345988"/>
                <w:w w:val="95"/>
              </w:rPr>
              <w:t>Cause or for Good Reason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345988"/>
                <w:w w:val="99"/>
              </w:rPr>
              <w:t>w/ Change in Control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45988"/>
              </w:rPr>
              <w:t>Disability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345988"/>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3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45988"/>
          </w:tcPr>
          <w:p>
            <w:pPr>
              <w:spacing w:after="0"/>
              <w:rPr>
                <w:sz w:val="2"/>
                <w:szCs w:val="2"/>
                <w:color w:val="auto"/>
              </w:rPr>
            </w:pPr>
          </w:p>
        </w:tc>
        <w:tc>
          <w:tcPr>
            <w:tcW w:w="14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14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6,600,000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6,600,000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6,600,000</w:t>
            </w:r>
          </w:p>
        </w:tc>
        <w:tc>
          <w:tcPr>
            <w:tcW w:w="0" w:type="dxa"/>
            <w:vAlign w:val="bottom"/>
          </w:tcPr>
          <w:p>
            <w:pPr>
              <w:spacing w:after="0"/>
              <w:rPr>
                <w:sz w:val="1"/>
                <w:szCs w:val="1"/>
                <w:color w:val="auto"/>
              </w:rPr>
            </w:pPr>
          </w:p>
        </w:tc>
      </w:tr>
      <w:tr>
        <w:trPr>
          <w:trHeight w:val="237"/>
        </w:trPr>
        <w:tc>
          <w:tcPr>
            <w:tcW w:w="5120" w:type="dxa"/>
            <w:vAlign w:val="bottom"/>
            <w:tcBorders>
              <w:top w:val="single" w:sz="8" w:color="345988"/>
              <w:bottom w:val="single" w:sz="8" w:color="345988"/>
            </w:tcBorders>
            <w:gridSpan w:val="4"/>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8,650,000</w:t>
            </w:r>
          </w:p>
        </w:tc>
        <w:tc>
          <w:tcPr>
            <w:tcW w:w="160" w:type="dxa"/>
            <w:vAlign w:val="bottom"/>
          </w:tcPr>
          <w:p>
            <w:pPr>
              <w:spacing w:after="0"/>
              <w:rPr>
                <w:sz w:val="20"/>
                <w:szCs w:val="20"/>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25,950,000</w:t>
            </w:r>
          </w:p>
        </w:tc>
        <w:tc>
          <w:tcPr>
            <w:tcW w:w="16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8,650,000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spacing w:after="0"/>
              <w:rPr>
                <w:sz w:val="20"/>
                <w:szCs w:val="20"/>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gridSpan w:val="4"/>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345988"/>
          </w:tcPr>
          <w:p>
            <w:pPr>
              <w:spacing w:after="0" w:line="20" w:lineRule="exact"/>
              <w:rPr>
                <w:sz w:val="1"/>
                <w:szCs w:val="1"/>
                <w:color w:val="auto"/>
              </w:rPr>
            </w:pPr>
          </w:p>
        </w:tc>
        <w:tc>
          <w:tcPr>
            <w:tcW w:w="100" w:type="dxa"/>
            <w:vAlign w:val="bottom"/>
            <w:shd w:val="clear" w:color="auto" w:fill="345988"/>
          </w:tcPr>
          <w:p>
            <w:pPr>
              <w:spacing w:after="0" w:line="20" w:lineRule="exact"/>
              <w:rPr>
                <w:sz w:val="1"/>
                <w:szCs w:val="1"/>
                <w:color w:val="auto"/>
              </w:rPr>
            </w:pPr>
          </w:p>
        </w:tc>
        <w:tc>
          <w:tcPr>
            <w:tcW w:w="180" w:type="dxa"/>
            <w:vAlign w:val="bottom"/>
            <w:shd w:val="clear" w:color="auto" w:fill="345988"/>
          </w:tcPr>
          <w:p>
            <w:pPr>
              <w:spacing w:after="0" w:line="20" w:lineRule="exact"/>
              <w:rPr>
                <w:sz w:val="1"/>
                <w:szCs w:val="1"/>
                <w:color w:val="auto"/>
              </w:rPr>
            </w:pPr>
          </w:p>
        </w:tc>
        <w:tc>
          <w:tcPr>
            <w:tcW w:w="38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345988"/>
          </w:tcPr>
          <w:p>
            <w:pPr>
              <w:spacing w:after="0" w:line="20" w:lineRule="exact"/>
              <w:rPr>
                <w:sz w:val="1"/>
                <w:szCs w:val="1"/>
                <w:color w:val="auto"/>
              </w:rPr>
            </w:pPr>
          </w:p>
        </w:tc>
        <w:tc>
          <w:tcPr>
            <w:tcW w:w="146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45988"/>
          </w:tcPr>
          <w:p>
            <w:pPr>
              <w:spacing w:after="0" w:line="20" w:lineRule="exact"/>
              <w:rPr>
                <w:sz w:val="1"/>
                <w:szCs w:val="1"/>
                <w:color w:val="auto"/>
              </w:rPr>
            </w:pPr>
          </w:p>
        </w:tc>
        <w:tc>
          <w:tcPr>
            <w:tcW w:w="142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20" w:type="dxa"/>
            <w:vAlign w:val="bottom"/>
            <w:gridSpan w:val="4"/>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608,283</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5,478,346</w:t>
            </w:r>
          </w:p>
        </w:tc>
        <w:tc>
          <w:tcPr>
            <w:tcW w:w="1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608,283</w:t>
            </w:r>
          </w:p>
        </w:tc>
        <w:tc>
          <w:tcPr>
            <w:tcW w:w="1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608,283</w:t>
            </w:r>
          </w:p>
        </w:tc>
        <w:tc>
          <w:tcPr>
            <w:tcW w:w="0" w:type="dxa"/>
            <w:vAlign w:val="bottom"/>
          </w:tcPr>
          <w:p>
            <w:pPr>
              <w:spacing w:after="0"/>
              <w:rPr>
                <w:sz w:val="1"/>
                <w:szCs w:val="1"/>
                <w:color w:val="auto"/>
              </w:rPr>
            </w:pPr>
          </w:p>
        </w:tc>
      </w:tr>
      <w:tr>
        <w:trPr>
          <w:trHeight w:val="311"/>
        </w:trPr>
        <w:tc>
          <w:tcPr>
            <w:tcW w:w="5120" w:type="dxa"/>
            <w:vAlign w:val="bottom"/>
            <w:tcBorders>
              <w:top w:val="single" w:sz="8" w:color="345988"/>
              <w:bottom w:val="single" w:sz="8" w:color="345988"/>
            </w:tcBorders>
            <w:gridSpan w:val="4"/>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46,865</w:t>
            </w:r>
          </w:p>
        </w:tc>
        <w:tc>
          <w:tcPr>
            <w:tcW w:w="160" w:type="dxa"/>
            <w:vAlign w:val="bottom"/>
          </w:tcPr>
          <w:p>
            <w:pPr>
              <w:spacing w:after="0"/>
              <w:rPr>
                <w:sz w:val="24"/>
                <w:szCs w:val="24"/>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93,730</w:t>
            </w:r>
          </w:p>
        </w:tc>
        <w:tc>
          <w:tcPr>
            <w:tcW w:w="16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140,595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spacing w:after="0"/>
              <w:rPr>
                <w:sz w:val="24"/>
                <w:szCs w:val="24"/>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280" w:type="dxa"/>
            <w:vAlign w:val="bottom"/>
            <w:gridSpan w:val="5"/>
          </w:tcPr>
          <w:p>
            <w:pPr>
              <w:spacing w:after="0"/>
              <w:rPr>
                <w:sz w:val="20"/>
                <w:szCs w:val="20"/>
                <w:color w:val="auto"/>
              </w:rPr>
            </w:pPr>
            <w:r>
              <w:rPr>
                <w:rFonts w:ascii="Arial" w:cs="Arial" w:eastAsia="Arial" w:hAnsi="Arial"/>
                <w:sz w:val="14"/>
                <w:szCs w:val="14"/>
                <w:b w:val="1"/>
                <w:bCs w:val="1"/>
                <w:color w:val="345988"/>
              </w:rPr>
              <w:t>Andrew Mathias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40" w:type="dxa"/>
            <w:vAlign w:val="bottom"/>
            <w:tcBorders>
              <w:top w:val="single" w:sz="8" w:color="345988"/>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 without</w:t>
            </w:r>
          </w:p>
        </w:tc>
        <w:tc>
          <w:tcPr>
            <w:tcW w:w="14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192"/>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Payment/Benefit</w:t>
            </w:r>
          </w:p>
        </w:tc>
        <w:tc>
          <w:tcPr>
            <w:tcW w:w="16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345988"/>
                <w:w w:val="95"/>
              </w:rPr>
              <w:t>Cause or for Good Reason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345988"/>
                <w:w w:val="99"/>
              </w:rPr>
              <w:t>w/ Change in Control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45988"/>
              </w:rPr>
              <w:t>Disability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345988"/>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3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45988"/>
          </w:tcPr>
          <w:p>
            <w:pPr>
              <w:spacing w:after="0"/>
              <w:rPr>
                <w:sz w:val="2"/>
                <w:szCs w:val="2"/>
                <w:color w:val="auto"/>
              </w:rPr>
            </w:pPr>
          </w:p>
        </w:tc>
        <w:tc>
          <w:tcPr>
            <w:tcW w:w="14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14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4,700,000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4,700,000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4,700,000</w:t>
            </w:r>
          </w:p>
        </w:tc>
        <w:tc>
          <w:tcPr>
            <w:tcW w:w="1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4,700,000</w:t>
            </w:r>
          </w:p>
        </w:tc>
        <w:tc>
          <w:tcPr>
            <w:tcW w:w="0" w:type="dxa"/>
            <w:vAlign w:val="bottom"/>
          </w:tcPr>
          <w:p>
            <w:pPr>
              <w:spacing w:after="0"/>
              <w:rPr>
                <w:sz w:val="1"/>
                <w:szCs w:val="1"/>
                <w:color w:val="auto"/>
              </w:rPr>
            </w:pPr>
          </w:p>
        </w:tc>
      </w:tr>
      <w:tr>
        <w:trPr>
          <w:trHeight w:val="237"/>
        </w:trPr>
        <w:tc>
          <w:tcPr>
            <w:tcW w:w="5120" w:type="dxa"/>
            <w:vAlign w:val="bottom"/>
            <w:tcBorders>
              <w:top w:val="single" w:sz="8" w:color="345988"/>
              <w:bottom w:val="single" w:sz="8" w:color="345988"/>
            </w:tcBorders>
            <w:gridSpan w:val="4"/>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6,100,000</w:t>
            </w:r>
          </w:p>
        </w:tc>
        <w:tc>
          <w:tcPr>
            <w:tcW w:w="160" w:type="dxa"/>
            <w:vAlign w:val="bottom"/>
          </w:tcPr>
          <w:p>
            <w:pPr>
              <w:spacing w:after="0"/>
              <w:rPr>
                <w:sz w:val="20"/>
                <w:szCs w:val="20"/>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15,250,000</w:t>
            </w:r>
          </w:p>
        </w:tc>
        <w:tc>
          <w:tcPr>
            <w:tcW w:w="16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6,100,000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spacing w:after="0"/>
              <w:rPr>
                <w:sz w:val="20"/>
                <w:szCs w:val="20"/>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gridSpan w:val="4"/>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345988"/>
          </w:tcPr>
          <w:p>
            <w:pPr>
              <w:spacing w:after="0" w:line="20" w:lineRule="exact"/>
              <w:rPr>
                <w:sz w:val="1"/>
                <w:szCs w:val="1"/>
                <w:color w:val="auto"/>
              </w:rPr>
            </w:pPr>
          </w:p>
        </w:tc>
        <w:tc>
          <w:tcPr>
            <w:tcW w:w="100" w:type="dxa"/>
            <w:vAlign w:val="bottom"/>
            <w:shd w:val="clear" w:color="auto" w:fill="345988"/>
          </w:tcPr>
          <w:p>
            <w:pPr>
              <w:spacing w:after="0" w:line="20" w:lineRule="exact"/>
              <w:rPr>
                <w:sz w:val="1"/>
                <w:szCs w:val="1"/>
                <w:color w:val="auto"/>
              </w:rPr>
            </w:pPr>
          </w:p>
        </w:tc>
        <w:tc>
          <w:tcPr>
            <w:tcW w:w="180" w:type="dxa"/>
            <w:vAlign w:val="bottom"/>
            <w:shd w:val="clear" w:color="auto" w:fill="345988"/>
          </w:tcPr>
          <w:p>
            <w:pPr>
              <w:spacing w:after="0" w:line="20" w:lineRule="exact"/>
              <w:rPr>
                <w:sz w:val="1"/>
                <w:szCs w:val="1"/>
                <w:color w:val="auto"/>
              </w:rPr>
            </w:pPr>
          </w:p>
        </w:tc>
        <w:tc>
          <w:tcPr>
            <w:tcW w:w="38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345988"/>
          </w:tcPr>
          <w:p>
            <w:pPr>
              <w:spacing w:after="0" w:line="20" w:lineRule="exact"/>
              <w:rPr>
                <w:sz w:val="1"/>
                <w:szCs w:val="1"/>
                <w:color w:val="auto"/>
              </w:rPr>
            </w:pPr>
          </w:p>
        </w:tc>
        <w:tc>
          <w:tcPr>
            <w:tcW w:w="146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45988"/>
          </w:tcPr>
          <w:p>
            <w:pPr>
              <w:spacing w:after="0" w:line="20" w:lineRule="exact"/>
              <w:rPr>
                <w:sz w:val="1"/>
                <w:szCs w:val="1"/>
                <w:color w:val="auto"/>
              </w:rPr>
            </w:pPr>
          </w:p>
        </w:tc>
        <w:tc>
          <w:tcPr>
            <w:tcW w:w="142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20" w:type="dxa"/>
            <w:vAlign w:val="bottom"/>
            <w:gridSpan w:val="4"/>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tcBorders>
              <w:top w:val="single" w:sz="8" w:color="345988"/>
              <w:bottom w:val="single" w:sz="8" w:color="345988"/>
            </w:tcBorders>
            <w:gridSpan w:val="4"/>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46,865</w:t>
            </w:r>
          </w:p>
        </w:tc>
        <w:tc>
          <w:tcPr>
            <w:tcW w:w="160" w:type="dxa"/>
            <w:vAlign w:val="bottom"/>
          </w:tcPr>
          <w:p>
            <w:pPr>
              <w:spacing w:after="0"/>
              <w:rPr>
                <w:sz w:val="24"/>
                <w:szCs w:val="24"/>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93,730</w:t>
            </w:r>
          </w:p>
        </w:tc>
        <w:tc>
          <w:tcPr>
            <w:tcW w:w="16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140,595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spacing w:after="0"/>
              <w:rPr>
                <w:sz w:val="24"/>
                <w:szCs w:val="24"/>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280" w:type="dxa"/>
            <w:vAlign w:val="bottom"/>
            <w:gridSpan w:val="5"/>
          </w:tcPr>
          <w:p>
            <w:pPr>
              <w:spacing w:after="0"/>
              <w:rPr>
                <w:sz w:val="20"/>
                <w:szCs w:val="20"/>
                <w:color w:val="auto"/>
              </w:rPr>
            </w:pPr>
            <w:r>
              <w:rPr>
                <w:rFonts w:ascii="Arial" w:cs="Arial" w:eastAsia="Arial" w:hAnsi="Arial"/>
                <w:sz w:val="14"/>
                <w:szCs w:val="14"/>
                <w:b w:val="1"/>
                <w:bCs w:val="1"/>
                <w:color w:val="345988"/>
              </w:rPr>
              <w:t>Matthew J. DiLiberto</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40" w:type="dxa"/>
            <w:vAlign w:val="bottom"/>
            <w:tcBorders>
              <w:top w:val="single" w:sz="8" w:color="345988"/>
            </w:tcBorders>
          </w:tcPr>
          <w:p>
            <w:pPr>
              <w:spacing w:after="0"/>
              <w:rPr>
                <w:sz w:val="24"/>
                <w:szCs w:val="24"/>
                <w:color w:val="auto"/>
              </w:rPr>
            </w:pPr>
          </w:p>
        </w:tc>
        <w:tc>
          <w:tcPr>
            <w:tcW w:w="100" w:type="dxa"/>
            <w:vAlign w:val="bottom"/>
            <w:tcBorders>
              <w:top w:val="single" w:sz="8" w:color="345988"/>
            </w:tcBorders>
          </w:tcPr>
          <w:p>
            <w:pPr>
              <w:spacing w:after="0"/>
              <w:rPr>
                <w:sz w:val="24"/>
                <w:szCs w:val="24"/>
                <w:color w:val="auto"/>
              </w:rPr>
            </w:pPr>
          </w:p>
        </w:tc>
        <w:tc>
          <w:tcPr>
            <w:tcW w:w="180" w:type="dxa"/>
            <w:vAlign w:val="bottom"/>
            <w:tcBorders>
              <w:top w:val="single" w:sz="8" w:color="345988"/>
            </w:tcBorders>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 without</w:t>
            </w:r>
          </w:p>
        </w:tc>
        <w:tc>
          <w:tcPr>
            <w:tcW w:w="14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192"/>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Payment/Benefit</w:t>
            </w:r>
          </w:p>
        </w:tc>
        <w:tc>
          <w:tcPr>
            <w:tcW w:w="16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345988"/>
                <w:w w:val="95"/>
              </w:rPr>
              <w:t>Cause or for Good Reason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345988"/>
                <w:w w:val="99"/>
              </w:rPr>
              <w:t>w/ Change in Control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45988"/>
              </w:rPr>
              <w:t>Disability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345988"/>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3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45988"/>
          </w:tcPr>
          <w:p>
            <w:pPr>
              <w:spacing w:after="0"/>
              <w:rPr>
                <w:sz w:val="2"/>
                <w:szCs w:val="2"/>
                <w:color w:val="auto"/>
              </w:rPr>
            </w:pPr>
          </w:p>
        </w:tc>
        <w:tc>
          <w:tcPr>
            <w:tcW w:w="14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14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1,800,000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1, 800,000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1, 800,000</w:t>
            </w:r>
          </w:p>
        </w:tc>
        <w:tc>
          <w:tcPr>
            <w:tcW w:w="1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1, 800,000</w:t>
            </w:r>
          </w:p>
        </w:tc>
        <w:tc>
          <w:tcPr>
            <w:tcW w:w="0" w:type="dxa"/>
            <w:vAlign w:val="bottom"/>
          </w:tcPr>
          <w:p>
            <w:pPr>
              <w:spacing w:after="0"/>
              <w:rPr>
                <w:sz w:val="1"/>
                <w:szCs w:val="1"/>
                <w:color w:val="auto"/>
              </w:rPr>
            </w:pPr>
          </w:p>
        </w:tc>
      </w:tr>
      <w:tr>
        <w:trPr>
          <w:trHeight w:val="237"/>
        </w:trPr>
        <w:tc>
          <w:tcPr>
            <w:tcW w:w="5120" w:type="dxa"/>
            <w:vAlign w:val="bottom"/>
            <w:tcBorders>
              <w:top w:val="single" w:sz="8" w:color="345988"/>
              <w:bottom w:val="single" w:sz="8" w:color="345988"/>
            </w:tcBorders>
            <w:gridSpan w:val="4"/>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2,325,000</w:t>
            </w:r>
          </w:p>
        </w:tc>
        <w:tc>
          <w:tcPr>
            <w:tcW w:w="160" w:type="dxa"/>
            <w:vAlign w:val="bottom"/>
          </w:tcPr>
          <w:p>
            <w:pPr>
              <w:spacing w:after="0"/>
              <w:rPr>
                <w:sz w:val="20"/>
                <w:szCs w:val="20"/>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4,650,000</w:t>
            </w:r>
          </w:p>
        </w:tc>
        <w:tc>
          <w:tcPr>
            <w:tcW w:w="16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spacing w:after="0"/>
              <w:rPr>
                <w:sz w:val="20"/>
                <w:szCs w:val="20"/>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gridSpan w:val="4"/>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345988"/>
          </w:tcPr>
          <w:p>
            <w:pPr>
              <w:spacing w:after="0" w:line="20" w:lineRule="exact"/>
              <w:rPr>
                <w:sz w:val="1"/>
                <w:szCs w:val="1"/>
                <w:color w:val="auto"/>
              </w:rPr>
            </w:pPr>
          </w:p>
        </w:tc>
        <w:tc>
          <w:tcPr>
            <w:tcW w:w="100" w:type="dxa"/>
            <w:vAlign w:val="bottom"/>
            <w:shd w:val="clear" w:color="auto" w:fill="345988"/>
          </w:tcPr>
          <w:p>
            <w:pPr>
              <w:spacing w:after="0" w:line="20" w:lineRule="exact"/>
              <w:rPr>
                <w:sz w:val="1"/>
                <w:szCs w:val="1"/>
                <w:color w:val="auto"/>
              </w:rPr>
            </w:pPr>
          </w:p>
        </w:tc>
        <w:tc>
          <w:tcPr>
            <w:tcW w:w="180" w:type="dxa"/>
            <w:vAlign w:val="bottom"/>
            <w:shd w:val="clear" w:color="auto" w:fill="345988"/>
          </w:tcPr>
          <w:p>
            <w:pPr>
              <w:spacing w:after="0" w:line="20" w:lineRule="exact"/>
              <w:rPr>
                <w:sz w:val="1"/>
                <w:szCs w:val="1"/>
                <w:color w:val="auto"/>
              </w:rPr>
            </w:pPr>
          </w:p>
        </w:tc>
        <w:tc>
          <w:tcPr>
            <w:tcW w:w="38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345988"/>
          </w:tcPr>
          <w:p>
            <w:pPr>
              <w:spacing w:after="0" w:line="20" w:lineRule="exact"/>
              <w:rPr>
                <w:sz w:val="1"/>
                <w:szCs w:val="1"/>
                <w:color w:val="auto"/>
              </w:rPr>
            </w:pPr>
          </w:p>
        </w:tc>
        <w:tc>
          <w:tcPr>
            <w:tcW w:w="146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45988"/>
          </w:tcPr>
          <w:p>
            <w:pPr>
              <w:spacing w:after="0" w:line="20" w:lineRule="exact"/>
              <w:rPr>
                <w:sz w:val="1"/>
                <w:szCs w:val="1"/>
                <w:color w:val="auto"/>
              </w:rPr>
            </w:pPr>
          </w:p>
        </w:tc>
        <w:tc>
          <w:tcPr>
            <w:tcW w:w="142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20" w:type="dxa"/>
            <w:vAlign w:val="bottom"/>
            <w:gridSpan w:val="4"/>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2,372,400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2,372,400</w:t>
            </w:r>
          </w:p>
        </w:tc>
        <w:tc>
          <w:tcPr>
            <w:tcW w:w="1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790,800</w:t>
            </w:r>
          </w:p>
        </w:tc>
        <w:tc>
          <w:tcPr>
            <w:tcW w:w="1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790,800</w:t>
            </w:r>
          </w:p>
        </w:tc>
        <w:tc>
          <w:tcPr>
            <w:tcW w:w="0" w:type="dxa"/>
            <w:vAlign w:val="bottom"/>
          </w:tcPr>
          <w:p>
            <w:pPr>
              <w:spacing w:after="0"/>
              <w:rPr>
                <w:sz w:val="1"/>
                <w:szCs w:val="1"/>
                <w:color w:val="auto"/>
              </w:rPr>
            </w:pPr>
          </w:p>
        </w:tc>
      </w:tr>
      <w:tr>
        <w:trPr>
          <w:trHeight w:val="311"/>
        </w:trPr>
        <w:tc>
          <w:tcPr>
            <w:tcW w:w="5120" w:type="dxa"/>
            <w:vAlign w:val="bottom"/>
            <w:tcBorders>
              <w:top w:val="single" w:sz="8" w:color="345988"/>
              <w:bottom w:val="single" w:sz="8" w:color="345988"/>
            </w:tcBorders>
            <w:gridSpan w:val="4"/>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15,366</w:t>
            </w:r>
          </w:p>
        </w:tc>
        <w:tc>
          <w:tcPr>
            <w:tcW w:w="160" w:type="dxa"/>
            <w:vAlign w:val="bottom"/>
          </w:tcPr>
          <w:p>
            <w:pPr>
              <w:spacing w:after="0"/>
              <w:rPr>
                <w:sz w:val="24"/>
                <w:szCs w:val="24"/>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30,731</w:t>
            </w:r>
          </w:p>
        </w:tc>
        <w:tc>
          <w:tcPr>
            <w:tcW w:w="16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46,097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spacing w:after="0"/>
              <w:rPr>
                <w:sz w:val="24"/>
                <w:szCs w:val="24"/>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280" w:type="dxa"/>
            <w:vAlign w:val="bottom"/>
            <w:gridSpan w:val="5"/>
          </w:tcPr>
          <w:p>
            <w:pPr>
              <w:spacing w:after="0"/>
              <w:rPr>
                <w:sz w:val="20"/>
                <w:szCs w:val="20"/>
                <w:color w:val="auto"/>
              </w:rPr>
            </w:pPr>
            <w:r>
              <w:rPr>
                <w:rFonts w:ascii="Arial" w:cs="Arial" w:eastAsia="Arial" w:hAnsi="Arial"/>
                <w:sz w:val="14"/>
                <w:szCs w:val="14"/>
                <w:b w:val="1"/>
                <w:bCs w:val="1"/>
                <w:color w:val="345988"/>
              </w:rPr>
              <w:t>Andrew S. Levine</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40" w:type="dxa"/>
            <w:vAlign w:val="bottom"/>
            <w:tcBorders>
              <w:top w:val="single" w:sz="8" w:color="345988"/>
            </w:tcBorders>
          </w:tcPr>
          <w:p>
            <w:pPr>
              <w:spacing w:after="0"/>
              <w:rPr>
                <w:sz w:val="24"/>
                <w:szCs w:val="24"/>
                <w:color w:val="auto"/>
              </w:rPr>
            </w:pPr>
          </w:p>
        </w:tc>
        <w:tc>
          <w:tcPr>
            <w:tcW w:w="100" w:type="dxa"/>
            <w:vAlign w:val="bottom"/>
            <w:tcBorders>
              <w:top w:val="single" w:sz="8" w:color="345988"/>
            </w:tcBorders>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rPr>
              <w:t>Termination without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Cause or for Good</w:t>
            </w:r>
          </w:p>
        </w:tc>
        <w:tc>
          <w:tcPr>
            <w:tcW w:w="140" w:type="dxa"/>
            <w:vAlign w:val="bottom"/>
          </w:tcPr>
          <w:p>
            <w:pPr>
              <w:spacing w:after="0"/>
              <w:rPr>
                <w:sz w:val="12"/>
                <w:szCs w:val="12"/>
                <w:color w:val="auto"/>
              </w:rPr>
            </w:pPr>
          </w:p>
        </w:tc>
        <w:tc>
          <w:tcPr>
            <w:tcW w:w="15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45988"/>
              </w:rPr>
              <w:t>Termination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345988"/>
              </w:rPr>
              <w:t>Death</w:t>
            </w:r>
            <w:r>
              <w:rPr>
                <w:rFonts w:ascii="Arial" w:cs="Arial" w:eastAsia="Arial" w:hAnsi="Arial"/>
                <w:sz w:val="22"/>
                <w:szCs w:val="22"/>
                <w:b w:val="1"/>
                <w:bCs w:val="1"/>
                <w:color w:val="345988"/>
                <w:vertAlign w:val="superscript"/>
              </w:rPr>
              <w:t>(1)</w:t>
            </w:r>
          </w:p>
        </w:tc>
        <w:tc>
          <w:tcPr>
            <w:tcW w:w="0" w:type="dxa"/>
            <w:vAlign w:val="bottom"/>
          </w:tcPr>
          <w:p>
            <w:pPr>
              <w:spacing w:after="0"/>
              <w:rPr>
                <w:sz w:val="1"/>
                <w:szCs w:val="1"/>
                <w:color w:val="auto"/>
              </w:rPr>
            </w:pPr>
          </w:p>
        </w:tc>
      </w:tr>
      <w:tr>
        <w:trPr>
          <w:trHeight w:val="192"/>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Payment/Benefit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345988"/>
              </w:rPr>
              <w:t>Reason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345988"/>
                <w:w w:val="99"/>
              </w:rPr>
              <w:t>w/ Change in Control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45988"/>
              </w:rPr>
              <w:t>Disability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345988"/>
          </w:tcPr>
          <w:p>
            <w:pPr>
              <w:spacing w:after="0"/>
              <w:rPr>
                <w:sz w:val="2"/>
                <w:szCs w:val="2"/>
                <w:color w:val="auto"/>
              </w:rPr>
            </w:pPr>
          </w:p>
        </w:tc>
        <w:tc>
          <w:tcPr>
            <w:tcW w:w="100" w:type="dxa"/>
            <w:vAlign w:val="bottom"/>
            <w:shd w:val="clear" w:color="auto" w:fill="345988"/>
          </w:tcPr>
          <w:p>
            <w:pPr>
              <w:spacing w:after="0"/>
              <w:rPr>
                <w:sz w:val="2"/>
                <w:szCs w:val="2"/>
                <w:color w:val="auto"/>
              </w:rPr>
            </w:pPr>
          </w:p>
        </w:tc>
        <w:tc>
          <w:tcPr>
            <w:tcW w:w="180" w:type="dxa"/>
            <w:vAlign w:val="bottom"/>
            <w:shd w:val="clear" w:color="auto" w:fill="345988"/>
          </w:tcPr>
          <w:p>
            <w:pPr>
              <w:spacing w:after="0"/>
              <w:rPr>
                <w:sz w:val="2"/>
                <w:szCs w:val="2"/>
                <w:color w:val="auto"/>
              </w:rPr>
            </w:pPr>
          </w:p>
        </w:tc>
        <w:tc>
          <w:tcPr>
            <w:tcW w:w="380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45988"/>
          </w:tcPr>
          <w:p>
            <w:pPr>
              <w:spacing w:after="0"/>
              <w:rPr>
                <w:sz w:val="2"/>
                <w:szCs w:val="2"/>
                <w:color w:val="auto"/>
              </w:rPr>
            </w:pPr>
          </w:p>
        </w:tc>
        <w:tc>
          <w:tcPr>
            <w:tcW w:w="146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45988"/>
          </w:tcPr>
          <w:p>
            <w:pPr>
              <w:spacing w:after="0"/>
              <w:rPr>
                <w:sz w:val="2"/>
                <w:szCs w:val="2"/>
                <w:color w:val="auto"/>
              </w:rPr>
            </w:pPr>
          </w:p>
        </w:tc>
        <w:tc>
          <w:tcPr>
            <w:tcW w:w="1420" w:type="dxa"/>
            <w:vAlign w:val="bottom"/>
            <w:shd w:val="clear" w:color="auto" w:fill="345988"/>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45988"/>
          </w:tcPr>
          <w:p>
            <w:pPr>
              <w:spacing w:after="0"/>
              <w:rPr>
                <w:sz w:val="2"/>
                <w:szCs w:val="2"/>
                <w:color w:val="auto"/>
              </w:rPr>
            </w:pPr>
          </w:p>
        </w:tc>
        <w:tc>
          <w:tcPr>
            <w:tcW w:w="960" w:type="dxa"/>
            <w:vAlign w:val="bottom"/>
            <w:shd w:val="clear" w:color="auto" w:fill="34598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1,312,500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1,312,500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1,312,500</w:t>
            </w:r>
          </w:p>
        </w:tc>
        <w:tc>
          <w:tcPr>
            <w:tcW w:w="1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1,312,500</w:t>
            </w:r>
          </w:p>
        </w:tc>
        <w:tc>
          <w:tcPr>
            <w:tcW w:w="0" w:type="dxa"/>
            <w:vAlign w:val="bottom"/>
          </w:tcPr>
          <w:p>
            <w:pPr>
              <w:spacing w:after="0"/>
              <w:rPr>
                <w:sz w:val="1"/>
                <w:szCs w:val="1"/>
                <w:color w:val="auto"/>
              </w:rPr>
            </w:pPr>
          </w:p>
        </w:tc>
      </w:tr>
      <w:tr>
        <w:trPr>
          <w:trHeight w:val="237"/>
        </w:trPr>
        <w:tc>
          <w:tcPr>
            <w:tcW w:w="5120" w:type="dxa"/>
            <w:vAlign w:val="bottom"/>
            <w:tcBorders>
              <w:top w:val="single" w:sz="8" w:color="345988"/>
              <w:bottom w:val="single" w:sz="8" w:color="345988"/>
            </w:tcBorders>
            <w:gridSpan w:val="4"/>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1,862,500</w:t>
            </w:r>
          </w:p>
        </w:tc>
        <w:tc>
          <w:tcPr>
            <w:tcW w:w="160" w:type="dxa"/>
            <w:vAlign w:val="bottom"/>
          </w:tcPr>
          <w:p>
            <w:pPr>
              <w:spacing w:after="0"/>
              <w:rPr>
                <w:sz w:val="20"/>
                <w:szCs w:val="20"/>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3,725,000</w:t>
            </w:r>
          </w:p>
        </w:tc>
        <w:tc>
          <w:tcPr>
            <w:tcW w:w="16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1,862,500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345988"/>
              <w:bottom w:val="single" w:sz="8" w:color="345988"/>
            </w:tcBorders>
          </w:tcPr>
          <w:p>
            <w:pPr>
              <w:spacing w:after="0"/>
              <w:rPr>
                <w:sz w:val="20"/>
                <w:szCs w:val="20"/>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120" w:type="dxa"/>
            <w:vAlign w:val="bottom"/>
            <w:gridSpan w:val="4"/>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shd w:val="clear" w:color="auto" w:fill="345988"/>
          </w:tcPr>
          <w:p>
            <w:pPr>
              <w:spacing w:after="0" w:line="20" w:lineRule="exact"/>
              <w:rPr>
                <w:sz w:val="1"/>
                <w:szCs w:val="1"/>
                <w:color w:val="auto"/>
              </w:rPr>
            </w:pPr>
          </w:p>
        </w:tc>
        <w:tc>
          <w:tcPr>
            <w:tcW w:w="100" w:type="dxa"/>
            <w:vAlign w:val="bottom"/>
            <w:shd w:val="clear" w:color="auto" w:fill="345988"/>
          </w:tcPr>
          <w:p>
            <w:pPr>
              <w:spacing w:after="0" w:line="20" w:lineRule="exact"/>
              <w:rPr>
                <w:sz w:val="1"/>
                <w:szCs w:val="1"/>
                <w:color w:val="auto"/>
              </w:rPr>
            </w:pPr>
          </w:p>
        </w:tc>
        <w:tc>
          <w:tcPr>
            <w:tcW w:w="180" w:type="dxa"/>
            <w:vAlign w:val="bottom"/>
            <w:shd w:val="clear" w:color="auto" w:fill="345988"/>
          </w:tcPr>
          <w:p>
            <w:pPr>
              <w:spacing w:after="0" w:line="20" w:lineRule="exact"/>
              <w:rPr>
                <w:sz w:val="1"/>
                <w:szCs w:val="1"/>
                <w:color w:val="auto"/>
              </w:rPr>
            </w:pPr>
          </w:p>
        </w:tc>
        <w:tc>
          <w:tcPr>
            <w:tcW w:w="380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345988"/>
          </w:tcPr>
          <w:p>
            <w:pPr>
              <w:spacing w:after="0" w:line="20" w:lineRule="exact"/>
              <w:rPr>
                <w:sz w:val="1"/>
                <w:szCs w:val="1"/>
                <w:color w:val="auto"/>
              </w:rPr>
            </w:pPr>
          </w:p>
        </w:tc>
        <w:tc>
          <w:tcPr>
            <w:tcW w:w="146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45988"/>
          </w:tcPr>
          <w:p>
            <w:pPr>
              <w:spacing w:after="0" w:line="20" w:lineRule="exact"/>
              <w:rPr>
                <w:sz w:val="1"/>
                <w:szCs w:val="1"/>
                <w:color w:val="auto"/>
              </w:rPr>
            </w:pPr>
          </w:p>
        </w:tc>
        <w:tc>
          <w:tcPr>
            <w:tcW w:w="1420" w:type="dxa"/>
            <w:vAlign w:val="bottom"/>
            <w:shd w:val="clear" w:color="auto" w:fill="3459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345988"/>
          </w:tcPr>
          <w:p>
            <w:pPr>
              <w:spacing w:after="0" w:line="20" w:lineRule="exact"/>
              <w:rPr>
                <w:sz w:val="1"/>
                <w:szCs w:val="1"/>
                <w:color w:val="auto"/>
              </w:rPr>
            </w:pPr>
          </w:p>
        </w:tc>
        <w:tc>
          <w:tcPr>
            <w:tcW w:w="960" w:type="dxa"/>
            <w:vAlign w:val="bottom"/>
            <w:shd w:val="clear" w:color="auto" w:fill="3459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20" w:type="dxa"/>
            <w:vAlign w:val="bottom"/>
            <w:gridSpan w:val="4"/>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948,960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948,960</w:t>
            </w:r>
          </w:p>
        </w:tc>
        <w:tc>
          <w:tcPr>
            <w:tcW w:w="1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948,960</w:t>
            </w:r>
          </w:p>
        </w:tc>
        <w:tc>
          <w:tcPr>
            <w:tcW w:w="1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948,960</w:t>
            </w:r>
          </w:p>
        </w:tc>
        <w:tc>
          <w:tcPr>
            <w:tcW w:w="0" w:type="dxa"/>
            <w:vAlign w:val="bottom"/>
          </w:tcPr>
          <w:p>
            <w:pPr>
              <w:spacing w:after="0"/>
              <w:rPr>
                <w:sz w:val="1"/>
                <w:szCs w:val="1"/>
                <w:color w:val="auto"/>
              </w:rPr>
            </w:pPr>
          </w:p>
        </w:tc>
      </w:tr>
      <w:tr>
        <w:trPr>
          <w:trHeight w:val="311"/>
        </w:trPr>
        <w:tc>
          <w:tcPr>
            <w:tcW w:w="5120" w:type="dxa"/>
            <w:vAlign w:val="bottom"/>
            <w:tcBorders>
              <w:top w:val="single" w:sz="8" w:color="345988"/>
              <w:bottom w:val="single" w:sz="8" w:color="345988"/>
            </w:tcBorders>
            <w:gridSpan w:val="4"/>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60" w:type="dxa"/>
            <w:vAlign w:val="bottom"/>
            <w:tcBorders>
              <w:top w:val="single" w:sz="8" w:color="345988"/>
              <w:bottom w:val="single" w:sz="8" w:color="345988"/>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46,865</w:t>
            </w:r>
          </w:p>
        </w:tc>
        <w:tc>
          <w:tcPr>
            <w:tcW w:w="160" w:type="dxa"/>
            <w:vAlign w:val="bottom"/>
          </w:tcPr>
          <w:p>
            <w:pPr>
              <w:spacing w:after="0"/>
              <w:rPr>
                <w:sz w:val="24"/>
                <w:szCs w:val="24"/>
                <w:color w:val="auto"/>
              </w:rPr>
            </w:pPr>
          </w:p>
        </w:tc>
        <w:tc>
          <w:tcPr>
            <w:tcW w:w="14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93,730</w:t>
            </w:r>
          </w:p>
        </w:tc>
        <w:tc>
          <w:tcPr>
            <w:tcW w:w="16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140,595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345988"/>
              <w:bottom w:val="single" w:sz="8" w:color="345988"/>
            </w:tcBorders>
          </w:tcPr>
          <w:p>
            <w:pPr>
              <w:spacing w:after="0"/>
              <w:rPr>
                <w:sz w:val="24"/>
                <w:szCs w:val="24"/>
                <w:color w:val="auto"/>
              </w:rPr>
            </w:pPr>
          </w:p>
        </w:tc>
        <w:tc>
          <w:tcPr>
            <w:tcW w:w="960" w:type="dxa"/>
            <w:vAlign w:val="bottom"/>
            <w:tcBorders>
              <w:top w:val="single" w:sz="8" w:color="345988"/>
              <w:bottom w:val="single" w:sz="8" w:color="345988"/>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60" w:right="140" w:hanging="352"/>
        <w:spacing w:after="0" w:line="22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As we maintained life insurance policies for the benefit of the beneficiaries of Messrs. Holliday and Green in the amount of $10 million and $5 million, respectively, as of December 31, 2018, the amount of the payments and benefits to be received by Messrs. Holliday and Green in the event of a termination upon death will be reduced by these amounts in accordance with their employment agreements.</w:t>
      </w:r>
    </w:p>
    <w:p>
      <w:pPr>
        <w:spacing w:after="0" w:line="94" w:lineRule="exact"/>
        <w:rPr>
          <w:rFonts w:ascii="Arial" w:cs="Arial" w:eastAsia="Arial" w:hAnsi="Arial"/>
          <w:sz w:val="14"/>
          <w:szCs w:val="14"/>
          <w:color w:val="auto"/>
        </w:rPr>
      </w:pPr>
    </w:p>
    <w:p>
      <w:pPr>
        <w:jc w:val="both"/>
        <w:ind w:left="360" w:right="140" w:hanging="352"/>
        <w:spacing w:after="0" w:line="22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the value of the stock options or Class O LTIP units, if any, that would vest. Assumes that the per share value of the stock options or Class O LTIP units that vest equals (i) $79.08 per share, which was the closing price on the NYSE of one share of our common stock on December 31, 2018, less (ii) the exercise price per share of such stock options or the conversion threshold of such Class O LTIP units.</w:t>
      </w:r>
    </w:p>
    <w:p>
      <w:pPr>
        <w:spacing w:after="0" w:line="94" w:lineRule="exact"/>
        <w:rPr>
          <w:rFonts w:ascii="Arial" w:cs="Arial" w:eastAsia="Arial" w:hAnsi="Arial"/>
          <w:sz w:val="14"/>
          <w:szCs w:val="14"/>
          <w:color w:val="auto"/>
        </w:rPr>
      </w:pPr>
    </w:p>
    <w:p>
      <w:pPr>
        <w:ind w:left="360" w:right="140" w:hanging="352"/>
        <w:spacing w:after="0" w:line="231"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the value of the LTIP units and notional stock units, if any, that would vest based on a price of $79.08 per unit, which was the closing price on the NYSE of one share of our common stock on December 31, 2018. Assumes that the value of LTIP units on a per unit basis is equal to the per share value of our common stock.</w:t>
      </w:r>
    </w:p>
    <w:p>
      <w:pPr>
        <w:spacing w:after="0" w:line="95" w:lineRule="exact"/>
        <w:rPr>
          <w:rFonts w:ascii="Arial" w:cs="Arial" w:eastAsia="Arial" w:hAnsi="Arial"/>
          <w:sz w:val="14"/>
          <w:szCs w:val="14"/>
          <w:color w:val="auto"/>
        </w:rPr>
      </w:pPr>
    </w:p>
    <w:p>
      <w:pPr>
        <w:ind w:left="360" w:right="120" w:hanging="352"/>
        <w:spacing w:after="0" w:line="22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Benefits continuation amounts are based on the actual expense for financial reporting purposes for the year ended December 31, 2018 for covering an employee under each our group health plans for the entire year, assuming that the employee elected family coverage under each of these plans, less the minimum contribution required by employees participating in these plans.</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215"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36"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New Employment Agreements in Effect During 2019</w:t>
      </w:r>
    </w:p>
    <w:p>
      <w:pPr>
        <w:spacing w:after="0" w:line="244" w:lineRule="exact"/>
        <w:rPr>
          <w:sz w:val="20"/>
          <w:szCs w:val="20"/>
          <w:color w:val="auto"/>
        </w:rPr>
      </w:pPr>
    </w:p>
    <w:p>
      <w:pPr>
        <w:ind w:left="3760"/>
        <w:spacing w:after="0"/>
        <w:tabs>
          <w:tab w:leader="none" w:pos="6540" w:val="left"/>
          <w:tab w:leader="none" w:pos="9420" w:val="left"/>
        </w:tabs>
        <w:rPr>
          <w:sz w:val="20"/>
          <w:szCs w:val="20"/>
          <w:color w:val="auto"/>
        </w:rPr>
      </w:pPr>
      <w:r>
        <w:rPr>
          <w:rFonts w:ascii="Arial" w:cs="Arial" w:eastAsia="Arial" w:hAnsi="Arial"/>
          <w:sz w:val="14"/>
          <w:szCs w:val="14"/>
          <w:b w:val="1"/>
          <w:bCs w:val="1"/>
          <w:color w:val="345988"/>
        </w:rPr>
        <w:t>Marc Holliday</w:t>
      </w:r>
      <w:r>
        <w:rPr>
          <w:sz w:val="20"/>
          <w:szCs w:val="20"/>
          <w:color w:val="auto"/>
        </w:rPr>
        <w:tab/>
      </w:r>
      <w:r>
        <w:rPr>
          <w:rFonts w:ascii="Arial" w:cs="Arial" w:eastAsia="Arial" w:hAnsi="Arial"/>
          <w:sz w:val="14"/>
          <w:szCs w:val="14"/>
          <w:b w:val="1"/>
          <w:bCs w:val="1"/>
          <w:color w:val="345988"/>
        </w:rPr>
        <w:t>Andrew Mathias</w:t>
      </w:r>
      <w:r>
        <w:rPr>
          <w:sz w:val="20"/>
          <w:szCs w:val="20"/>
          <w:color w:val="auto"/>
        </w:rPr>
        <w:tab/>
      </w:r>
      <w:r>
        <w:rPr>
          <w:rFonts w:ascii="Arial" w:cs="Arial" w:eastAsia="Arial" w:hAnsi="Arial"/>
          <w:sz w:val="12"/>
          <w:szCs w:val="12"/>
          <w:b w:val="1"/>
          <w:bCs w:val="1"/>
          <w:color w:val="345988"/>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6979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979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color w:val="auto"/>
        </w:rPr>
        <w:t>Formulaic Annual Cash Bonus</w:t>
      </w:r>
      <w:r>
        <w:rPr>
          <w:rFonts w:ascii="Arial" w:cs="Arial" w:eastAsia="Arial" w:hAnsi="Arial"/>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979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right="20"/>
        <w:spacing w:after="0" w:line="251" w:lineRule="auto"/>
        <w:rPr>
          <w:sz w:val="20"/>
          <w:szCs w:val="20"/>
          <w:color w:val="auto"/>
        </w:rPr>
      </w:pPr>
      <w:r>
        <w:rPr>
          <w:rFonts w:ascii="Arial" w:cs="Arial" w:eastAsia="Arial" w:hAnsi="Arial"/>
          <w:sz w:val="18"/>
          <w:szCs w:val="18"/>
          <w:b w:val="1"/>
          <w:bCs w:val="1"/>
          <w:color w:val="auto"/>
        </w:rPr>
        <w:t>Performance-Based LTIP Units (Target)</w:t>
      </w:r>
      <w:r>
        <w:rPr>
          <w:rFonts w:ascii="Arial" w:cs="Arial" w:eastAsia="Arial" w:hAnsi="Arial"/>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979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Time-Based LTIP Units (Target)</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6979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69799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97990" cy="17145"/>
                    </a:xfrm>
                    <a:prstGeom prst="rect">
                      <a:avLst/>
                    </a:prstGeom>
                    <a:noFill/>
                  </pic:spPr>
                </pic:pic>
              </a:graphicData>
            </a:graphic>
          </wp:anchor>
        </w:drawing>
      </w:r>
    </w:p>
    <w:p>
      <w:pPr>
        <w:spacing w:after="0" w:line="57"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b w:val="1"/>
          <w:bCs w:val="1"/>
          <w:color w:val="auto"/>
        </w:rPr>
        <w:t>Severance Benefits (without Change-in-Control)</w:t>
      </w:r>
      <w:r>
        <w:rPr>
          <w:rFonts w:ascii="Arial" w:cs="Arial" w:eastAsia="Arial" w:hAnsi="Arial"/>
          <w:sz w:val="28"/>
          <w:szCs w:val="28"/>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7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1/18/19 – 1/17/22</w:t>
            </w:r>
          </w:p>
        </w:tc>
        <w:tc>
          <w:tcPr>
            <w:tcW w:w="160" w:type="dxa"/>
            <w:vAlign w:val="bottom"/>
          </w:tcPr>
          <w:p>
            <w:pPr>
              <w:spacing w:after="0"/>
              <w:rPr>
                <w:sz w:val="19"/>
                <w:szCs w:val="19"/>
                <w:color w:val="auto"/>
              </w:rPr>
            </w:pPr>
          </w:p>
        </w:tc>
        <w:tc>
          <w:tcPr>
            <w:tcW w:w="27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1/1/19 – 12/31/21</w:t>
            </w:r>
          </w:p>
        </w:tc>
        <w:tc>
          <w:tcPr>
            <w:tcW w:w="160" w:type="dxa"/>
            <w:vAlign w:val="bottom"/>
          </w:tcPr>
          <w:p>
            <w:pPr>
              <w:spacing w:after="0"/>
              <w:rPr>
                <w:sz w:val="19"/>
                <w:szCs w:val="19"/>
                <w:color w:val="auto"/>
              </w:rPr>
            </w:pPr>
          </w:p>
        </w:tc>
        <w:tc>
          <w:tcPr>
            <w:tcW w:w="28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1/1/19 – 1/1/22</w:t>
            </w:r>
          </w:p>
        </w:tc>
      </w:tr>
      <w:tr>
        <w:trPr>
          <w:trHeight w:val="237"/>
        </w:trPr>
        <w:tc>
          <w:tcPr>
            <w:tcW w:w="27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$1.25M</w:t>
            </w:r>
          </w:p>
        </w:tc>
        <w:tc>
          <w:tcPr>
            <w:tcW w:w="160" w:type="dxa"/>
            <w:vAlign w:val="bottom"/>
          </w:tcPr>
          <w:p>
            <w:pPr>
              <w:spacing w:after="0"/>
              <w:rPr>
                <w:sz w:val="20"/>
                <w:szCs w:val="20"/>
                <w:color w:val="auto"/>
              </w:rPr>
            </w:pPr>
          </w:p>
        </w:tc>
        <w:tc>
          <w:tcPr>
            <w:tcW w:w="27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$950K</w:t>
            </w:r>
          </w:p>
        </w:tc>
        <w:tc>
          <w:tcPr>
            <w:tcW w:w="160" w:type="dxa"/>
            <w:vAlign w:val="bottom"/>
          </w:tcPr>
          <w:p>
            <w:pPr>
              <w:spacing w:after="0"/>
              <w:rPr>
                <w:sz w:val="20"/>
                <w:szCs w:val="20"/>
                <w:color w:val="auto"/>
              </w:rPr>
            </w:pPr>
          </w:p>
        </w:tc>
        <w:tc>
          <w:tcPr>
            <w:tcW w:w="28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$580K</w:t>
            </w:r>
          </w:p>
        </w:tc>
      </w:tr>
      <w:tr>
        <w:trPr>
          <w:trHeight w:val="228"/>
        </w:trPr>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50-300% base salary</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50-250% base salary</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6"/>
        </w:trPr>
        <w:tc>
          <w:tcPr>
            <w:tcW w:w="2720" w:type="dxa"/>
            <w:vAlign w:val="bottom"/>
            <w:tcBorders>
              <w:bottom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345988"/>
            </w:tcBorders>
          </w:tcPr>
          <w:p>
            <w:pPr>
              <w:spacing w:after="0"/>
              <w:rPr>
                <w:sz w:val="24"/>
                <w:szCs w:val="24"/>
                <w:color w:val="auto"/>
              </w:rPr>
            </w:pPr>
          </w:p>
        </w:tc>
      </w:tr>
      <w:tr>
        <w:trPr>
          <w:trHeight w:val="221"/>
        </w:trPr>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$7.5M</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$6.0M</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6"/>
        </w:trPr>
        <w:tc>
          <w:tcPr>
            <w:tcW w:w="2720" w:type="dxa"/>
            <w:vAlign w:val="bottom"/>
            <w:tcBorders>
              <w:bottom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345988"/>
            </w:tcBorders>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345988"/>
            </w:tcBorders>
          </w:tcPr>
          <w:p>
            <w:pPr>
              <w:spacing w:after="0"/>
              <w:rPr>
                <w:sz w:val="24"/>
                <w:szCs w:val="24"/>
                <w:color w:val="auto"/>
              </w:rPr>
            </w:pPr>
          </w:p>
        </w:tc>
      </w:tr>
      <w:tr>
        <w:trPr>
          <w:trHeight w:val="221"/>
        </w:trPr>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$4.5M</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$3.5M</w:t>
            </w:r>
          </w:p>
        </w:tc>
        <w:tc>
          <w:tcPr>
            <w:tcW w:w="2820" w:type="dxa"/>
            <w:vAlign w:val="bottom"/>
          </w:tcPr>
          <w:p>
            <w:pPr>
              <w:jc w:val="right"/>
              <w:spacing w:after="0"/>
              <w:rPr>
                <w:sz w:val="20"/>
                <w:szCs w:val="20"/>
                <w:color w:val="auto"/>
              </w:rPr>
            </w:pPr>
            <w:r>
              <w:rPr>
                <w:rFonts w:ascii="Arial" w:cs="Arial" w:eastAsia="Arial" w:hAnsi="Arial"/>
                <w:sz w:val="18"/>
                <w:szCs w:val="18"/>
                <w:color w:val="auto"/>
              </w:rPr>
              <w:t>$1.3M</w:t>
            </w:r>
          </w:p>
        </w:tc>
      </w:tr>
      <w:tr>
        <w:trPr>
          <w:trHeight w:val="259"/>
        </w:trPr>
        <w:tc>
          <w:tcPr>
            <w:tcW w:w="2720" w:type="dxa"/>
            <w:vAlign w:val="bottom"/>
            <w:tcBorders>
              <w:bottom w:val="single" w:sz="8" w:color="345988"/>
            </w:tcBorders>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tcBorders>
              <w:bottom w:val="single" w:sz="8" w:color="345988"/>
            </w:tcBorders>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tcBorders>
              <w:bottom w:val="single" w:sz="8" w:color="345988"/>
            </w:tcBorders>
          </w:tcPr>
          <w:p>
            <w:pPr>
              <w:spacing w:after="0"/>
              <w:rPr>
                <w:sz w:val="22"/>
                <w:szCs w:val="22"/>
                <w:color w:val="auto"/>
              </w:rPr>
            </w:pPr>
          </w:p>
        </w:tc>
      </w:tr>
      <w:tr>
        <w:trPr>
          <w:trHeight w:val="221"/>
        </w:trPr>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$10M of life insurance</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82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54457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45760" cy="17145"/>
                    </a:xfrm>
                    <a:prstGeom prst="rect">
                      <a:avLst/>
                    </a:prstGeom>
                    <a:noFill/>
                  </pic:spPr>
                </pic:pic>
              </a:graphicData>
            </a:graphic>
          </wp:anchor>
        </w:drawing>
      </w:r>
    </w:p>
    <w:p>
      <w:pPr>
        <w:spacing w:after="0" w:line="5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during the term, the executive will be entitled to the following payments or benefits, subject to the effectiveness of a mutual release:</w:t>
      </w:r>
    </w:p>
    <w:p>
      <w:pPr>
        <w:spacing w:after="0" w:line="269" w:lineRule="exact"/>
        <w:rPr>
          <w:sz w:val="20"/>
          <w:szCs w:val="20"/>
          <w:color w:val="auto"/>
        </w:rPr>
      </w:pPr>
    </w:p>
    <w:p>
      <w:pPr>
        <w:ind w:left="1600"/>
        <w:spacing w:after="0"/>
        <w:tabs>
          <w:tab w:leader="none" w:pos="6240" w:val="left"/>
        </w:tabs>
        <w:rPr>
          <w:sz w:val="20"/>
          <w:szCs w:val="20"/>
          <w:color w:val="auto"/>
        </w:rPr>
      </w:pPr>
      <w:r>
        <w:rPr>
          <w:rFonts w:ascii="Arial" w:cs="Arial" w:eastAsia="Arial" w:hAnsi="Arial"/>
          <w:sz w:val="14"/>
          <w:szCs w:val="14"/>
          <w:b w:val="1"/>
          <w:bCs w:val="1"/>
          <w:color w:val="345988"/>
        </w:rPr>
        <w:t>Holliday/Mathias</w:t>
      </w:r>
      <w:r>
        <w:rPr>
          <w:sz w:val="20"/>
          <w:szCs w:val="20"/>
          <w:color w:val="auto"/>
        </w:rPr>
        <w:tab/>
      </w:r>
      <w:r>
        <w:rPr>
          <w:rFonts w:ascii="Arial" w:cs="Arial" w:eastAsia="Arial" w:hAnsi="Arial"/>
          <w:sz w:val="14"/>
          <w:szCs w:val="14"/>
          <w:b w:val="1"/>
          <w:bCs w:val="1"/>
          <w:color w:val="345988"/>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54286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2600" w:space="240"/>
            <w:col w:w="8580"/>
          </w:cols>
          <w:pgMar w:left="240" w:top="121" w:right="239" w:bottom="1440" w:gutter="0" w:footer="0" w:header="0"/>
          <w:type w:val="continuous"/>
        </w:sectPr>
      </w:pPr>
    </w:p>
    <w:p>
      <w:pPr>
        <w:ind w:left="3420" w:right="100" w:hanging="270"/>
        <w:spacing w:after="0" w:line="244" w:lineRule="auto"/>
        <w:tabs>
          <w:tab w:leader="none" w:pos="3397" w:val="left"/>
        </w:tabs>
        <w:numPr>
          <w:ilvl w:val="0"/>
          <w:numId w:val="112"/>
        </w:numPr>
        <w:rPr>
          <w:rFonts w:ascii="Arial" w:cs="Arial" w:eastAsia="Arial" w:hAnsi="Arial"/>
          <w:sz w:val="17"/>
          <w:szCs w:val="17"/>
          <w:color w:val="345988"/>
        </w:rPr>
      </w:pPr>
      <w:r>
        <w:rPr>
          <w:rFonts w:ascii="Arial" w:cs="Arial" w:eastAsia="Arial" w:hAnsi="Arial"/>
          <w:sz w:val="18"/>
          <w:szCs w:val="18"/>
          <w:color w:val="auto"/>
        </w:rPr>
        <w:t>2.0x / 1.5x the sum of base salary, maximum formulaic bonus and target value of annual time-based equity award</w:t>
      </w:r>
    </w:p>
    <w:p>
      <w:pPr>
        <w:spacing w:after="0" w:line="97" w:lineRule="exact"/>
        <w:rPr>
          <w:rFonts w:ascii="Arial" w:cs="Arial" w:eastAsia="Arial" w:hAnsi="Arial"/>
          <w:sz w:val="17"/>
          <w:szCs w:val="17"/>
          <w:color w:val="345988"/>
        </w:rPr>
      </w:pPr>
    </w:p>
    <w:p>
      <w:pPr>
        <w:jc w:val="both"/>
        <w:ind w:left="3420" w:right="120" w:hanging="270"/>
        <w:spacing w:after="0" w:line="244" w:lineRule="auto"/>
        <w:tabs>
          <w:tab w:leader="none" w:pos="3397" w:val="left"/>
        </w:tabs>
        <w:numPr>
          <w:ilvl w:val="0"/>
          <w:numId w:val="112"/>
        </w:numPr>
        <w:rPr>
          <w:rFonts w:ascii="Arial" w:cs="Arial" w:eastAsia="Arial" w:hAnsi="Arial"/>
          <w:sz w:val="17"/>
          <w:szCs w:val="17"/>
          <w:color w:val="345988"/>
        </w:rPr>
      </w:pPr>
      <w:r>
        <w:rPr>
          <w:rFonts w:ascii="Arial" w:cs="Arial" w:eastAsia="Arial" w:hAnsi="Arial"/>
          <w:sz w:val="18"/>
          <w:szCs w:val="18"/>
          <w:color w:val="auto"/>
        </w:rPr>
        <w:t>Pro-rata bonus and pro-rata portion of target value of annual time-based award for partial year</w:t>
      </w:r>
    </w:p>
    <w:p>
      <w:pPr>
        <w:spacing w:after="0" w:line="97" w:lineRule="exact"/>
        <w:rPr>
          <w:rFonts w:ascii="Arial" w:cs="Arial" w:eastAsia="Arial" w:hAnsi="Arial"/>
          <w:sz w:val="17"/>
          <w:szCs w:val="17"/>
          <w:color w:val="345988"/>
        </w:rPr>
      </w:pPr>
    </w:p>
    <w:p>
      <w:pPr>
        <w:ind w:left="3420" w:hanging="270"/>
        <w:spacing w:after="0" w:line="255" w:lineRule="auto"/>
        <w:tabs>
          <w:tab w:leader="none" w:pos="3397" w:val="left"/>
        </w:tabs>
        <w:numPr>
          <w:ilvl w:val="0"/>
          <w:numId w:val="112"/>
        </w:numPr>
        <w:rPr>
          <w:rFonts w:ascii="Arial" w:cs="Arial" w:eastAsia="Arial" w:hAnsi="Arial"/>
          <w:sz w:val="17"/>
          <w:szCs w:val="17"/>
          <w:color w:val="345988"/>
        </w:rPr>
      </w:pPr>
      <w:r>
        <w:rPr>
          <w:rFonts w:ascii="Arial" w:cs="Arial" w:eastAsia="Arial" w:hAnsi="Arial"/>
          <w:sz w:val="18"/>
          <w:szCs w:val="18"/>
          <w:color w:val="auto"/>
        </w:rPr>
        <w:t>Acceleration of all unvested time-based equity awards</w:t>
      </w:r>
    </w:p>
    <w:p>
      <w:pPr>
        <w:spacing w:after="0" w:line="86" w:lineRule="exact"/>
        <w:rPr>
          <w:rFonts w:ascii="Arial" w:cs="Arial" w:eastAsia="Arial" w:hAnsi="Arial"/>
          <w:sz w:val="17"/>
          <w:szCs w:val="17"/>
          <w:color w:val="345988"/>
        </w:rPr>
      </w:pPr>
    </w:p>
    <w:p>
      <w:pPr>
        <w:ind w:left="3380" w:hanging="230"/>
        <w:spacing w:after="0"/>
        <w:tabs>
          <w:tab w:leader="none" w:pos="3380" w:val="left"/>
        </w:tabs>
        <w:numPr>
          <w:ilvl w:val="0"/>
          <w:numId w:val="112"/>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ind w:left="342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termination</w:t>
      </w:r>
    </w:p>
    <w:p>
      <w:pPr>
        <w:spacing w:after="0" w:line="104" w:lineRule="exact"/>
        <w:rPr>
          <w:sz w:val="20"/>
          <w:szCs w:val="20"/>
          <w:color w:val="auto"/>
        </w:rPr>
      </w:pPr>
    </w:p>
    <w:p>
      <w:pPr>
        <w:ind w:left="3420" w:right="640" w:hanging="270"/>
        <w:spacing w:after="0" w:line="255" w:lineRule="auto"/>
        <w:tabs>
          <w:tab w:leader="none" w:pos="3397" w:val="left"/>
        </w:tabs>
        <w:numPr>
          <w:ilvl w:val="0"/>
          <w:numId w:val="113"/>
        </w:numPr>
        <w:rPr>
          <w:rFonts w:ascii="Arial" w:cs="Arial" w:eastAsia="Arial" w:hAnsi="Arial"/>
          <w:sz w:val="17"/>
          <w:szCs w:val="17"/>
          <w:color w:val="345988"/>
        </w:rPr>
      </w:pPr>
      <w:r>
        <w:rPr>
          <w:rFonts w:ascii="Arial" w:cs="Arial" w:eastAsia="Arial" w:hAnsi="Arial"/>
          <w:sz w:val="18"/>
          <w:szCs w:val="18"/>
          <w:color w:val="auto"/>
        </w:rPr>
        <w:t>24 / 18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1" w:right="260" w:hanging="261"/>
        <w:spacing w:after="0" w:line="255" w:lineRule="auto"/>
        <w:tabs>
          <w:tab w:leader="none" w:pos="238" w:val="left"/>
        </w:tabs>
        <w:numPr>
          <w:ilvl w:val="0"/>
          <w:numId w:val="114"/>
        </w:numPr>
        <w:rPr>
          <w:rFonts w:ascii="Arial" w:cs="Arial" w:eastAsia="Arial" w:hAnsi="Arial"/>
          <w:sz w:val="17"/>
          <w:szCs w:val="17"/>
          <w:color w:val="345988"/>
        </w:rPr>
      </w:pPr>
      <w:r>
        <w:rPr>
          <w:rFonts w:ascii="Arial" w:cs="Arial" w:eastAsia="Arial" w:hAnsi="Arial"/>
          <w:sz w:val="18"/>
          <w:szCs w:val="18"/>
          <w:color w:val="auto"/>
        </w:rPr>
        <w:t>The sum of base salary and average annual bonus for prior two years</w:t>
      </w:r>
    </w:p>
    <w:p>
      <w:pPr>
        <w:spacing w:after="0" w:line="86" w:lineRule="exact"/>
        <w:rPr>
          <w:rFonts w:ascii="Arial" w:cs="Arial" w:eastAsia="Arial" w:hAnsi="Arial"/>
          <w:sz w:val="17"/>
          <w:szCs w:val="17"/>
          <w:color w:val="345988"/>
        </w:rPr>
      </w:pPr>
    </w:p>
    <w:p>
      <w:pPr>
        <w:ind w:left="261" w:right="200" w:hanging="261"/>
        <w:spacing w:after="0" w:line="290" w:lineRule="auto"/>
        <w:tabs>
          <w:tab w:leader="none" w:pos="238" w:val="left"/>
        </w:tabs>
        <w:numPr>
          <w:ilvl w:val="0"/>
          <w:numId w:val="114"/>
        </w:numPr>
        <w:rPr>
          <w:rFonts w:ascii="Arial" w:cs="Arial" w:eastAsia="Arial" w:hAnsi="Arial"/>
          <w:sz w:val="16"/>
          <w:szCs w:val="16"/>
          <w:color w:val="345988"/>
        </w:rPr>
      </w:pPr>
      <w:r>
        <w:rPr>
          <w:rFonts w:ascii="Arial" w:cs="Arial" w:eastAsia="Arial" w:hAnsi="Arial"/>
          <w:sz w:val="16"/>
          <w:szCs w:val="16"/>
          <w:color w:val="auto"/>
        </w:rPr>
        <w:t>The target value of the annual time-based equity awards to be granted in January 2020 and 2021, to the extent not yet granted</w:t>
      </w:r>
    </w:p>
    <w:p>
      <w:pPr>
        <w:spacing w:after="0" w:line="62" w:lineRule="exact"/>
        <w:rPr>
          <w:rFonts w:ascii="Arial" w:cs="Arial" w:eastAsia="Arial" w:hAnsi="Arial"/>
          <w:sz w:val="16"/>
          <w:szCs w:val="16"/>
          <w:color w:val="345988"/>
        </w:rPr>
      </w:pPr>
    </w:p>
    <w:p>
      <w:pPr>
        <w:ind w:left="241" w:hanging="241"/>
        <w:spacing w:after="0"/>
        <w:tabs>
          <w:tab w:leader="none" w:pos="241" w:val="left"/>
        </w:tabs>
        <w:numPr>
          <w:ilvl w:val="0"/>
          <w:numId w:val="114"/>
        </w:numPr>
        <w:rPr>
          <w:rFonts w:ascii="Arial" w:cs="Arial" w:eastAsia="Arial" w:hAnsi="Arial"/>
          <w:sz w:val="17"/>
          <w:szCs w:val="17"/>
          <w:color w:val="345988"/>
        </w:rPr>
      </w:pPr>
      <w:r>
        <w:rPr>
          <w:rFonts w:ascii="Arial" w:cs="Arial" w:eastAsia="Arial" w:hAnsi="Arial"/>
          <w:sz w:val="18"/>
          <w:szCs w:val="18"/>
          <w:color w:val="auto"/>
        </w:rPr>
        <w:t>Pro-rata bonus for partial year</w:t>
      </w:r>
    </w:p>
    <w:p>
      <w:pPr>
        <w:spacing w:after="0" w:line="117" w:lineRule="exact"/>
        <w:rPr>
          <w:rFonts w:ascii="Arial" w:cs="Arial" w:eastAsia="Arial" w:hAnsi="Arial"/>
          <w:sz w:val="17"/>
          <w:szCs w:val="17"/>
          <w:color w:val="345988"/>
        </w:rPr>
      </w:pPr>
    </w:p>
    <w:p>
      <w:pPr>
        <w:ind w:left="261" w:right="100" w:hanging="261"/>
        <w:spacing w:after="0" w:line="255" w:lineRule="auto"/>
        <w:tabs>
          <w:tab w:leader="none" w:pos="238" w:val="left"/>
        </w:tabs>
        <w:numPr>
          <w:ilvl w:val="0"/>
          <w:numId w:val="114"/>
        </w:numPr>
        <w:rPr>
          <w:rFonts w:ascii="Arial" w:cs="Arial" w:eastAsia="Arial" w:hAnsi="Arial"/>
          <w:sz w:val="17"/>
          <w:szCs w:val="17"/>
          <w:color w:val="345988"/>
        </w:rPr>
      </w:pPr>
      <w:r>
        <w:rPr>
          <w:rFonts w:ascii="Arial" w:cs="Arial" w:eastAsia="Arial" w:hAnsi="Arial"/>
          <w:sz w:val="18"/>
          <w:szCs w:val="18"/>
          <w:color w:val="auto"/>
        </w:rPr>
        <w:t>Acceleration of all unvested time-based equity awards</w:t>
      </w:r>
    </w:p>
    <w:p>
      <w:pPr>
        <w:spacing w:after="0" w:line="86" w:lineRule="exact"/>
        <w:rPr>
          <w:rFonts w:ascii="Arial" w:cs="Arial" w:eastAsia="Arial" w:hAnsi="Arial"/>
          <w:sz w:val="17"/>
          <w:szCs w:val="17"/>
          <w:color w:val="345988"/>
        </w:rPr>
      </w:pPr>
    </w:p>
    <w:p>
      <w:pPr>
        <w:ind w:left="241" w:hanging="241"/>
        <w:spacing w:after="0"/>
        <w:tabs>
          <w:tab w:leader="none" w:pos="241" w:val="left"/>
        </w:tabs>
        <w:numPr>
          <w:ilvl w:val="0"/>
          <w:numId w:val="114"/>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spacing w:after="0" w:line="9" w:lineRule="exact"/>
        <w:rPr>
          <w:sz w:val="20"/>
          <w:szCs w:val="20"/>
          <w:color w:val="auto"/>
        </w:rPr>
      </w:pPr>
    </w:p>
    <w:p>
      <w:pPr>
        <w:ind w:left="261" w:right="46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102" w:lineRule="exact"/>
        <w:rPr>
          <w:sz w:val="20"/>
          <w:szCs w:val="20"/>
          <w:color w:val="auto"/>
        </w:rPr>
      </w:pPr>
    </w:p>
    <w:p>
      <w:pPr>
        <w:ind w:left="241" w:hanging="241"/>
        <w:spacing w:after="0"/>
        <w:tabs>
          <w:tab w:leader="none" w:pos="241" w:val="left"/>
        </w:tabs>
        <w:numPr>
          <w:ilvl w:val="0"/>
          <w:numId w:val="115"/>
        </w:numPr>
        <w:rPr>
          <w:rFonts w:ascii="Arial" w:cs="Arial" w:eastAsia="Arial" w:hAnsi="Arial"/>
          <w:sz w:val="17"/>
          <w:szCs w:val="17"/>
          <w:color w:val="345988"/>
        </w:rPr>
      </w:pPr>
      <w:r>
        <w:rPr>
          <w:rFonts w:ascii="Arial" w:cs="Arial" w:eastAsia="Arial" w:hAnsi="Arial"/>
          <w:sz w:val="18"/>
          <w:szCs w:val="18"/>
          <w:color w:val="auto"/>
        </w:rPr>
        <w:t>12 months of benefit continuation payments</w:t>
      </w:r>
    </w:p>
    <w:p>
      <w:pPr>
        <w:spacing w:after="0" w:line="149" w:lineRule="exact"/>
        <w:rPr>
          <w:sz w:val="20"/>
          <w:szCs w:val="20"/>
          <w:color w:val="auto"/>
        </w:rPr>
      </w:pPr>
    </w:p>
    <w:p>
      <w:pPr>
        <w:sectPr>
          <w:pgSz w:w="11900" w:h="16838" w:orient="portrait"/>
          <w:cols w:equalWidth="0" w:num="2">
            <w:col w:w="6960" w:space="539"/>
            <w:col w:w="3921"/>
          </w:cols>
          <w:pgMar w:left="240" w:top="121" w:right="2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Severance Benefits (Change-in-Control)</w:t>
      </w:r>
      <w:r>
        <w:rPr>
          <w:rFonts w:ascii="Arial" w:cs="Arial" w:eastAsia="Arial" w:hAnsi="Arial"/>
          <w:sz w:val="29"/>
          <w:szCs w:val="29"/>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in connection with or within 18 months after a Change-in-Control during the term, the executive will be entitled to the following payments or benefits:</w:t>
      </w:r>
    </w:p>
    <w:p>
      <w:pPr>
        <w:spacing w:after="0" w:line="200" w:lineRule="exact"/>
        <w:rPr>
          <w:sz w:val="20"/>
          <w:szCs w:val="20"/>
          <w:color w:val="auto"/>
        </w:rPr>
      </w:pPr>
    </w:p>
    <w:p>
      <w:pPr>
        <w:sectPr>
          <w:pgSz w:w="11900" w:h="16838" w:orient="portrait"/>
          <w:cols w:equalWidth="0" w:num="2">
            <w:col w:w="2660" w:space="220"/>
            <w:col w:w="8540"/>
          </w:cols>
          <w:pgMar w:left="240" w:top="121" w:right="239" w:bottom="1440" w:gutter="0" w:footer="0" w:header="0"/>
          <w:type w:val="continuous"/>
        </w:sectPr>
      </w:pPr>
    </w:p>
    <w:p>
      <w:pPr>
        <w:spacing w:after="0" w:line="42"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345988"/>
        </w:rPr>
        <w:t>Holliday/Mathias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28575</wp:posOffset>
            </wp:positionV>
            <wp:extent cx="26587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82" w:lineRule="exact"/>
        <w:rPr>
          <w:sz w:val="20"/>
          <w:szCs w:val="20"/>
          <w:color w:val="auto"/>
        </w:rPr>
      </w:pPr>
    </w:p>
    <w:p>
      <w:pPr>
        <w:jc w:val="both"/>
        <w:ind w:left="3420" w:right="200" w:hanging="270"/>
        <w:spacing w:after="0" w:line="290" w:lineRule="auto"/>
        <w:tabs>
          <w:tab w:leader="none" w:pos="3397" w:val="left"/>
        </w:tabs>
        <w:numPr>
          <w:ilvl w:val="0"/>
          <w:numId w:val="116"/>
        </w:numPr>
        <w:rPr>
          <w:rFonts w:ascii="Arial" w:cs="Arial" w:eastAsia="Arial" w:hAnsi="Arial"/>
          <w:sz w:val="16"/>
          <w:szCs w:val="16"/>
          <w:color w:val="345988"/>
        </w:rPr>
      </w:pPr>
      <w:r>
        <w:rPr>
          <w:rFonts w:ascii="Arial" w:cs="Arial" w:eastAsia="Arial" w:hAnsi="Arial"/>
          <w:sz w:val="16"/>
          <w:szCs w:val="16"/>
          <w:color w:val="auto"/>
        </w:rPr>
        <w:t>3.0x / 2.5x the sum of base salary, average annual bonus for prior two years and target value of annual time-based award</w:t>
      </w:r>
    </w:p>
    <w:p>
      <w:pPr>
        <w:spacing w:after="0" w:line="62" w:lineRule="exact"/>
        <w:rPr>
          <w:rFonts w:ascii="Arial" w:cs="Arial" w:eastAsia="Arial" w:hAnsi="Arial"/>
          <w:sz w:val="16"/>
          <w:szCs w:val="16"/>
          <w:color w:val="345988"/>
        </w:rPr>
      </w:pPr>
    </w:p>
    <w:p>
      <w:pPr>
        <w:jc w:val="both"/>
        <w:ind w:left="3420" w:right="120" w:hanging="270"/>
        <w:spacing w:after="0" w:line="244" w:lineRule="auto"/>
        <w:tabs>
          <w:tab w:leader="none" w:pos="3397"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Pro-rata bonus and pro-rata portion of target value of annual time-based award for partial year</w:t>
      </w:r>
    </w:p>
    <w:p>
      <w:pPr>
        <w:spacing w:after="0" w:line="97" w:lineRule="exact"/>
        <w:rPr>
          <w:rFonts w:ascii="Arial" w:cs="Arial" w:eastAsia="Arial" w:hAnsi="Arial"/>
          <w:sz w:val="17"/>
          <w:szCs w:val="17"/>
          <w:color w:val="345988"/>
        </w:rPr>
      </w:pPr>
    </w:p>
    <w:p>
      <w:pPr>
        <w:ind w:left="3420" w:hanging="270"/>
        <w:spacing w:after="0" w:line="255" w:lineRule="auto"/>
        <w:tabs>
          <w:tab w:leader="none" w:pos="3397"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Acceleration of all unvested time-based equity awards</w:t>
      </w:r>
    </w:p>
    <w:p>
      <w:pPr>
        <w:spacing w:after="0" w:line="86" w:lineRule="exact"/>
        <w:rPr>
          <w:rFonts w:ascii="Arial" w:cs="Arial" w:eastAsia="Arial" w:hAnsi="Arial"/>
          <w:sz w:val="17"/>
          <w:szCs w:val="17"/>
          <w:color w:val="345988"/>
        </w:rPr>
      </w:pPr>
    </w:p>
    <w:p>
      <w:pPr>
        <w:ind w:left="3380" w:hanging="230"/>
        <w:spacing w:after="0"/>
        <w:tabs>
          <w:tab w:leader="none" w:pos="3380" w:val="left"/>
        </w:tabs>
        <w:numPr>
          <w:ilvl w:val="0"/>
          <w:numId w:val="116"/>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ind w:left="342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termination</w:t>
      </w:r>
    </w:p>
    <w:p>
      <w:pPr>
        <w:spacing w:after="0" w:line="104" w:lineRule="exact"/>
        <w:rPr>
          <w:sz w:val="20"/>
          <w:szCs w:val="20"/>
          <w:color w:val="auto"/>
        </w:rPr>
      </w:pPr>
    </w:p>
    <w:p>
      <w:pPr>
        <w:ind w:left="3420" w:right="640" w:hanging="270"/>
        <w:spacing w:after="0" w:line="255" w:lineRule="auto"/>
        <w:tabs>
          <w:tab w:leader="none" w:pos="3397" w:val="left"/>
        </w:tabs>
        <w:numPr>
          <w:ilvl w:val="0"/>
          <w:numId w:val="117"/>
        </w:numPr>
        <w:rPr>
          <w:rFonts w:ascii="Arial" w:cs="Arial" w:eastAsia="Arial" w:hAnsi="Arial"/>
          <w:sz w:val="17"/>
          <w:szCs w:val="17"/>
          <w:color w:val="345988"/>
        </w:rPr>
      </w:pPr>
      <w:r>
        <w:rPr>
          <w:rFonts w:ascii="Arial" w:cs="Arial" w:eastAsia="Arial" w:hAnsi="Arial"/>
          <w:sz w:val="18"/>
          <w:szCs w:val="18"/>
          <w:color w:val="auto"/>
        </w:rPr>
        <w:t>36 / 30 months of benefit continuation payments</w:t>
      </w:r>
    </w:p>
    <w:p>
      <w:pPr>
        <w:spacing w:after="0" w:line="86" w:lineRule="exact"/>
        <w:rPr>
          <w:rFonts w:ascii="Arial" w:cs="Arial" w:eastAsia="Arial" w:hAnsi="Arial"/>
          <w:sz w:val="17"/>
          <w:szCs w:val="17"/>
          <w:color w:val="345988"/>
        </w:rPr>
      </w:pPr>
    </w:p>
    <w:p>
      <w:pPr>
        <w:ind w:left="3380" w:hanging="230"/>
        <w:spacing w:after="0"/>
        <w:tabs>
          <w:tab w:leader="none" w:pos="3380" w:val="left"/>
        </w:tabs>
        <w:numPr>
          <w:ilvl w:val="0"/>
          <w:numId w:val="117"/>
        </w:numPr>
        <w:rPr>
          <w:rFonts w:ascii="Arial" w:cs="Arial" w:eastAsia="Arial" w:hAnsi="Arial"/>
          <w:sz w:val="17"/>
          <w:szCs w:val="17"/>
          <w:color w:val="345988"/>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601"/>
        <w:spacing w:after="0"/>
        <w:rPr>
          <w:sz w:val="20"/>
          <w:szCs w:val="20"/>
          <w:color w:val="auto"/>
        </w:rPr>
      </w:pPr>
      <w:r>
        <w:rPr>
          <w:rFonts w:ascii="Arial" w:cs="Arial" w:eastAsia="Arial" w:hAnsi="Arial"/>
          <w:sz w:val="14"/>
          <w:szCs w:val="14"/>
          <w:b w:val="1"/>
          <w:bCs w:val="1"/>
          <w:color w:val="345988"/>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28575</wp:posOffset>
            </wp:positionV>
            <wp:extent cx="266700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82" w:lineRule="exact"/>
        <w:rPr>
          <w:sz w:val="20"/>
          <w:szCs w:val="20"/>
          <w:color w:val="auto"/>
        </w:rPr>
      </w:pPr>
    </w:p>
    <w:p>
      <w:pPr>
        <w:ind w:left="261" w:right="80" w:hanging="261"/>
        <w:spacing w:after="0" w:line="255" w:lineRule="auto"/>
        <w:tabs>
          <w:tab w:leader="none" w:pos="238"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2x the sum of base salary and average annual bonus for prior two years</w:t>
      </w:r>
    </w:p>
    <w:p>
      <w:pPr>
        <w:spacing w:after="0" w:line="86" w:lineRule="exact"/>
        <w:rPr>
          <w:rFonts w:ascii="Arial" w:cs="Arial" w:eastAsia="Arial" w:hAnsi="Arial"/>
          <w:sz w:val="17"/>
          <w:szCs w:val="17"/>
          <w:color w:val="345988"/>
        </w:rPr>
      </w:pPr>
    </w:p>
    <w:p>
      <w:pPr>
        <w:ind w:left="261" w:right="200" w:hanging="261"/>
        <w:spacing w:after="0" w:line="290" w:lineRule="auto"/>
        <w:tabs>
          <w:tab w:leader="none" w:pos="238" w:val="left"/>
        </w:tabs>
        <w:numPr>
          <w:ilvl w:val="0"/>
          <w:numId w:val="118"/>
        </w:numPr>
        <w:rPr>
          <w:rFonts w:ascii="Arial" w:cs="Arial" w:eastAsia="Arial" w:hAnsi="Arial"/>
          <w:sz w:val="16"/>
          <w:szCs w:val="16"/>
          <w:color w:val="345988"/>
        </w:rPr>
      </w:pPr>
      <w:r>
        <w:rPr>
          <w:rFonts w:ascii="Arial" w:cs="Arial" w:eastAsia="Arial" w:hAnsi="Arial"/>
          <w:sz w:val="16"/>
          <w:szCs w:val="16"/>
          <w:color w:val="auto"/>
        </w:rPr>
        <w:t>The target value of the annual time-based equity awards to be granted in January 2020 and 2021, to the extent not yet granted</w:t>
      </w:r>
    </w:p>
    <w:p>
      <w:pPr>
        <w:spacing w:after="0" w:line="62" w:lineRule="exact"/>
        <w:rPr>
          <w:rFonts w:ascii="Arial" w:cs="Arial" w:eastAsia="Arial" w:hAnsi="Arial"/>
          <w:sz w:val="16"/>
          <w:szCs w:val="16"/>
          <w:color w:val="345988"/>
        </w:rPr>
      </w:pPr>
    </w:p>
    <w:p>
      <w:pPr>
        <w:ind w:left="241" w:hanging="241"/>
        <w:spacing w:after="0"/>
        <w:tabs>
          <w:tab w:leader="none" w:pos="241"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Pro-rata bonus for partial year</w:t>
      </w:r>
    </w:p>
    <w:p>
      <w:pPr>
        <w:spacing w:after="0" w:line="117" w:lineRule="exact"/>
        <w:rPr>
          <w:rFonts w:ascii="Arial" w:cs="Arial" w:eastAsia="Arial" w:hAnsi="Arial"/>
          <w:sz w:val="17"/>
          <w:szCs w:val="17"/>
          <w:color w:val="345988"/>
        </w:rPr>
      </w:pPr>
    </w:p>
    <w:p>
      <w:pPr>
        <w:ind w:left="261" w:right="100" w:hanging="261"/>
        <w:spacing w:after="0" w:line="255" w:lineRule="auto"/>
        <w:tabs>
          <w:tab w:leader="none" w:pos="238"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Acceleration of all unvested time-based equity awards</w:t>
      </w:r>
    </w:p>
    <w:p>
      <w:pPr>
        <w:spacing w:after="0" w:line="86" w:lineRule="exact"/>
        <w:rPr>
          <w:rFonts w:ascii="Arial" w:cs="Arial" w:eastAsia="Arial" w:hAnsi="Arial"/>
          <w:sz w:val="17"/>
          <w:szCs w:val="17"/>
          <w:color w:val="345988"/>
        </w:rPr>
      </w:pPr>
    </w:p>
    <w:p>
      <w:pPr>
        <w:ind w:left="241" w:hanging="241"/>
        <w:spacing w:after="0"/>
        <w:tabs>
          <w:tab w:leader="none" w:pos="241" w:val="left"/>
        </w:tabs>
        <w:numPr>
          <w:ilvl w:val="0"/>
          <w:numId w:val="118"/>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spacing w:after="0" w:line="9" w:lineRule="exact"/>
        <w:rPr>
          <w:sz w:val="20"/>
          <w:szCs w:val="20"/>
          <w:color w:val="auto"/>
        </w:rPr>
      </w:pPr>
    </w:p>
    <w:p>
      <w:pPr>
        <w:ind w:left="261" w:right="46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102" w:lineRule="exact"/>
        <w:rPr>
          <w:sz w:val="20"/>
          <w:szCs w:val="20"/>
          <w:color w:val="auto"/>
        </w:rPr>
      </w:pPr>
    </w:p>
    <w:p>
      <w:pPr>
        <w:ind w:left="241" w:hanging="241"/>
        <w:spacing w:after="0"/>
        <w:tabs>
          <w:tab w:leader="none" w:pos="241" w:val="left"/>
        </w:tabs>
        <w:numPr>
          <w:ilvl w:val="0"/>
          <w:numId w:val="119"/>
        </w:numPr>
        <w:rPr>
          <w:rFonts w:ascii="Arial" w:cs="Arial" w:eastAsia="Arial" w:hAnsi="Arial"/>
          <w:sz w:val="17"/>
          <w:szCs w:val="17"/>
          <w:color w:val="345988"/>
        </w:rPr>
      </w:pPr>
      <w:r>
        <w:rPr>
          <w:rFonts w:ascii="Arial" w:cs="Arial" w:eastAsia="Arial" w:hAnsi="Arial"/>
          <w:sz w:val="18"/>
          <w:szCs w:val="18"/>
          <w:color w:val="auto"/>
        </w:rPr>
        <w:t>24 months of benefit continuation payments</w:t>
      </w:r>
    </w:p>
    <w:p>
      <w:pPr>
        <w:spacing w:after="0" w:line="116" w:lineRule="exact"/>
        <w:rPr>
          <w:rFonts w:ascii="Arial" w:cs="Arial" w:eastAsia="Arial" w:hAnsi="Arial"/>
          <w:sz w:val="17"/>
          <w:szCs w:val="17"/>
          <w:color w:val="345988"/>
        </w:rPr>
      </w:pPr>
    </w:p>
    <w:p>
      <w:pPr>
        <w:ind w:left="241" w:hanging="241"/>
        <w:spacing w:after="0"/>
        <w:tabs>
          <w:tab w:leader="none" w:pos="241" w:val="left"/>
        </w:tabs>
        <w:numPr>
          <w:ilvl w:val="0"/>
          <w:numId w:val="119"/>
        </w:numPr>
        <w:rPr>
          <w:rFonts w:ascii="Arial" w:cs="Arial" w:eastAsia="Arial" w:hAnsi="Arial"/>
          <w:sz w:val="17"/>
          <w:szCs w:val="17"/>
          <w:color w:val="345988"/>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(6)</w:t>
      </w:r>
    </w:p>
    <w:p>
      <w:pPr>
        <w:spacing w:after="0" w:line="281" w:lineRule="exact"/>
        <w:rPr>
          <w:sz w:val="20"/>
          <w:szCs w:val="20"/>
          <w:color w:val="auto"/>
        </w:rPr>
      </w:pPr>
    </w:p>
    <w:p>
      <w:pPr>
        <w:sectPr>
          <w:pgSz w:w="11900" w:h="16838" w:orient="portrait"/>
          <w:cols w:equalWidth="0" w:num="2">
            <w:col w:w="6960" w:space="539"/>
            <w:col w:w="3921"/>
          </w:cols>
          <w:pgMar w:left="240" w:top="121" w:right="239" w:bottom="1440" w:gutter="0" w:footer="0" w:header="0"/>
          <w:type w:val="continuous"/>
        </w:sectPr>
      </w:pPr>
    </w:p>
    <w:p>
      <w:pPr>
        <w:spacing w:after="0" w:line="75"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4598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71513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Death/Disability</w:t>
      </w:r>
      <w:r>
        <w:rPr>
          <w:rFonts w:ascii="Arial" w:cs="Arial" w:eastAsia="Arial" w:hAnsi="Arial"/>
          <w:sz w:val="29"/>
          <w:szCs w:val="29"/>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spacing w:after="0"/>
        <w:tabs>
          <w:tab w:leader="none" w:pos="3660" w:val="left"/>
          <w:tab w:leader="none" w:pos="6540" w:val="left"/>
        </w:tabs>
        <w:rPr>
          <w:sz w:val="20"/>
          <w:szCs w:val="20"/>
          <w:color w:val="auto"/>
        </w:rPr>
      </w:pPr>
      <w:r>
        <w:rPr>
          <w:rFonts w:ascii="Arial" w:cs="Arial" w:eastAsia="Arial" w:hAnsi="Arial"/>
          <w:sz w:val="14"/>
          <w:szCs w:val="14"/>
          <w:b w:val="1"/>
          <w:bCs w:val="1"/>
          <w:color w:val="345988"/>
        </w:rPr>
        <w:t>Marc Holliday</w:t>
      </w:r>
      <w:r>
        <w:rPr>
          <w:sz w:val="20"/>
          <w:szCs w:val="20"/>
          <w:color w:val="auto"/>
        </w:rPr>
        <w:tab/>
      </w:r>
      <w:r>
        <w:rPr>
          <w:rFonts w:ascii="Arial" w:cs="Arial" w:eastAsia="Arial" w:hAnsi="Arial"/>
          <w:sz w:val="14"/>
          <w:szCs w:val="14"/>
          <w:b w:val="1"/>
          <w:bCs w:val="1"/>
          <w:color w:val="345988"/>
        </w:rPr>
        <w:t>Andrew Mathias</w:t>
      </w:r>
      <w:r>
        <w:rPr>
          <w:sz w:val="20"/>
          <w:szCs w:val="20"/>
          <w:color w:val="auto"/>
        </w:rPr>
        <w:tab/>
      </w:r>
      <w:r>
        <w:rPr>
          <w:rFonts w:ascii="Arial" w:cs="Arial" w:eastAsia="Arial" w:hAnsi="Arial"/>
          <w:sz w:val="12"/>
          <w:szCs w:val="12"/>
          <w:b w:val="1"/>
          <w:bCs w:val="1"/>
          <w:color w:val="345988"/>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4286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8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the executive’s employment is terminated by us upon death or disability during the term, the executive will be entitled to the following payments or benefits, subject (in the case of disability) to the effectiveness of a mutual release:</w:t>
      </w:r>
    </w:p>
    <w:p>
      <w:pPr>
        <w:spacing w:after="0" w:line="200" w:lineRule="exact"/>
        <w:rPr>
          <w:sz w:val="20"/>
          <w:szCs w:val="20"/>
          <w:color w:val="auto"/>
        </w:rPr>
      </w:pPr>
    </w:p>
    <w:p>
      <w:pPr>
        <w:sectPr>
          <w:pgSz w:w="11900" w:h="16838" w:orient="portrait"/>
          <w:cols w:equalWidth="0" w:num="2">
            <w:col w:w="2460" w:space="420"/>
            <w:col w:w="8540"/>
          </w:cols>
          <w:pgMar w:left="240" w:top="121" w:right="239" w:bottom="1440" w:gutter="0" w:footer="0" w:header="0"/>
        </w:sectPr>
      </w:pPr>
    </w:p>
    <w:p>
      <w:pPr>
        <w:spacing w:after="0" w:line="42"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345988"/>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28575</wp:posOffset>
            </wp:positionV>
            <wp:extent cx="266700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82" w:lineRule="exact"/>
        <w:rPr>
          <w:sz w:val="20"/>
          <w:szCs w:val="20"/>
          <w:color w:val="auto"/>
        </w:rPr>
      </w:pPr>
    </w:p>
    <w:p>
      <w:pPr>
        <w:ind w:left="3380" w:hanging="230"/>
        <w:spacing w:after="0"/>
        <w:tabs>
          <w:tab w:leader="none" w:pos="3380" w:val="left"/>
        </w:tabs>
        <w:numPr>
          <w:ilvl w:val="0"/>
          <w:numId w:val="120"/>
        </w:numPr>
        <w:rPr>
          <w:rFonts w:ascii="Arial" w:cs="Arial" w:eastAsia="Arial" w:hAnsi="Arial"/>
          <w:sz w:val="17"/>
          <w:szCs w:val="17"/>
          <w:color w:val="345988"/>
        </w:rPr>
      </w:pPr>
      <w:r>
        <w:rPr>
          <w:rFonts w:ascii="Arial" w:cs="Arial" w:eastAsia="Arial" w:hAnsi="Arial"/>
          <w:sz w:val="18"/>
          <w:szCs w:val="18"/>
          <w:color w:val="auto"/>
        </w:rPr>
        <w:t>Pro-rata bonus for partial year</w:t>
      </w:r>
    </w:p>
    <w:p>
      <w:pPr>
        <w:spacing w:after="0" w:line="117" w:lineRule="exact"/>
        <w:rPr>
          <w:rFonts w:ascii="Arial" w:cs="Arial" w:eastAsia="Arial" w:hAnsi="Arial"/>
          <w:sz w:val="17"/>
          <w:szCs w:val="17"/>
          <w:color w:val="345988"/>
        </w:rPr>
      </w:pPr>
    </w:p>
    <w:p>
      <w:pPr>
        <w:ind w:left="3420" w:right="400" w:hanging="270"/>
        <w:spacing w:after="0" w:line="290" w:lineRule="auto"/>
        <w:tabs>
          <w:tab w:leader="none" w:pos="3397" w:val="left"/>
        </w:tabs>
        <w:numPr>
          <w:ilvl w:val="0"/>
          <w:numId w:val="120"/>
        </w:numPr>
        <w:rPr>
          <w:rFonts w:ascii="Arial" w:cs="Arial" w:eastAsia="Arial" w:hAnsi="Arial"/>
          <w:sz w:val="16"/>
          <w:szCs w:val="16"/>
          <w:color w:val="345988"/>
        </w:rPr>
      </w:pPr>
      <w:r>
        <w:rPr>
          <w:rFonts w:ascii="Arial" w:cs="Arial" w:eastAsia="Arial" w:hAnsi="Arial"/>
          <w:sz w:val="16"/>
          <w:szCs w:val="16"/>
          <w:color w:val="auto"/>
        </w:rPr>
        <w:t>Pro-rated target value of the annual time-based equity awards (for Levine upon termination prior to January 2021 grant)</w:t>
      </w:r>
    </w:p>
    <w:p>
      <w:pPr>
        <w:spacing w:after="0" w:line="62" w:lineRule="exact"/>
        <w:rPr>
          <w:rFonts w:ascii="Arial" w:cs="Arial" w:eastAsia="Arial" w:hAnsi="Arial"/>
          <w:sz w:val="16"/>
          <w:szCs w:val="16"/>
          <w:color w:val="345988"/>
        </w:rPr>
      </w:pPr>
    </w:p>
    <w:p>
      <w:pPr>
        <w:ind w:left="3420" w:right="20" w:hanging="270"/>
        <w:spacing w:after="0" w:line="255" w:lineRule="auto"/>
        <w:tabs>
          <w:tab w:leader="none" w:pos="3397" w:val="left"/>
        </w:tabs>
        <w:numPr>
          <w:ilvl w:val="0"/>
          <w:numId w:val="120"/>
        </w:numPr>
        <w:rPr>
          <w:rFonts w:ascii="Arial" w:cs="Arial" w:eastAsia="Arial" w:hAnsi="Arial"/>
          <w:sz w:val="17"/>
          <w:szCs w:val="17"/>
          <w:color w:val="345988"/>
        </w:rPr>
      </w:pPr>
      <w:r>
        <w:rPr>
          <w:rFonts w:ascii="Arial" w:cs="Arial" w:eastAsia="Arial" w:hAnsi="Arial"/>
          <w:sz w:val="18"/>
          <w:szCs w:val="18"/>
          <w:color w:val="auto"/>
        </w:rPr>
        <w:t>Acceleration of all unvested time-based equity awards</w:t>
      </w:r>
    </w:p>
    <w:p>
      <w:pPr>
        <w:spacing w:after="0" w:line="86" w:lineRule="exact"/>
        <w:rPr>
          <w:rFonts w:ascii="Arial" w:cs="Arial" w:eastAsia="Arial" w:hAnsi="Arial"/>
          <w:sz w:val="17"/>
          <w:szCs w:val="17"/>
          <w:color w:val="345988"/>
        </w:rPr>
      </w:pPr>
    </w:p>
    <w:p>
      <w:pPr>
        <w:ind w:left="3380" w:hanging="230"/>
        <w:spacing w:after="0"/>
        <w:tabs>
          <w:tab w:leader="none" w:pos="3380" w:val="left"/>
        </w:tabs>
        <w:numPr>
          <w:ilvl w:val="0"/>
          <w:numId w:val="120"/>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ind w:left="342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termination</w:t>
      </w:r>
    </w:p>
    <w:p>
      <w:pPr>
        <w:spacing w:after="0" w:line="104" w:lineRule="exact"/>
        <w:rPr>
          <w:sz w:val="20"/>
          <w:szCs w:val="20"/>
          <w:color w:val="auto"/>
        </w:rPr>
      </w:pPr>
    </w:p>
    <w:p>
      <w:pPr>
        <w:ind w:left="3420" w:hanging="270"/>
        <w:spacing w:after="0" w:line="255" w:lineRule="auto"/>
        <w:tabs>
          <w:tab w:leader="none" w:pos="3397" w:val="left"/>
        </w:tabs>
        <w:numPr>
          <w:ilvl w:val="0"/>
          <w:numId w:val="121"/>
        </w:numPr>
        <w:rPr>
          <w:rFonts w:ascii="Arial" w:cs="Arial" w:eastAsia="Arial" w:hAnsi="Arial"/>
          <w:sz w:val="17"/>
          <w:szCs w:val="17"/>
          <w:color w:val="345988"/>
        </w:rPr>
      </w:pPr>
      <w:r>
        <w:rPr>
          <w:rFonts w:ascii="Arial" w:cs="Arial" w:eastAsia="Arial" w:hAnsi="Arial"/>
          <w:sz w:val="18"/>
          <w:szCs w:val="18"/>
          <w:color w:val="auto"/>
        </w:rPr>
        <w:t>Payments/benefits to Mr. Holliday are reduced by life insurance benefit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507"/>
        <w:spacing w:after="0"/>
        <w:rPr>
          <w:sz w:val="20"/>
          <w:szCs w:val="20"/>
          <w:color w:val="auto"/>
        </w:rPr>
      </w:pPr>
      <w:r>
        <w:rPr>
          <w:rFonts w:ascii="Arial" w:cs="Arial" w:eastAsia="Arial" w:hAnsi="Arial"/>
          <w:sz w:val="14"/>
          <w:szCs w:val="14"/>
          <w:b w:val="1"/>
          <w:bCs w:val="1"/>
          <w:color w:val="345988"/>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28575</wp:posOffset>
            </wp:positionV>
            <wp:extent cx="26587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82" w:lineRule="exact"/>
        <w:rPr>
          <w:sz w:val="20"/>
          <w:szCs w:val="20"/>
          <w:color w:val="auto"/>
        </w:rPr>
      </w:pPr>
    </w:p>
    <w:p>
      <w:pPr>
        <w:ind w:left="267" w:right="60" w:hanging="267"/>
        <w:spacing w:after="0" w:line="290" w:lineRule="auto"/>
        <w:tabs>
          <w:tab w:leader="none" w:pos="245" w:val="left"/>
        </w:tabs>
        <w:numPr>
          <w:ilvl w:val="0"/>
          <w:numId w:val="122"/>
        </w:numPr>
        <w:rPr>
          <w:rFonts w:ascii="Arial" w:cs="Arial" w:eastAsia="Arial" w:hAnsi="Arial"/>
          <w:sz w:val="16"/>
          <w:szCs w:val="16"/>
          <w:color w:val="345988"/>
        </w:rPr>
      </w:pPr>
      <w:r>
        <w:rPr>
          <w:rFonts w:ascii="Arial" w:cs="Arial" w:eastAsia="Arial" w:hAnsi="Arial"/>
          <w:sz w:val="16"/>
          <w:szCs w:val="16"/>
          <w:color w:val="auto"/>
        </w:rPr>
        <w:t>1x the sum of base salary, maximum formulaic bonus and target value of annual time-based equity award (for Holliday and Mathias)</w:t>
      </w:r>
    </w:p>
    <w:p>
      <w:pPr>
        <w:spacing w:after="0" w:line="62" w:lineRule="exact"/>
        <w:rPr>
          <w:rFonts w:ascii="Arial" w:cs="Arial" w:eastAsia="Arial" w:hAnsi="Arial"/>
          <w:sz w:val="16"/>
          <w:szCs w:val="16"/>
          <w:color w:val="345988"/>
        </w:rPr>
      </w:pPr>
    </w:p>
    <w:p>
      <w:pPr>
        <w:ind w:left="267" w:right="60" w:hanging="267"/>
        <w:spacing w:after="0" w:line="255" w:lineRule="auto"/>
        <w:tabs>
          <w:tab w:leader="none" w:pos="245" w:val="left"/>
        </w:tabs>
        <w:numPr>
          <w:ilvl w:val="0"/>
          <w:numId w:val="122"/>
        </w:numPr>
        <w:rPr>
          <w:rFonts w:ascii="Arial" w:cs="Arial" w:eastAsia="Arial" w:hAnsi="Arial"/>
          <w:sz w:val="17"/>
          <w:szCs w:val="17"/>
          <w:color w:val="345988"/>
        </w:rPr>
      </w:pPr>
      <w:r>
        <w:rPr>
          <w:rFonts w:ascii="Arial" w:cs="Arial" w:eastAsia="Arial" w:hAnsi="Arial"/>
          <w:sz w:val="18"/>
          <w:szCs w:val="18"/>
          <w:color w:val="auto"/>
        </w:rPr>
        <w:t>1x the sum of base salary and average annual bonus for prior two years (for Levine)</w:t>
      </w:r>
    </w:p>
    <w:p>
      <w:pPr>
        <w:spacing w:after="0" w:line="86" w:lineRule="exact"/>
        <w:rPr>
          <w:rFonts w:ascii="Arial" w:cs="Arial" w:eastAsia="Arial" w:hAnsi="Arial"/>
          <w:sz w:val="17"/>
          <w:szCs w:val="17"/>
          <w:color w:val="345988"/>
        </w:rPr>
      </w:pPr>
    </w:p>
    <w:p>
      <w:pPr>
        <w:ind w:left="247" w:hanging="247"/>
        <w:spacing w:after="0"/>
        <w:tabs>
          <w:tab w:leader="none" w:pos="247" w:val="left"/>
        </w:tabs>
        <w:numPr>
          <w:ilvl w:val="0"/>
          <w:numId w:val="122"/>
        </w:numPr>
        <w:rPr>
          <w:rFonts w:ascii="Arial" w:cs="Arial" w:eastAsia="Arial" w:hAnsi="Arial"/>
          <w:sz w:val="17"/>
          <w:szCs w:val="17"/>
          <w:color w:val="345988"/>
        </w:rPr>
      </w:pPr>
      <w:r>
        <w:rPr>
          <w:rFonts w:ascii="Arial" w:cs="Arial" w:eastAsia="Arial" w:hAnsi="Arial"/>
          <w:sz w:val="18"/>
          <w:szCs w:val="18"/>
          <w:color w:val="auto"/>
        </w:rPr>
        <w:t>Pro-rata bonus for partial year</w:t>
      </w:r>
    </w:p>
    <w:p>
      <w:pPr>
        <w:spacing w:after="0" w:line="117" w:lineRule="exact"/>
        <w:rPr>
          <w:rFonts w:ascii="Arial" w:cs="Arial" w:eastAsia="Arial" w:hAnsi="Arial"/>
          <w:sz w:val="17"/>
          <w:szCs w:val="17"/>
          <w:color w:val="345988"/>
        </w:rPr>
      </w:pPr>
    </w:p>
    <w:p>
      <w:pPr>
        <w:ind w:left="267" w:right="460" w:hanging="267"/>
        <w:spacing w:after="0" w:line="290" w:lineRule="auto"/>
        <w:tabs>
          <w:tab w:leader="none" w:pos="245" w:val="left"/>
        </w:tabs>
        <w:numPr>
          <w:ilvl w:val="0"/>
          <w:numId w:val="122"/>
        </w:numPr>
        <w:rPr>
          <w:rFonts w:ascii="Arial" w:cs="Arial" w:eastAsia="Arial" w:hAnsi="Arial"/>
          <w:sz w:val="16"/>
          <w:szCs w:val="16"/>
          <w:color w:val="345988"/>
        </w:rPr>
      </w:pPr>
      <w:r>
        <w:rPr>
          <w:rFonts w:ascii="Arial" w:cs="Arial" w:eastAsia="Arial" w:hAnsi="Arial"/>
          <w:sz w:val="16"/>
          <w:szCs w:val="16"/>
          <w:color w:val="auto"/>
        </w:rPr>
        <w:t>Pro-rated target value of the annual time-based equity awards (for Levine upon termination prior to January 2021 grant)</w:t>
      </w:r>
    </w:p>
    <w:p>
      <w:pPr>
        <w:spacing w:after="0" w:line="62" w:lineRule="exact"/>
        <w:rPr>
          <w:rFonts w:ascii="Arial" w:cs="Arial" w:eastAsia="Arial" w:hAnsi="Arial"/>
          <w:sz w:val="16"/>
          <w:szCs w:val="16"/>
          <w:color w:val="345988"/>
        </w:rPr>
      </w:pPr>
    </w:p>
    <w:p>
      <w:pPr>
        <w:ind w:left="267" w:right="400" w:hanging="267"/>
        <w:spacing w:after="0" w:line="316" w:lineRule="auto"/>
        <w:tabs>
          <w:tab w:leader="none" w:pos="245" w:val="left"/>
        </w:tabs>
        <w:numPr>
          <w:ilvl w:val="0"/>
          <w:numId w:val="122"/>
        </w:numPr>
        <w:rPr>
          <w:rFonts w:ascii="Arial" w:cs="Arial" w:eastAsia="Arial" w:hAnsi="Arial"/>
          <w:sz w:val="16"/>
          <w:szCs w:val="16"/>
          <w:color w:val="345988"/>
        </w:rPr>
      </w:pPr>
      <w:r>
        <w:rPr>
          <w:rFonts w:ascii="Arial" w:cs="Arial" w:eastAsia="Arial" w:hAnsi="Arial"/>
          <w:sz w:val="16"/>
          <w:szCs w:val="16"/>
          <w:color w:val="auto"/>
        </w:rPr>
        <w:t>Acceleration of all unvested equity awards (other than performance-based awards)</w:t>
      </w:r>
    </w:p>
    <w:p>
      <w:pPr>
        <w:spacing w:after="0" w:line="42" w:lineRule="exact"/>
        <w:rPr>
          <w:rFonts w:ascii="Arial" w:cs="Arial" w:eastAsia="Arial" w:hAnsi="Arial"/>
          <w:sz w:val="16"/>
          <w:szCs w:val="16"/>
          <w:color w:val="345988"/>
        </w:rPr>
      </w:pPr>
    </w:p>
    <w:p>
      <w:pPr>
        <w:ind w:left="247" w:hanging="247"/>
        <w:spacing w:after="0"/>
        <w:tabs>
          <w:tab w:leader="none" w:pos="247" w:val="left"/>
        </w:tabs>
        <w:numPr>
          <w:ilvl w:val="0"/>
          <w:numId w:val="122"/>
        </w:numPr>
        <w:rPr>
          <w:rFonts w:ascii="Arial" w:cs="Arial" w:eastAsia="Arial" w:hAnsi="Arial"/>
          <w:sz w:val="17"/>
          <w:szCs w:val="17"/>
          <w:color w:val="345988"/>
        </w:rPr>
      </w:pPr>
      <w:r>
        <w:rPr>
          <w:rFonts w:ascii="Arial" w:cs="Arial" w:eastAsia="Arial" w:hAnsi="Arial"/>
          <w:sz w:val="18"/>
          <w:szCs w:val="18"/>
          <w:color w:val="auto"/>
        </w:rPr>
        <w:t>Class O LTIP unit/option exercise period</w:t>
      </w:r>
    </w:p>
    <w:p>
      <w:pPr>
        <w:spacing w:after="0" w:line="1" w:lineRule="exact"/>
        <w:rPr>
          <w:sz w:val="20"/>
          <w:szCs w:val="20"/>
          <w:color w:val="auto"/>
        </w:rPr>
      </w:pPr>
    </w:p>
    <w:p>
      <w:pPr>
        <w:sectPr>
          <w:pgSz w:w="11900" w:h="16838" w:orient="portrait"/>
          <w:cols w:equalWidth="0" w:num="2">
            <w:col w:w="6980" w:space="533"/>
            <w:col w:w="3907"/>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Post-Change-in-Control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71513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51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171513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0" w:lineRule="exact"/>
        <w:rPr>
          <w:sz w:val="20"/>
          <w:szCs w:val="20"/>
          <w:color w:val="auto"/>
        </w:rPr>
      </w:pPr>
      <w:r>
        <w:rPr>
          <w:sz w:val="20"/>
          <w:szCs w:val="20"/>
          <w:color w:val="auto"/>
        </w:rPr>
        <w:br w:type="column"/>
      </w:r>
    </w:p>
    <w:p>
      <w:pPr>
        <w:ind w:left="490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termination</w:t>
      </w:r>
    </w:p>
    <w:p>
      <w:pPr>
        <w:spacing w:after="0" w:line="96" w:lineRule="exact"/>
        <w:rPr>
          <w:sz w:val="20"/>
          <w:szCs w:val="20"/>
          <w:color w:val="auto"/>
        </w:rPr>
      </w:pPr>
    </w:p>
    <w:p>
      <w:pPr>
        <w:ind w:left="4640"/>
        <w:spacing w:after="0"/>
        <w:tabs>
          <w:tab w:leader="none" w:pos="4860" w:val="left"/>
        </w:tabs>
        <w:rPr>
          <w:sz w:val="20"/>
          <w:szCs w:val="20"/>
          <w:color w:val="auto"/>
        </w:rPr>
      </w:pPr>
      <w:r>
        <w:rPr>
          <w:rFonts w:ascii="Arial" w:cs="Arial" w:eastAsia="Arial" w:hAnsi="Arial"/>
          <w:sz w:val="17"/>
          <w:szCs w:val="17"/>
          <w:color w:val="345988"/>
        </w:rPr>
        <w:t>●</w:t>
      </w:r>
      <w:r>
        <w:rPr>
          <w:sz w:val="20"/>
          <w:szCs w:val="20"/>
          <w:color w:val="auto"/>
        </w:rPr>
        <w:tab/>
      </w:r>
      <w:r>
        <w:rPr>
          <w:rFonts w:ascii="Arial" w:cs="Arial" w:eastAsia="Arial" w:hAnsi="Arial"/>
          <w:sz w:val="16"/>
          <w:szCs w:val="16"/>
          <w:color w:val="auto"/>
        </w:rPr>
        <w:t>36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4286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Upon a Change-in-Control, for pro-rata payments, and while employed for periods following a Change-in-Control, in lieu of the base salary, annual bonus, and the equity awards described above, each executive will be entitled to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00" w:type="dxa"/>
            <w:vAlign w:val="bottom"/>
            <w:tcBorders>
              <w:bottom w:val="single" w:sz="8" w:color="345988"/>
            </w:tcBorders>
          </w:tcPr>
          <w:p>
            <w:pPr>
              <w:jc w:val="center"/>
              <w:spacing w:after="0"/>
              <w:rPr>
                <w:sz w:val="20"/>
                <w:szCs w:val="20"/>
                <w:color w:val="auto"/>
              </w:rPr>
            </w:pPr>
            <w:r>
              <w:rPr>
                <w:rFonts w:ascii="Arial" w:cs="Arial" w:eastAsia="Arial" w:hAnsi="Arial"/>
                <w:sz w:val="14"/>
                <w:szCs w:val="14"/>
                <w:b w:val="1"/>
                <w:bCs w:val="1"/>
                <w:color w:val="345988"/>
                <w:w w:val="95"/>
              </w:rPr>
              <w:t>Holliday/Mathias</w:t>
            </w:r>
          </w:p>
        </w:tc>
        <w:tc>
          <w:tcPr>
            <w:tcW w:w="160" w:type="dxa"/>
            <w:vAlign w:val="bottom"/>
          </w:tcPr>
          <w:p>
            <w:pPr>
              <w:spacing w:after="0"/>
              <w:rPr>
                <w:sz w:val="17"/>
                <w:szCs w:val="17"/>
                <w:color w:val="auto"/>
              </w:rPr>
            </w:pPr>
          </w:p>
        </w:tc>
        <w:tc>
          <w:tcPr>
            <w:tcW w:w="440" w:type="dxa"/>
            <w:vAlign w:val="bottom"/>
            <w:tcBorders>
              <w:bottom w:val="single" w:sz="8" w:color="345988"/>
            </w:tcBorders>
          </w:tcPr>
          <w:p>
            <w:pPr>
              <w:spacing w:after="0"/>
              <w:rPr>
                <w:sz w:val="17"/>
                <w:szCs w:val="17"/>
                <w:color w:val="auto"/>
              </w:rPr>
            </w:pPr>
          </w:p>
        </w:tc>
        <w:tc>
          <w:tcPr>
            <w:tcW w:w="3740" w:type="dxa"/>
            <w:vAlign w:val="bottom"/>
            <w:tcBorders>
              <w:bottom w:val="single" w:sz="8" w:color="345988"/>
            </w:tcBorders>
          </w:tcPr>
          <w:p>
            <w:pPr>
              <w:ind w:left="1440"/>
              <w:spacing w:after="0"/>
              <w:rPr>
                <w:sz w:val="20"/>
                <w:szCs w:val="20"/>
                <w:color w:val="auto"/>
              </w:rPr>
            </w:pPr>
            <w:r>
              <w:rPr>
                <w:rFonts w:ascii="Arial" w:cs="Arial" w:eastAsia="Arial" w:hAnsi="Arial"/>
                <w:sz w:val="14"/>
                <w:szCs w:val="14"/>
                <w:b w:val="1"/>
                <w:bCs w:val="1"/>
                <w:color w:val="345988"/>
              </w:rPr>
              <w:t>Levine</w:t>
            </w:r>
          </w:p>
        </w:tc>
        <w:tc>
          <w:tcPr>
            <w:tcW w:w="0" w:type="dxa"/>
            <w:vAlign w:val="bottom"/>
          </w:tcPr>
          <w:p>
            <w:pPr>
              <w:spacing w:after="0"/>
              <w:rPr>
                <w:sz w:val="1"/>
                <w:szCs w:val="1"/>
                <w:color w:val="auto"/>
              </w:rPr>
            </w:pPr>
          </w:p>
        </w:tc>
      </w:tr>
      <w:tr>
        <w:trPr>
          <w:trHeight w:val="241"/>
        </w:trPr>
        <w:tc>
          <w:tcPr>
            <w:tcW w:w="4200" w:type="dxa"/>
            <w:vAlign w:val="bottom"/>
          </w:tcPr>
          <w:p>
            <w:pPr>
              <w:ind w:left="280"/>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Pro-rata bonus based on average annual</w:t>
            </w:r>
          </w:p>
        </w:tc>
        <w:tc>
          <w:tcPr>
            <w:tcW w:w="16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Arial" w:cs="Arial" w:eastAsia="Arial" w:hAnsi="Arial"/>
                <w:sz w:val="17"/>
                <w:szCs w:val="17"/>
                <w:color w:val="345988"/>
              </w:rPr>
              <w:t>●</w:t>
            </w:r>
          </w:p>
        </w:tc>
        <w:tc>
          <w:tcPr>
            <w:tcW w:w="3740" w:type="dxa"/>
            <w:vAlign w:val="bottom"/>
          </w:tcPr>
          <w:p>
            <w:pPr>
              <w:ind w:left="80"/>
              <w:spacing w:after="0"/>
              <w:rPr>
                <w:sz w:val="20"/>
                <w:szCs w:val="20"/>
                <w:color w:val="auto"/>
              </w:rPr>
            </w:pPr>
            <w:r>
              <w:rPr>
                <w:rFonts w:ascii="Arial" w:cs="Arial" w:eastAsia="Arial" w:hAnsi="Arial"/>
                <w:sz w:val="18"/>
                <w:szCs w:val="18"/>
                <w:color w:val="auto"/>
                <w:w w:val="97"/>
              </w:rPr>
              <w:t>Pro-rata bonus for partial year prior to Change-</w:t>
            </w:r>
          </w:p>
        </w:tc>
        <w:tc>
          <w:tcPr>
            <w:tcW w:w="0" w:type="dxa"/>
            <w:vAlign w:val="bottom"/>
          </w:tcPr>
          <w:p>
            <w:pPr>
              <w:spacing w:after="0"/>
              <w:rPr>
                <w:sz w:val="1"/>
                <w:szCs w:val="1"/>
                <w:color w:val="auto"/>
              </w:rPr>
            </w:pPr>
          </w:p>
        </w:tc>
      </w:tr>
      <w:tr>
        <w:trPr>
          <w:trHeight w:val="208"/>
        </w:trPr>
        <w:tc>
          <w:tcPr>
            <w:tcW w:w="4200" w:type="dxa"/>
            <w:vAlign w:val="bottom"/>
          </w:tcPr>
          <w:p>
            <w:pPr>
              <w:ind w:left="540"/>
              <w:spacing w:after="0"/>
              <w:rPr>
                <w:sz w:val="20"/>
                <w:szCs w:val="20"/>
                <w:color w:val="auto"/>
              </w:rPr>
            </w:pPr>
            <w:r>
              <w:rPr>
                <w:rFonts w:ascii="Arial" w:cs="Arial" w:eastAsia="Arial" w:hAnsi="Arial"/>
                <w:sz w:val="18"/>
                <w:szCs w:val="18"/>
                <w:color w:val="auto"/>
              </w:rPr>
              <w:t>bonus for prior two years and pro-rata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w w:val="98"/>
              </w:rPr>
              <w:t>in-Control based on average annual bonus for</w:t>
            </w:r>
          </w:p>
        </w:tc>
        <w:tc>
          <w:tcPr>
            <w:tcW w:w="0" w:type="dxa"/>
            <w:vAlign w:val="bottom"/>
          </w:tcPr>
          <w:p>
            <w:pPr>
              <w:spacing w:after="0"/>
              <w:rPr>
                <w:sz w:val="1"/>
                <w:szCs w:val="1"/>
                <w:color w:val="auto"/>
              </w:rPr>
            </w:pPr>
          </w:p>
        </w:tc>
      </w:tr>
      <w:tr>
        <w:trPr>
          <w:trHeight w:val="203"/>
        </w:trPr>
        <w:tc>
          <w:tcPr>
            <w:tcW w:w="4200" w:type="dxa"/>
            <w:vAlign w:val="bottom"/>
          </w:tcPr>
          <w:p>
            <w:pPr>
              <w:ind w:left="540"/>
              <w:spacing w:after="0" w:line="202" w:lineRule="exact"/>
              <w:rPr>
                <w:sz w:val="20"/>
                <w:szCs w:val="20"/>
                <w:color w:val="auto"/>
              </w:rPr>
            </w:pPr>
            <w:r>
              <w:rPr>
                <w:rFonts w:ascii="Arial" w:cs="Arial" w:eastAsia="Arial" w:hAnsi="Arial"/>
                <w:sz w:val="18"/>
                <w:szCs w:val="18"/>
                <w:color w:val="auto"/>
                <w:w w:val="99"/>
              </w:rPr>
              <w:t>of target value of annual time-based award for</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prior two years</w:t>
            </w:r>
          </w:p>
        </w:tc>
        <w:tc>
          <w:tcPr>
            <w:tcW w:w="0" w:type="dxa"/>
            <w:vAlign w:val="bottom"/>
          </w:tcPr>
          <w:p>
            <w:pPr>
              <w:spacing w:after="0"/>
              <w:rPr>
                <w:sz w:val="1"/>
                <w:szCs w:val="1"/>
                <w:color w:val="auto"/>
              </w:rPr>
            </w:pPr>
          </w:p>
        </w:tc>
      </w:tr>
      <w:tr>
        <w:trPr>
          <w:trHeight w:val="211"/>
        </w:trPr>
        <w:tc>
          <w:tcPr>
            <w:tcW w:w="4200" w:type="dxa"/>
            <w:vAlign w:val="bottom"/>
          </w:tcPr>
          <w:p>
            <w:pPr>
              <w:ind w:left="540"/>
              <w:spacing w:after="0"/>
              <w:rPr>
                <w:sz w:val="20"/>
                <w:szCs w:val="20"/>
                <w:color w:val="auto"/>
              </w:rPr>
            </w:pPr>
            <w:r>
              <w:rPr>
                <w:rFonts w:ascii="Arial" w:cs="Arial" w:eastAsia="Arial" w:hAnsi="Arial"/>
                <w:sz w:val="18"/>
                <w:szCs w:val="18"/>
                <w:color w:val="auto"/>
              </w:rPr>
              <w:t>partial year prior to Change-in-Control</w:t>
            </w:r>
          </w:p>
        </w:tc>
        <w:tc>
          <w:tcPr>
            <w:tcW w:w="160" w:type="dxa"/>
            <w:vAlign w:val="bottom"/>
          </w:tcPr>
          <w:p>
            <w:pPr>
              <w:spacing w:after="0"/>
              <w:rPr>
                <w:sz w:val="18"/>
                <w:szCs w:val="18"/>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345988"/>
              </w:rPr>
              <w:t>●</w:t>
            </w:r>
          </w:p>
        </w:tc>
        <w:tc>
          <w:tcPr>
            <w:tcW w:w="3740" w:type="dxa"/>
            <w:vAlign w:val="bottom"/>
            <w:vMerge w:val="restart"/>
          </w:tcPr>
          <w:p>
            <w:pPr>
              <w:ind w:left="80"/>
              <w:spacing w:after="0"/>
              <w:rPr>
                <w:sz w:val="20"/>
                <w:szCs w:val="20"/>
                <w:color w:val="auto"/>
              </w:rPr>
            </w:pPr>
            <w:r>
              <w:rPr>
                <w:rFonts w:ascii="Arial" w:cs="Arial" w:eastAsia="Arial" w:hAnsi="Arial"/>
                <w:sz w:val="18"/>
                <w:szCs w:val="18"/>
                <w:color w:val="auto"/>
              </w:rPr>
              <w:t>Annual cash salary equal to the sum of prior</w:t>
            </w:r>
          </w:p>
        </w:tc>
        <w:tc>
          <w:tcPr>
            <w:tcW w:w="0" w:type="dxa"/>
            <w:vAlign w:val="bottom"/>
          </w:tcPr>
          <w:p>
            <w:pPr>
              <w:spacing w:after="0"/>
              <w:rPr>
                <w:sz w:val="1"/>
                <w:szCs w:val="1"/>
                <w:color w:val="auto"/>
              </w:rPr>
            </w:pPr>
          </w:p>
        </w:tc>
      </w:tr>
      <w:tr>
        <w:trPr>
          <w:trHeight w:val="108"/>
        </w:trPr>
        <w:tc>
          <w:tcPr>
            <w:tcW w:w="4200" w:type="dxa"/>
            <w:vAlign w:val="bottom"/>
            <w:vMerge w:val="restart"/>
          </w:tcPr>
          <w:p>
            <w:pPr>
              <w:jc w:val="center"/>
              <w:spacing w:after="0"/>
              <w:rPr>
                <w:sz w:val="20"/>
                <w:szCs w:val="20"/>
                <w:color w:val="auto"/>
              </w:rPr>
            </w:pPr>
            <w:r>
              <w:rPr>
                <w:rFonts w:ascii="Arial" w:cs="Arial" w:eastAsia="Arial" w:hAnsi="Arial"/>
                <w:sz w:val="17"/>
                <w:szCs w:val="17"/>
                <w:color w:val="345988"/>
              </w:rPr>
              <w:t xml:space="preserve">●  </w:t>
            </w:r>
            <w:r>
              <w:rPr>
                <w:rFonts w:ascii="Arial" w:cs="Arial" w:eastAsia="Arial" w:hAnsi="Arial"/>
                <w:sz w:val="17"/>
                <w:szCs w:val="17"/>
                <w:color w:val="000000"/>
              </w:rPr>
              <w:t>Annual cash salary equal to the sum of prior</w:t>
            </w: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base salary, prior year cash bonus and,</w:t>
            </w:r>
          </w:p>
        </w:tc>
        <w:tc>
          <w:tcPr>
            <w:tcW w:w="0" w:type="dxa"/>
            <w:vAlign w:val="bottom"/>
          </w:tcPr>
          <w:p>
            <w:pPr>
              <w:spacing w:after="0"/>
              <w:rPr>
                <w:sz w:val="1"/>
                <w:szCs w:val="1"/>
                <w:color w:val="auto"/>
              </w:rPr>
            </w:pPr>
          </w:p>
        </w:tc>
      </w:tr>
      <w:tr>
        <w:trPr>
          <w:trHeight w:val="203"/>
        </w:trPr>
        <w:tc>
          <w:tcPr>
            <w:tcW w:w="4200" w:type="dxa"/>
            <w:vAlign w:val="bottom"/>
          </w:tcPr>
          <w:p>
            <w:pPr>
              <w:ind w:left="540"/>
              <w:spacing w:after="0" w:line="202" w:lineRule="exact"/>
              <w:rPr>
                <w:sz w:val="20"/>
                <w:szCs w:val="20"/>
                <w:color w:val="auto"/>
              </w:rPr>
            </w:pPr>
            <w:r>
              <w:rPr>
                <w:rFonts w:ascii="Arial" w:cs="Arial" w:eastAsia="Arial" w:hAnsi="Arial"/>
                <w:sz w:val="18"/>
                <w:szCs w:val="18"/>
                <w:color w:val="auto"/>
              </w:rPr>
              <w:t>base salary, prior year cash bonus and target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w w:val="97"/>
              </w:rPr>
              <w:t>beginning in the year following the most recent</w:t>
            </w:r>
          </w:p>
        </w:tc>
        <w:tc>
          <w:tcPr>
            <w:tcW w:w="0" w:type="dxa"/>
            <w:vAlign w:val="bottom"/>
          </w:tcPr>
          <w:p>
            <w:pPr>
              <w:spacing w:after="0"/>
              <w:rPr>
                <w:sz w:val="1"/>
                <w:szCs w:val="1"/>
                <w:color w:val="auto"/>
              </w:rPr>
            </w:pPr>
          </w:p>
        </w:tc>
      </w:tr>
      <w:tr>
        <w:trPr>
          <w:trHeight w:val="203"/>
        </w:trPr>
        <w:tc>
          <w:tcPr>
            <w:tcW w:w="4200" w:type="dxa"/>
            <w:vAlign w:val="bottom"/>
          </w:tcPr>
          <w:p>
            <w:pPr>
              <w:ind w:left="540"/>
              <w:spacing w:after="0" w:line="202" w:lineRule="exact"/>
              <w:rPr>
                <w:sz w:val="20"/>
                <w:szCs w:val="20"/>
                <w:color w:val="auto"/>
              </w:rPr>
            </w:pPr>
            <w:r>
              <w:rPr>
                <w:rFonts w:ascii="Arial" w:cs="Arial" w:eastAsia="Arial" w:hAnsi="Arial"/>
                <w:sz w:val="18"/>
                <w:szCs w:val="18"/>
                <w:color w:val="auto"/>
              </w:rPr>
              <w:t>value of annual time-based and performance-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grant of a time-based equity award, target</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345988"/>
            </w:tcBorders>
          </w:tcPr>
          <w:p>
            <w:pPr>
              <w:ind w:left="540"/>
              <w:spacing w:after="0"/>
              <w:rPr>
                <w:sz w:val="20"/>
                <w:szCs w:val="20"/>
                <w:color w:val="auto"/>
              </w:rPr>
            </w:pPr>
            <w:r>
              <w:rPr>
                <w:rFonts w:ascii="Arial" w:cs="Arial" w:eastAsia="Arial" w:hAnsi="Arial"/>
                <w:sz w:val="18"/>
                <w:szCs w:val="18"/>
                <w:color w:val="auto"/>
              </w:rPr>
              <w:t>based equity awards</w:t>
            </w:r>
          </w:p>
        </w:tc>
        <w:tc>
          <w:tcPr>
            <w:tcW w:w="160" w:type="dxa"/>
            <w:vAlign w:val="bottom"/>
            <w:tcBorders>
              <w:bottom w:val="single" w:sz="8" w:color="345988"/>
            </w:tcBorders>
          </w:tcPr>
          <w:p>
            <w:pPr>
              <w:spacing w:after="0"/>
              <w:rPr>
                <w:sz w:val="20"/>
                <w:szCs w:val="20"/>
                <w:color w:val="auto"/>
              </w:rPr>
            </w:pPr>
          </w:p>
        </w:tc>
        <w:tc>
          <w:tcPr>
            <w:tcW w:w="440" w:type="dxa"/>
            <w:vAlign w:val="bottom"/>
            <w:tcBorders>
              <w:bottom w:val="single" w:sz="8" w:color="345988"/>
            </w:tcBorders>
          </w:tcPr>
          <w:p>
            <w:pPr>
              <w:spacing w:after="0"/>
              <w:rPr>
                <w:sz w:val="20"/>
                <w:szCs w:val="20"/>
                <w:color w:val="auto"/>
              </w:rPr>
            </w:pPr>
          </w:p>
        </w:tc>
        <w:tc>
          <w:tcPr>
            <w:tcW w:w="3740" w:type="dxa"/>
            <w:vAlign w:val="bottom"/>
            <w:tcBorders>
              <w:bottom w:val="single" w:sz="8" w:color="345988"/>
            </w:tcBorders>
          </w:tcPr>
          <w:p>
            <w:pPr>
              <w:ind w:left="100"/>
              <w:spacing w:after="0"/>
              <w:rPr>
                <w:sz w:val="20"/>
                <w:szCs w:val="20"/>
                <w:color w:val="auto"/>
              </w:rPr>
            </w:pPr>
            <w:r>
              <w:rPr>
                <w:rFonts w:ascii="Arial" w:cs="Arial" w:eastAsia="Arial" w:hAnsi="Arial"/>
                <w:sz w:val="18"/>
                <w:szCs w:val="18"/>
                <w:color w:val="auto"/>
              </w:rPr>
              <w:t>value of annual time-based equity awards</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8"/>
                <w:szCs w:val="18"/>
                <w:color w:val="auto"/>
              </w:rPr>
              <w:t>The executive agreed to the following covenants: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200" w:type="dxa"/>
            <w:vAlign w:val="bottom"/>
            <w:tcBorders>
              <w:bottom w:val="single" w:sz="8" w:color="345988"/>
            </w:tcBorders>
          </w:tcPr>
          <w:p>
            <w:pPr>
              <w:jc w:val="center"/>
              <w:spacing w:after="0"/>
              <w:rPr>
                <w:sz w:val="20"/>
                <w:szCs w:val="20"/>
                <w:color w:val="auto"/>
              </w:rPr>
            </w:pPr>
            <w:r>
              <w:rPr>
                <w:rFonts w:ascii="Arial" w:cs="Arial" w:eastAsia="Arial" w:hAnsi="Arial"/>
                <w:sz w:val="14"/>
                <w:szCs w:val="14"/>
                <w:b w:val="1"/>
                <w:bCs w:val="1"/>
                <w:color w:val="345988"/>
                <w:w w:val="95"/>
              </w:rPr>
              <w:t>Holliday/Mathias</w:t>
            </w:r>
          </w:p>
        </w:tc>
        <w:tc>
          <w:tcPr>
            <w:tcW w:w="160" w:type="dxa"/>
            <w:vAlign w:val="bottom"/>
          </w:tcPr>
          <w:p>
            <w:pPr>
              <w:spacing w:after="0"/>
              <w:rPr>
                <w:sz w:val="24"/>
                <w:szCs w:val="24"/>
                <w:color w:val="auto"/>
              </w:rPr>
            </w:pPr>
          </w:p>
        </w:tc>
        <w:tc>
          <w:tcPr>
            <w:tcW w:w="440" w:type="dxa"/>
            <w:vAlign w:val="bottom"/>
            <w:tcBorders>
              <w:bottom w:val="single" w:sz="8" w:color="345988"/>
            </w:tcBorders>
          </w:tcPr>
          <w:p>
            <w:pPr>
              <w:spacing w:after="0"/>
              <w:rPr>
                <w:sz w:val="24"/>
                <w:szCs w:val="24"/>
                <w:color w:val="auto"/>
              </w:rPr>
            </w:pPr>
          </w:p>
        </w:tc>
        <w:tc>
          <w:tcPr>
            <w:tcW w:w="3740" w:type="dxa"/>
            <w:vAlign w:val="bottom"/>
            <w:tcBorders>
              <w:bottom w:val="single" w:sz="8" w:color="345988"/>
            </w:tcBorders>
          </w:tcPr>
          <w:p>
            <w:pPr>
              <w:ind w:left="1440"/>
              <w:spacing w:after="0"/>
              <w:rPr>
                <w:sz w:val="20"/>
                <w:szCs w:val="20"/>
                <w:color w:val="auto"/>
              </w:rPr>
            </w:pPr>
            <w:r>
              <w:rPr>
                <w:rFonts w:ascii="Arial" w:cs="Arial" w:eastAsia="Arial" w:hAnsi="Arial"/>
                <w:sz w:val="14"/>
                <w:szCs w:val="14"/>
                <w:b w:val="1"/>
                <w:bCs w:val="1"/>
                <w:color w:val="345988"/>
              </w:rPr>
              <w:t>Levine</w:t>
            </w: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ind w:left="2880"/>
        <w:spacing w:after="0" w:line="271" w:lineRule="auto"/>
        <w:rPr>
          <w:sz w:val="20"/>
          <w:szCs w:val="20"/>
          <w:color w:val="auto"/>
        </w:rPr>
      </w:pPr>
      <w:r>
        <w:rPr>
          <w:rFonts w:ascii="Arial" w:cs="Arial" w:eastAsia="Arial" w:hAnsi="Arial"/>
          <w:sz w:val="16"/>
          <w:szCs w:val="16"/>
          <w:color w:val="auto"/>
        </w:rPr>
        <w:t>For Messrs. Holliday and Mathias, noncompetition with us for 12 months following termination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7151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8"/>
          <w:szCs w:val="18"/>
          <w:color w:val="auto"/>
        </w:rPr>
        <w:t>For Mr. Levine, noncompetition with us for 6 months after termination unless employment is terminated upon non-renewal of the agreement, in which case the non-compete period will not extend beyond such termination.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10795</wp:posOffset>
            </wp:positionV>
            <wp:extent cx="54286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7020" w:space="220"/>
            <w:col w:w="4180"/>
          </w:cols>
          <w:pgMar w:left="240" w:top="121" w:right="239" w:bottom="1440" w:gutter="0" w:footer="0" w:header="0"/>
          <w:type w:val="continuous"/>
        </w:sectPr>
      </w:pPr>
    </w:p>
    <w:p>
      <w:pPr>
        <w:ind w:left="360" w:hanging="352"/>
        <w:spacing w:after="0"/>
        <w:tabs>
          <w:tab w:leader="none" w:pos="3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terms automatically renew for one year for Messrs. Holliday and Mathias unless either party provides advance written notice of non-renewal.</w:t>
      </w:r>
    </w:p>
    <w:p>
      <w:pPr>
        <w:spacing w:after="0" w:line="230"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EXECUTIVE COMPENSATION</w:t>
      </w:r>
    </w:p>
    <w:p>
      <w:pPr>
        <w:spacing w:after="0" w:line="208" w:lineRule="exact"/>
        <w:rPr>
          <w:sz w:val="20"/>
          <w:szCs w:val="20"/>
          <w:color w:val="auto"/>
        </w:rPr>
      </w:pPr>
    </w:p>
    <w:p>
      <w:pPr>
        <w:ind w:left="360" w:right="80" w:hanging="352"/>
        <w:spacing w:after="0" w:line="228" w:lineRule="auto"/>
        <w:tabs>
          <w:tab w:leader="none" w:pos="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Messrs. Holliday and Mathias are eligible to participate in an annual formulaic cash bonus program pursuant to which they will be able to earn from 50-300% and 50-250%, respectively, of their base salary based on the achievement of specific goals established in advance by the Committee. Mr. Levine may be awarded a bonus in an amount determined by the Committee.</w:t>
      </w:r>
    </w:p>
    <w:p>
      <w:pPr>
        <w:spacing w:after="0" w:line="94" w:lineRule="exact"/>
        <w:rPr>
          <w:rFonts w:ascii="Arial" w:cs="Arial" w:eastAsia="Arial" w:hAnsi="Arial"/>
          <w:sz w:val="14"/>
          <w:szCs w:val="14"/>
          <w:color w:val="auto"/>
        </w:rPr>
      </w:pPr>
    </w:p>
    <w:p>
      <w:pPr>
        <w:ind w:left="360" w:hanging="352"/>
        <w:spacing w:after="0" w:line="223" w:lineRule="auto"/>
        <w:tabs>
          <w:tab w:leader="none" w:pos="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Beginning in January 2019, each of Messrs. Holliday and Mathias are entitled to receive annual awards of performance-based LTIP units with the target values set forth in the table above. See “Executive Compensation—Compensation Discussion and Analysis - 2019 Long-Term Equity Incentive Awards - Performance-Based Equity Awards” for details regarding the structure of these awards. Each award will provide that the LTIP units will remain outstanding following a termination of employment without Cause, for Good Reason or due to death or disability, whether during or after the term of the employment agreement, or following the executive’s resignation following expiration of the term. In addition, upon any termination for Good Reason or without Cause (including as a result of non-renewal by the Company) prior to the conclusion of a performance period, operating performance (but not relative TSR performance) will be deemed to have been achieved at maximum, subject to the absolute TSR modifier, which will continue to apply in accordance with its terms. In connection with a Change-in-Control prior the conclusion of any performance period, operating performance will be deemed to have been achieved at target performance and absolute and relative TSR performance will be determined based on actual, annualized performance through the date of the Change-in-Control, but vesting will remain subject to continued employment through the original vesting date, subject to acceleration in the event of a termination of employment without Cause, for Good Reason or due to death or disability, whether during or after the term of the employment agreement, or following the executive’s resignation following expiration of the term.</w:t>
      </w:r>
    </w:p>
    <w:p>
      <w:pPr>
        <w:spacing w:after="0" w:line="97" w:lineRule="exact"/>
        <w:rPr>
          <w:rFonts w:ascii="Arial" w:cs="Arial" w:eastAsia="Arial" w:hAnsi="Arial"/>
          <w:sz w:val="14"/>
          <w:szCs w:val="14"/>
          <w:color w:val="auto"/>
        </w:rPr>
      </w:pPr>
    </w:p>
    <w:p>
      <w:pPr>
        <w:ind w:left="360" w:right="60" w:hanging="352"/>
        <w:spacing w:after="0" w:line="210" w:lineRule="auto"/>
        <w:tabs>
          <w:tab w:leader="none" w:pos="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Each executive is eligible to receive an annual grant of LTIP units subject to time-based vesting conditions. The amount of the annual grant each year will be determined by the Committee based on its evaluation of executive’s performance during the prior year; provided that the value of the LTIP units to be granted for achievement of target performance during the prior year will not be less than the amounts set forth in the table above (with each LTIP unit valued using the average closing price of the common stock for the ten consecutive trading days ending on the last trading day of the prior year). For Messrs. Holliday and Mathias, one-third of each such grant will vest on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of each of the first three years following such grant, if and as employment continues through such dates. For Mr. Levine, each such grant will vest in equal installments on each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following such grant during the remainder of the term of the employment agreement, if and as employment continues through such dates. The LTIP units will be subject to a no sell restriction until the earlier of three years after grant, termination of employment or a Change-in-Control. Vesting will fully accelerate in the event of the termination of executive’s employment by us without Cause, by the executive for Good Reason, due to death or disability or due to executive’s resignation following the expiration of the term of the employment agreement. Other terminations prior to time-based vesting or acceleration will result in forfeiture of all unvested amounts.</w:t>
      </w:r>
    </w:p>
    <w:p>
      <w:pPr>
        <w:spacing w:after="0" w:line="97" w:lineRule="exact"/>
        <w:rPr>
          <w:rFonts w:ascii="Arial" w:cs="Arial" w:eastAsia="Arial" w:hAnsi="Arial"/>
          <w:sz w:val="14"/>
          <w:szCs w:val="14"/>
          <w:color w:val="auto"/>
        </w:rPr>
      </w:pPr>
    </w:p>
    <w:p>
      <w:pPr>
        <w:ind w:left="360" w:right="400" w:hanging="352"/>
        <w:spacing w:after="0" w:line="231" w:lineRule="auto"/>
        <w:tabs>
          <w:tab w:leader="none" w:pos="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Performance-based equity awards will be treated in accordance with their terms. See footnote (3) above for relevant terms to be included in performance-based LTIP units granted pursuant to the employment agreements.</w:t>
      </w:r>
    </w:p>
    <w:p>
      <w:pPr>
        <w:spacing w:after="0" w:line="95" w:lineRule="exact"/>
        <w:rPr>
          <w:rFonts w:ascii="Arial" w:cs="Arial" w:eastAsia="Arial" w:hAnsi="Arial"/>
          <w:sz w:val="14"/>
          <w:szCs w:val="14"/>
          <w:color w:val="auto"/>
        </w:rPr>
      </w:pPr>
    </w:p>
    <w:p>
      <w:pPr>
        <w:ind w:left="360" w:right="140" w:hanging="352"/>
        <w:spacing w:after="0" w:line="228" w:lineRule="auto"/>
        <w:tabs>
          <w:tab w:leader="none" w:pos="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207"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as referenced in our Form 10-K for the year ended December 31, 2018, and are incorporated herein by reference.</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Compensation Committee Interlocks and Insider Participation</w:t>
      </w:r>
    </w:p>
    <w:p>
      <w:pPr>
        <w:spacing w:after="0" w:line="23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Compensation Committee is comprised of Lauren B. Dillard (Chair), John H. Alschuler, Edwin T. Burton, III and John S. Levy. There are no Compensation Committee interlocks and none of our employees is a member of our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Pay Ratio Disclosure Rule</w:t>
      </w:r>
    </w:p>
    <w:p>
      <w:pPr>
        <w:spacing w:after="0" w:line="233"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(“PEO”). The PEO of our Company is Mr. Holliday.</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2018, the annual total compensation of Mr. Holliday, our PEO, of $13,355,778, as shown in the Summary Compensation Table above, was approximately 194 times the annual total compensation of $68,880 of a median employee calculated in the same manner. We identified the median employee using the annual base salary and target annual cash incentive compensation, as of December 31, 2018, plus any long-term equity incentive awards granted in 2018 for all individuals (excluding our PEO) who were employed by us on December 31, 2018, the last day of our payroll year, whether employed on a full-time or part-time basis.</w:t>
      </w:r>
    </w:p>
    <w:p>
      <w:pPr>
        <w:spacing w:after="0" w:line="21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As of December 31, 2018, 748 of our 1,058 employees were hourly-paid employees involved in building operations, all of whom are subject to collective bargaining agreements. If these employees were not included for purposes of identifying our median employee, the annual total compensation of a median employee would be $144,146 and the annual total compensation of our PEO would be approximately 93 times such amount.</w:t>
      </w:r>
    </w:p>
    <w:p>
      <w:pPr>
        <w:spacing w:after="0" w:line="209"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3215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3215640"/>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3: Ratification of Appointment of Independent Registered Public Accounting Firm</w:t>
      </w:r>
    </w:p>
    <w:p>
      <w:pPr>
        <w:spacing w:after="0" w:line="313" w:lineRule="exact"/>
        <w:rPr>
          <w:sz w:val="20"/>
          <w:szCs w:val="20"/>
          <w:color w:val="auto"/>
        </w:rPr>
      </w:pPr>
    </w:p>
    <w:p>
      <w:pPr>
        <w:ind w:left="80" w:right="100"/>
        <w:spacing w:after="0" w:line="26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2019.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2019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87" w:lineRule="exact"/>
        <w:rPr>
          <w:sz w:val="20"/>
          <w:szCs w:val="20"/>
          <w:color w:val="auto"/>
        </w:rPr>
      </w:pPr>
    </w:p>
    <w:p>
      <w:pPr>
        <w:ind w:left="80" w:right="460"/>
        <w:spacing w:after="0" w:line="239"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209" w:lineRule="exact"/>
        <w:rPr>
          <w:sz w:val="20"/>
          <w:szCs w:val="20"/>
          <w:color w:val="auto"/>
        </w:rPr>
      </w:pPr>
    </w:p>
    <w:p>
      <w:pPr>
        <w:ind w:left="80" w:right="560"/>
        <w:spacing w:after="0" w:line="238"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2019. Abstentions do not constitute a vote “for” or “against” and will not be counted as “votes cast”. Therefore, abstentions will have no effect on this proposal.</w:t>
      </w:r>
    </w:p>
    <w:p>
      <w:pPr>
        <w:spacing w:after="0" w:line="258" w:lineRule="exact"/>
        <w:rPr>
          <w:sz w:val="20"/>
          <w:szCs w:val="20"/>
          <w:color w:val="auto"/>
        </w:rPr>
      </w:pPr>
    </w:p>
    <w:p>
      <w:pPr>
        <w:jc w:val="center"/>
        <w:spacing w:after="0" w:line="258" w:lineRule="auto"/>
        <w:rPr>
          <w:sz w:val="20"/>
          <w:szCs w:val="20"/>
          <w:color w:val="auto"/>
        </w:rPr>
      </w:pPr>
      <w:r>
        <w:rPr>
          <w:rFonts w:ascii="Arial" w:cs="Arial" w:eastAsia="Arial" w:hAnsi="Arial"/>
          <w:sz w:val="20"/>
          <w:szCs w:val="20"/>
          <w:b w:val="1"/>
          <w:bCs w:val="1"/>
          <w:color w:val="345988"/>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45988"/>
        </w:rPr>
        <w:t xml:space="preserve"> the ratification of the appointment of Ernst &amp; Young LLP as our independent registered public accounting firm.</w:t>
      </w: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2018 filed by the Company with management.</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21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2018 filed by the Company.</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AUDIT COMMITTEE MATTERS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Audit Committee</w:t>
      </w:r>
    </w:p>
    <w:p>
      <w:pPr>
        <w:spacing w:after="0" w:line="234" w:lineRule="auto"/>
        <w:rPr>
          <w:sz w:val="20"/>
          <w:szCs w:val="20"/>
          <w:color w:val="auto"/>
        </w:rPr>
      </w:pPr>
      <w:r>
        <w:rPr>
          <w:rFonts w:ascii="Arial" w:cs="Arial" w:eastAsia="Arial" w:hAnsi="Arial"/>
          <w:sz w:val="18"/>
          <w:szCs w:val="18"/>
          <w:color w:val="auto"/>
        </w:rPr>
        <w:t>Edwin T. Burton, III (Chair)</w:t>
      </w:r>
    </w:p>
    <w:p>
      <w:pPr>
        <w:spacing w:after="0" w:line="235" w:lineRule="auto"/>
        <w:rPr>
          <w:sz w:val="20"/>
          <w:szCs w:val="20"/>
          <w:color w:val="auto"/>
        </w:rPr>
      </w:pPr>
      <w:r>
        <w:rPr>
          <w:rFonts w:ascii="Arial" w:cs="Arial" w:eastAsia="Arial" w:hAnsi="Arial"/>
          <w:sz w:val="18"/>
          <w:szCs w:val="18"/>
          <w:color w:val="auto"/>
        </w:rPr>
        <w:t>Betsy Atkins</w:t>
      </w:r>
    </w:p>
    <w:p>
      <w:pPr>
        <w:spacing w:after="0" w:line="235" w:lineRule="auto"/>
        <w:rPr>
          <w:sz w:val="20"/>
          <w:szCs w:val="20"/>
          <w:color w:val="auto"/>
        </w:rPr>
      </w:pPr>
      <w:r>
        <w:rPr>
          <w:rFonts w:ascii="Arial" w:cs="Arial" w:eastAsia="Arial" w:hAnsi="Arial"/>
          <w:sz w:val="18"/>
          <w:szCs w:val="18"/>
          <w:color w:val="auto"/>
        </w:rPr>
        <w:t>Lauren B. Dillard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Craig M. Hatkoff</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 Fees</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Fees, including out-of-pocket expenses, for audit services totaled approximately $4,060,000 in fiscal year 2018 and $3,872,000 in fiscal year 2017.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Audit-Related Fees</w:t>
      </w:r>
    </w:p>
    <w:p>
      <w:pPr>
        <w:spacing w:after="0" w:line="23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Fees for audit-related services totaled approximately $71,000 in 2018 and $70,000 in 2017. The audit-related services principally include fees for operating expense audits and agreed-upon procedures projects.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Tax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Fees for tax services, including tax compliance, tax advice and tax planning totaled approximately $51,518 in 2018 and $0 in 2017.</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All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other services not included above in either 2018 or 2017.</w:t>
      </w:r>
    </w:p>
    <w:p>
      <w:pPr>
        <w:spacing w:after="0" w:line="21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2018 were pre-approved by our Audit Committee. Our Audit Committee may delegate to one or more of its members who is an independent director the authority to grant pre-approvals.</w:t>
      </w:r>
    </w:p>
    <w:p>
      <w:pPr>
        <w:spacing w:after="0" w:line="215"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STOCK OWNERSHIP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The following table sets forth the beneficial ownership of our common stock, $ 0.01 par value per share, and our common stock and common units in our operating partnership as of March 31, 2019,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8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As of March 31, 2019, the following shares and units were outstanding: (i) 84,327,633 shares of our common stock, (ii) 1,801,904 common units in our operating partnership (other than the units held by us) and (iii) 2,458,781 LTIP units (excluding unearned performance-based LTIP units, which may be earned based on the achievement of performance-based vesting hurdles).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tcPr>
          <w:p>
            <w:pPr>
              <w:ind w:left="340"/>
              <w:spacing w:after="0"/>
              <w:rPr>
                <w:sz w:val="20"/>
                <w:szCs w:val="20"/>
                <w:color w:val="auto"/>
              </w:rPr>
            </w:pPr>
            <w:r>
              <w:rPr>
                <w:rFonts w:ascii="Arial" w:cs="Arial" w:eastAsia="Arial" w:hAnsi="Arial"/>
                <w:sz w:val="14"/>
                <w:szCs w:val="14"/>
                <w:b w:val="1"/>
                <w:bCs w:val="1"/>
                <w:color w:val="345988"/>
              </w:rPr>
              <w:t>Common Stock</w:t>
            </w:r>
          </w:p>
        </w:tc>
        <w:tc>
          <w:tcPr>
            <w:tcW w:w="222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345988"/>
              </w:rPr>
              <w:t>Common Stock and Units</w:t>
            </w:r>
          </w:p>
        </w:tc>
      </w:tr>
      <w:tr>
        <w:trPr>
          <w:trHeight w:val="48"/>
        </w:trPr>
        <w:tc>
          <w:tcPr>
            <w:tcW w:w="20" w:type="dxa"/>
            <w:vAlign w:val="bottom"/>
          </w:tcPr>
          <w:p>
            <w:pPr>
              <w:spacing w:after="0"/>
              <w:rPr>
                <w:sz w:val="4"/>
                <w:szCs w:val="4"/>
                <w:color w:val="auto"/>
              </w:rPr>
            </w:pPr>
          </w:p>
        </w:tc>
        <w:tc>
          <w:tcPr>
            <w:tcW w:w="7300" w:type="dxa"/>
            <w:vAlign w:val="bottom"/>
            <w:tcBorders>
              <w:bottom w:val="single" w:sz="8" w:color="345988"/>
            </w:tcBorders>
          </w:tcPr>
          <w:p>
            <w:pPr>
              <w:spacing w:after="0"/>
              <w:rPr>
                <w:sz w:val="4"/>
                <w:szCs w:val="4"/>
                <w:color w:val="auto"/>
              </w:rPr>
            </w:pPr>
          </w:p>
        </w:tc>
        <w:tc>
          <w:tcPr>
            <w:tcW w:w="120" w:type="dxa"/>
            <w:vAlign w:val="bottom"/>
            <w:tcBorders>
              <w:bottom w:val="single" w:sz="8" w:color="345988"/>
            </w:tcBorders>
          </w:tcPr>
          <w:p>
            <w:pPr>
              <w:spacing w:after="0"/>
              <w:rPr>
                <w:sz w:val="4"/>
                <w:szCs w:val="4"/>
                <w:color w:val="auto"/>
              </w:rPr>
            </w:pPr>
          </w:p>
        </w:tc>
        <w:tc>
          <w:tcPr>
            <w:tcW w:w="1000" w:type="dxa"/>
            <w:vAlign w:val="bottom"/>
            <w:tcBorders>
              <w:bottom w:val="single" w:sz="8" w:color="345988"/>
            </w:tcBorders>
            <w:gridSpan w:val="2"/>
          </w:tcPr>
          <w:p>
            <w:pPr>
              <w:spacing w:after="0"/>
              <w:rPr>
                <w:sz w:val="4"/>
                <w:szCs w:val="4"/>
                <w:color w:val="auto"/>
              </w:rPr>
            </w:pPr>
          </w:p>
        </w:tc>
        <w:tc>
          <w:tcPr>
            <w:tcW w:w="660" w:type="dxa"/>
            <w:vAlign w:val="bottom"/>
            <w:tcBorders>
              <w:bottom w:val="single" w:sz="8" w:color="345988"/>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345988"/>
            </w:tcBorders>
            <w:gridSpan w:val="2"/>
          </w:tcPr>
          <w:p>
            <w:pPr>
              <w:spacing w:after="0"/>
              <w:rPr>
                <w:sz w:val="4"/>
                <w:szCs w:val="4"/>
                <w:color w:val="auto"/>
              </w:rPr>
            </w:pPr>
          </w:p>
        </w:tc>
        <w:tc>
          <w:tcPr>
            <w:tcW w:w="1000" w:type="dxa"/>
            <w:vAlign w:val="bottom"/>
            <w:tcBorders>
              <w:bottom w:val="single" w:sz="8" w:color="345988"/>
            </w:tcBorders>
          </w:tcPr>
          <w:p>
            <w:pPr>
              <w:spacing w:after="0"/>
              <w:rPr>
                <w:sz w:val="4"/>
                <w:szCs w:val="4"/>
                <w:color w:val="auto"/>
              </w:rPr>
            </w:pPr>
          </w:p>
        </w:tc>
      </w:tr>
      <w:tr>
        <w:trPr>
          <w:trHeight w:val="159"/>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b w:val="1"/>
                <w:bCs w:val="1"/>
                <w:color w:val="345988"/>
              </w:rPr>
              <w:t>Number</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345988"/>
              </w:rPr>
              <w:t>Number of</w:t>
            </w:r>
          </w:p>
        </w:tc>
        <w:tc>
          <w:tcPr>
            <w:tcW w:w="10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345988"/>
              </w:rPr>
              <w:t>of Shares</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45988"/>
                <w:w w:val="93"/>
              </w:rPr>
              <w:t>Percent of</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345988"/>
                <w:w w:val="96"/>
              </w:rPr>
              <w:t>Shares and Units</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345988"/>
              </w:rPr>
              <w:t>Percent of</w:t>
            </w:r>
          </w:p>
        </w:tc>
      </w:tr>
      <w:tr>
        <w:trPr>
          <w:trHeight w:val="157"/>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345988"/>
              </w:rPr>
              <w:t>Beneficially</w:t>
            </w:r>
          </w:p>
        </w:tc>
        <w:tc>
          <w:tcPr>
            <w:tcW w:w="76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345988"/>
              </w:rPr>
              <w:t>Common</w:t>
            </w:r>
          </w:p>
        </w:tc>
        <w:tc>
          <w:tcPr>
            <w:tcW w:w="122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345988"/>
              </w:rPr>
              <w:t>Beneficially</w:t>
            </w:r>
          </w:p>
        </w:tc>
        <w:tc>
          <w:tcPr>
            <w:tcW w:w="1000" w:type="dxa"/>
            <w:vAlign w:val="bottom"/>
          </w:tcPr>
          <w:p>
            <w:pPr>
              <w:jc w:val="right"/>
              <w:spacing w:after="0" w:line="157" w:lineRule="exact"/>
              <w:rPr>
                <w:sz w:val="20"/>
                <w:szCs w:val="20"/>
                <w:color w:val="auto"/>
              </w:rPr>
            </w:pPr>
            <w:r>
              <w:rPr>
                <w:rFonts w:ascii="Arial" w:cs="Arial" w:eastAsia="Arial" w:hAnsi="Arial"/>
                <w:sz w:val="14"/>
                <w:szCs w:val="14"/>
                <w:b w:val="1"/>
                <w:bCs w:val="1"/>
                <w:color w:val="345988"/>
                <w:w w:val="95"/>
              </w:rPr>
              <w:t>Common Stock</w:t>
            </w:r>
          </w:p>
        </w:tc>
      </w:tr>
      <w:tr>
        <w:trPr>
          <w:trHeight w:val="231"/>
        </w:trPr>
        <w:tc>
          <w:tcPr>
            <w:tcW w:w="7440" w:type="dxa"/>
            <w:vAlign w:val="bottom"/>
            <w:gridSpan w:val="3"/>
          </w:tcPr>
          <w:p>
            <w:pPr>
              <w:spacing w:after="0"/>
              <w:rPr>
                <w:sz w:val="20"/>
                <w:szCs w:val="20"/>
                <w:color w:val="auto"/>
              </w:rPr>
            </w:pPr>
            <w:r>
              <w:rPr>
                <w:rFonts w:ascii="Arial" w:cs="Arial" w:eastAsia="Arial" w:hAnsi="Arial"/>
                <w:sz w:val="14"/>
                <w:szCs w:val="14"/>
                <w:b w:val="1"/>
                <w:bCs w:val="1"/>
                <w:color w:val="345988"/>
              </w:rPr>
              <w:t>Name**</w:t>
            </w:r>
          </w:p>
        </w:tc>
        <w:tc>
          <w:tcPr>
            <w:tcW w:w="1000" w:type="dxa"/>
            <w:vAlign w:val="bottom"/>
            <w:gridSpan w:val="2"/>
          </w:tcPr>
          <w:p>
            <w:pPr>
              <w:jc w:val="right"/>
              <w:ind w:right="120"/>
              <w:spacing w:after="0" w:line="224" w:lineRule="exact"/>
              <w:rPr>
                <w:sz w:val="20"/>
                <w:szCs w:val="20"/>
                <w:color w:val="auto"/>
              </w:rPr>
            </w:pPr>
            <w:r>
              <w:rPr>
                <w:rFonts w:ascii="Arial" w:cs="Arial" w:eastAsia="Arial" w:hAnsi="Arial"/>
                <w:sz w:val="14"/>
                <w:szCs w:val="14"/>
                <w:b w:val="1"/>
                <w:bCs w:val="1"/>
                <w:color w:val="345988"/>
              </w:rPr>
              <w:t>Owned</w:t>
            </w:r>
            <w:r>
              <w:rPr>
                <w:rFonts w:ascii="Arial" w:cs="Arial" w:eastAsia="Arial" w:hAnsi="Arial"/>
                <w:sz w:val="22"/>
                <w:szCs w:val="22"/>
                <w:b w:val="1"/>
                <w:bCs w:val="1"/>
                <w:color w:val="345988"/>
                <w:vertAlign w:val="superscript"/>
              </w:rPr>
              <w:t>(1)</w:t>
            </w:r>
          </w:p>
        </w:tc>
        <w:tc>
          <w:tcPr>
            <w:tcW w:w="760" w:type="dxa"/>
            <w:vAlign w:val="bottom"/>
            <w:gridSpan w:val="2"/>
          </w:tcPr>
          <w:p>
            <w:pPr>
              <w:jc w:val="right"/>
              <w:ind w:right="100"/>
              <w:spacing w:after="0" w:line="224" w:lineRule="exact"/>
              <w:rPr>
                <w:sz w:val="20"/>
                <w:szCs w:val="20"/>
                <w:color w:val="auto"/>
              </w:rPr>
            </w:pPr>
            <w:r>
              <w:rPr>
                <w:rFonts w:ascii="Arial" w:cs="Arial" w:eastAsia="Arial" w:hAnsi="Arial"/>
                <w:sz w:val="14"/>
                <w:szCs w:val="14"/>
                <w:b w:val="1"/>
                <w:bCs w:val="1"/>
                <w:color w:val="345988"/>
              </w:rPr>
              <w:t>Stock</w:t>
            </w:r>
            <w:r>
              <w:rPr>
                <w:rFonts w:ascii="Arial" w:cs="Arial" w:eastAsia="Arial" w:hAnsi="Arial"/>
                <w:sz w:val="22"/>
                <w:szCs w:val="22"/>
                <w:b w:val="1"/>
                <w:bCs w:val="1"/>
                <w:color w:val="345988"/>
                <w:vertAlign w:val="superscript"/>
              </w:rPr>
              <w:t>(2)</w:t>
            </w:r>
          </w:p>
        </w:tc>
        <w:tc>
          <w:tcPr>
            <w:tcW w:w="1220" w:type="dxa"/>
            <w:vAlign w:val="bottom"/>
            <w:gridSpan w:val="2"/>
          </w:tcPr>
          <w:p>
            <w:pPr>
              <w:jc w:val="right"/>
              <w:ind w:right="100"/>
              <w:spacing w:after="0" w:line="224" w:lineRule="exact"/>
              <w:rPr>
                <w:sz w:val="20"/>
                <w:szCs w:val="20"/>
                <w:color w:val="auto"/>
              </w:rPr>
            </w:pPr>
            <w:r>
              <w:rPr>
                <w:rFonts w:ascii="Arial" w:cs="Arial" w:eastAsia="Arial" w:hAnsi="Arial"/>
                <w:sz w:val="14"/>
                <w:szCs w:val="14"/>
                <w:b w:val="1"/>
                <w:bCs w:val="1"/>
                <w:color w:val="345988"/>
              </w:rPr>
              <w:t>Owned</w:t>
            </w:r>
            <w:r>
              <w:rPr>
                <w:rFonts w:ascii="Arial" w:cs="Arial" w:eastAsia="Arial" w:hAnsi="Arial"/>
                <w:sz w:val="22"/>
                <w:szCs w:val="22"/>
                <w:b w:val="1"/>
                <w:bCs w:val="1"/>
                <w:color w:val="345988"/>
                <w:vertAlign w:val="superscript"/>
              </w:rPr>
              <w:t>(1)</w:t>
            </w:r>
          </w:p>
        </w:tc>
        <w:tc>
          <w:tcPr>
            <w:tcW w:w="1000" w:type="dxa"/>
            <w:vAlign w:val="bottom"/>
          </w:tcPr>
          <w:p>
            <w:pPr>
              <w:jc w:val="right"/>
              <w:spacing w:after="0" w:line="224" w:lineRule="exact"/>
              <w:rPr>
                <w:sz w:val="20"/>
                <w:szCs w:val="20"/>
                <w:color w:val="auto"/>
              </w:rPr>
            </w:pPr>
            <w:r>
              <w:rPr>
                <w:rFonts w:ascii="Arial" w:cs="Arial" w:eastAsia="Arial" w:hAnsi="Arial"/>
                <w:sz w:val="14"/>
                <w:szCs w:val="14"/>
                <w:b w:val="1"/>
                <w:bCs w:val="1"/>
                <w:color w:val="345988"/>
              </w:rPr>
              <w:t>and Units</w:t>
            </w:r>
            <w:r>
              <w:rPr>
                <w:rFonts w:ascii="Arial" w:cs="Arial" w:eastAsia="Arial" w:hAnsi="Arial"/>
                <w:sz w:val="22"/>
                <w:szCs w:val="22"/>
                <w:b w:val="1"/>
                <w:bCs w:val="1"/>
                <w:color w:val="345988"/>
                <w:vertAlign w:val="superscript"/>
              </w:rPr>
              <w:t>(2)</w:t>
            </w:r>
          </w:p>
        </w:tc>
      </w:tr>
      <w:tr>
        <w:trPr>
          <w:trHeight w:val="238"/>
        </w:trPr>
        <w:tc>
          <w:tcPr>
            <w:tcW w:w="20" w:type="dxa"/>
            <w:vAlign w:val="bottom"/>
          </w:tcPr>
          <w:p>
            <w:pPr>
              <w:spacing w:after="0"/>
              <w:rPr>
                <w:sz w:val="20"/>
                <w:szCs w:val="20"/>
                <w:color w:val="auto"/>
              </w:rPr>
            </w:pPr>
          </w:p>
        </w:tc>
        <w:tc>
          <w:tcPr>
            <w:tcW w:w="730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b w:val="1"/>
                <w:bCs w:val="1"/>
                <w:color w:val="auto"/>
              </w:rPr>
              <w:t>5% Holders</w:t>
            </w:r>
          </w:p>
        </w:tc>
        <w:tc>
          <w:tcPr>
            <w:tcW w:w="120" w:type="dxa"/>
            <w:vAlign w:val="bottom"/>
          </w:tcPr>
          <w:p>
            <w:pPr>
              <w:spacing w:after="0"/>
              <w:rPr>
                <w:sz w:val="20"/>
                <w:szCs w:val="20"/>
                <w:color w:val="auto"/>
              </w:rPr>
            </w:pPr>
          </w:p>
        </w:tc>
        <w:tc>
          <w:tcPr>
            <w:tcW w:w="880" w:type="dxa"/>
            <w:vAlign w:val="bottom"/>
            <w:tcBorders>
              <w:top w:val="single" w:sz="8" w:color="345988"/>
              <w:bottom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345988"/>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345988"/>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345988"/>
              <w:bottom w:val="single" w:sz="8" w:color="8590A9"/>
            </w:tcBorders>
          </w:tcPr>
          <w:p>
            <w:pPr>
              <w:spacing w:after="0"/>
              <w:rPr>
                <w:sz w:val="20"/>
                <w:szCs w:val="20"/>
                <w:color w:val="auto"/>
              </w:rPr>
            </w:pPr>
          </w:p>
        </w:tc>
      </w:tr>
      <w:tr>
        <w:trPr>
          <w:trHeight w:val="309"/>
        </w:trPr>
        <w:tc>
          <w:tcPr>
            <w:tcW w:w="7440" w:type="dxa"/>
            <w:vAlign w:val="bottom"/>
            <w:gridSpan w:val="3"/>
          </w:tcPr>
          <w:p>
            <w:pPr>
              <w:spacing w:after="0" w:line="309"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13,825,215</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13,825,215</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9,130,834</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9,130,834</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6,946,802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6,946,802</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Boston Partners</w:t>
            </w:r>
            <w:r>
              <w:rPr>
                <w:rFonts w:ascii="Arial" w:cs="Arial" w:eastAsia="Arial" w:hAnsi="Arial"/>
                <w:sz w:val="29"/>
                <w:szCs w:val="29"/>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6,430,873</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6,430,873</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8"/>
                <w:szCs w:val="18"/>
                <w:color w:val="auto"/>
              </w:rPr>
              <w:t>5,100,739</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5,100,739</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221"/>
        </w:trPr>
        <w:tc>
          <w:tcPr>
            <w:tcW w:w="7440" w:type="dxa"/>
            <w:vAlign w:val="bottom"/>
            <w:gridSpan w:val="3"/>
          </w:tcPr>
          <w:p>
            <w:pPr>
              <w:spacing w:after="0"/>
              <w:rPr>
                <w:sz w:val="20"/>
                <w:szCs w:val="20"/>
                <w:color w:val="auto"/>
              </w:rPr>
            </w:pPr>
            <w:r>
              <w:rPr>
                <w:rFonts w:ascii="Arial" w:cs="Arial" w:eastAsia="Arial" w:hAnsi="Arial"/>
                <w:sz w:val="18"/>
                <w:szCs w:val="18"/>
                <w:color w:val="auto"/>
              </w:rPr>
              <w:t>Morgan Stanley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26"/>
        </w:trPr>
        <w:tc>
          <w:tcPr>
            <w:tcW w:w="7440" w:type="dxa"/>
            <w:vAlign w:val="bottom"/>
            <w:gridSpan w:val="3"/>
          </w:tcPr>
          <w:p>
            <w:pPr>
              <w:spacing w:after="0" w:line="326" w:lineRule="exact"/>
              <w:rPr>
                <w:sz w:val="20"/>
                <w:szCs w:val="20"/>
                <w:color w:val="auto"/>
              </w:rPr>
            </w:pPr>
            <w:r>
              <w:rPr>
                <w:rFonts w:ascii="Arial" w:cs="Arial" w:eastAsia="Arial" w:hAnsi="Arial"/>
                <w:sz w:val="18"/>
                <w:szCs w:val="18"/>
                <w:color w:val="auto"/>
              </w:rPr>
              <w:t>Morgan Stanley Investment Management Inc.</w:t>
            </w:r>
            <w:r>
              <w:rPr>
                <w:rFonts w:ascii="Arial" w:cs="Arial" w:eastAsia="Arial" w:hAnsi="Arial"/>
                <w:sz w:val="29"/>
                <w:szCs w:val="29"/>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8"/>
                <w:szCs w:val="18"/>
                <w:color w:val="auto"/>
              </w:rPr>
              <w:t>4,539,688</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4,539,688</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31"/>
        </w:trPr>
        <w:tc>
          <w:tcPr>
            <w:tcW w:w="20" w:type="dxa"/>
            <w:vAlign w:val="bottom"/>
          </w:tcPr>
          <w:p>
            <w:pPr>
              <w:spacing w:after="0"/>
              <w:rPr>
                <w:sz w:val="20"/>
                <w:szCs w:val="20"/>
                <w:color w:val="auto"/>
              </w:rPr>
            </w:pPr>
          </w:p>
        </w:tc>
        <w:tc>
          <w:tcPr>
            <w:tcW w:w="730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Directors, Nominees for Director and Named Executive Officers</w:t>
            </w:r>
          </w:p>
        </w:tc>
        <w:tc>
          <w:tcPr>
            <w:tcW w:w="120" w:type="dxa"/>
            <w:vAlign w:val="bottom"/>
          </w:tcPr>
          <w:p>
            <w:pPr>
              <w:spacing w:after="0"/>
              <w:rPr>
                <w:sz w:val="20"/>
                <w:szCs w:val="20"/>
                <w:color w:val="auto"/>
              </w:rPr>
            </w:pPr>
          </w:p>
        </w:tc>
        <w:tc>
          <w:tcPr>
            <w:tcW w:w="880" w:type="dxa"/>
            <w:vAlign w:val="bottom"/>
            <w:tcBorders>
              <w:top w:val="single" w:sz="8" w:color="8590A9"/>
              <w:bottom w:val="single" w:sz="8" w:color="8590A9"/>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8590A9"/>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8590A9"/>
              <w:bottom w:val="single" w:sz="8" w:color="8590A9"/>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8590A9"/>
              <w:bottom w:val="single" w:sz="8" w:color="8590A9"/>
            </w:tcBorders>
          </w:tcPr>
          <w:p>
            <w:pPr>
              <w:spacing w:after="0"/>
              <w:rPr>
                <w:sz w:val="20"/>
                <w:szCs w:val="20"/>
                <w:color w:val="auto"/>
              </w:rPr>
            </w:pPr>
          </w:p>
        </w:tc>
      </w:tr>
      <w:tr>
        <w:trPr>
          <w:trHeight w:val="309"/>
        </w:trPr>
        <w:tc>
          <w:tcPr>
            <w:tcW w:w="7440" w:type="dxa"/>
            <w:vAlign w:val="bottom"/>
            <w:gridSpan w:val="3"/>
          </w:tcPr>
          <w:p>
            <w:pPr>
              <w:spacing w:after="0" w:line="309" w:lineRule="exact"/>
              <w:rPr>
                <w:sz w:val="20"/>
                <w:szCs w:val="20"/>
                <w:color w:val="auto"/>
              </w:rPr>
            </w:pPr>
            <w:r>
              <w:rPr>
                <w:rFonts w:ascii="Arial" w:cs="Arial" w:eastAsia="Arial" w:hAnsi="Arial"/>
                <w:sz w:val="18"/>
                <w:szCs w:val="18"/>
                <w:color w:val="auto"/>
              </w:rPr>
              <w:t>John H. Alschuler</w:t>
            </w:r>
            <w:r>
              <w:rPr>
                <w:rFonts w:ascii="Arial" w:cs="Arial" w:eastAsia="Arial" w:hAnsi="Arial"/>
                <w:sz w:val="29"/>
                <w:szCs w:val="29"/>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29,594</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Betsy S. Atkins</w:t>
            </w:r>
            <w:r>
              <w:rPr>
                <w:rFonts w:ascii="Arial" w:cs="Arial" w:eastAsia="Arial" w:hAnsi="Arial"/>
                <w:sz w:val="29"/>
                <w:szCs w:val="29"/>
                <w:color w:val="auto"/>
                <w:vertAlign w:val="superscript"/>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Edwin T. Burton, III</w:t>
            </w:r>
            <w:r>
              <w:rPr>
                <w:rFonts w:ascii="Arial" w:cs="Arial" w:eastAsia="Arial" w:hAnsi="Arial"/>
                <w:sz w:val="29"/>
                <w:szCs w:val="29"/>
                <w:color w:val="auto"/>
                <w:vertAlign w:val="superscript"/>
              </w:rPr>
              <w:t>(11)</w:t>
            </w:r>
          </w:p>
        </w:tc>
        <w:tc>
          <w:tcPr>
            <w:tcW w:w="880" w:type="dxa"/>
            <w:vAlign w:val="bottom"/>
          </w:tcPr>
          <w:p>
            <w:pPr>
              <w:jc w:val="right"/>
              <w:spacing w:after="0"/>
              <w:rPr>
                <w:sz w:val="20"/>
                <w:szCs w:val="20"/>
                <w:color w:val="auto"/>
              </w:rPr>
            </w:pPr>
            <w:r>
              <w:rPr>
                <w:rFonts w:ascii="Arial" w:cs="Arial" w:eastAsia="Arial" w:hAnsi="Arial"/>
                <w:sz w:val="18"/>
                <w:szCs w:val="18"/>
                <w:color w:val="auto"/>
              </w:rPr>
              <w:t>7,292</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Matthew J. DiLiberto</w:t>
            </w:r>
            <w:r>
              <w:rPr>
                <w:rFonts w:ascii="Arial" w:cs="Arial" w:eastAsia="Arial" w:hAnsi="Arial"/>
                <w:sz w:val="29"/>
                <w:szCs w:val="29"/>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44,577</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Lauren B. Dillard</w:t>
            </w:r>
            <w:r>
              <w:rPr>
                <w:rFonts w:ascii="Arial" w:cs="Arial" w:eastAsia="Arial" w:hAnsi="Arial"/>
                <w:sz w:val="29"/>
                <w:szCs w:val="29"/>
                <w:color w:val="auto"/>
                <w:vertAlign w:val="superscript"/>
              </w:rPr>
              <w:t>(13)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(14)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956,993</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229"/>
        </w:trPr>
        <w:tc>
          <w:tcPr>
            <w:tcW w:w="7440" w:type="dxa"/>
            <w:vAlign w:val="bottom"/>
            <w:gridSpan w:val="3"/>
          </w:tcPr>
          <w:p>
            <w:pPr>
              <w:spacing w:after="0"/>
              <w:rPr>
                <w:sz w:val="20"/>
                <w:szCs w:val="20"/>
                <w:color w:val="auto"/>
              </w:rPr>
            </w:pPr>
            <w:r>
              <w:rPr>
                <w:rFonts w:ascii="Arial" w:cs="Arial" w:eastAsia="Arial" w:hAnsi="Arial"/>
                <w:sz w:val="18"/>
                <w:szCs w:val="18"/>
                <w:color w:val="auto"/>
              </w:rPr>
              <w:t>Craig M. Hatkoff</w:t>
            </w:r>
          </w:p>
        </w:tc>
        <w:tc>
          <w:tcPr>
            <w:tcW w:w="88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11"/>
        </w:trPr>
        <w:tc>
          <w:tcPr>
            <w:tcW w:w="7440" w:type="dxa"/>
            <w:vAlign w:val="bottom"/>
            <w:gridSpan w:val="3"/>
          </w:tcPr>
          <w:p>
            <w:pPr>
              <w:spacing w:after="0" w:line="310" w:lineRule="exact"/>
              <w:rPr>
                <w:sz w:val="20"/>
                <w:szCs w:val="20"/>
                <w:color w:val="auto"/>
              </w:rPr>
            </w:pPr>
            <w:r>
              <w:rPr>
                <w:rFonts w:ascii="Arial" w:cs="Arial" w:eastAsia="Arial" w:hAnsi="Arial"/>
                <w:sz w:val="18"/>
                <w:szCs w:val="18"/>
                <w:color w:val="auto"/>
              </w:rPr>
              <w:t>Marc Holliday</w:t>
            </w:r>
            <w:r>
              <w:rPr>
                <w:rFonts w:ascii="Arial" w:cs="Arial" w:eastAsia="Arial" w:hAnsi="Arial"/>
                <w:sz w:val="29"/>
                <w:szCs w:val="29"/>
                <w:color w:val="auto"/>
                <w:vertAlign w:val="superscript"/>
              </w:rPr>
              <w:t>(15)</w:t>
            </w:r>
          </w:p>
        </w:tc>
        <w:tc>
          <w:tcPr>
            <w:tcW w:w="880" w:type="dxa"/>
            <w:vAlign w:val="bottom"/>
          </w:tcPr>
          <w:p>
            <w:pPr>
              <w:jc w:val="right"/>
              <w:spacing w:after="0"/>
              <w:rPr>
                <w:sz w:val="20"/>
                <w:szCs w:val="20"/>
                <w:color w:val="auto"/>
              </w:rPr>
            </w:pPr>
            <w:r>
              <w:rPr>
                <w:rFonts w:ascii="Arial" w:cs="Arial" w:eastAsia="Arial" w:hAnsi="Arial"/>
                <w:sz w:val="18"/>
                <w:szCs w:val="18"/>
                <w:color w:val="auto"/>
              </w:rPr>
              <w:t>111,370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1,055,660</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Andrew S. Levine</w:t>
            </w:r>
            <w:r>
              <w:rPr>
                <w:rFonts w:ascii="Arial" w:cs="Arial" w:eastAsia="Arial" w:hAnsi="Arial"/>
                <w:sz w:val="29"/>
                <w:szCs w:val="29"/>
                <w:color w:val="auto"/>
                <w:vertAlign w:val="superscript"/>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27,080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160,929</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John S. Levy</w:t>
            </w:r>
            <w:r>
              <w:rPr>
                <w:rFonts w:ascii="Arial" w:cs="Arial" w:eastAsia="Arial" w:hAnsi="Arial"/>
                <w:sz w:val="29"/>
                <w:szCs w:val="29"/>
                <w:color w:val="auto"/>
                <w:vertAlign w:val="superscript"/>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92,884</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355,434</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1,139,972</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8590A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590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8590A9"/>
          </w:tcPr>
          <w:p>
            <w:pPr>
              <w:spacing w:after="0" w:line="20" w:lineRule="exact"/>
              <w:rPr>
                <w:sz w:val="1"/>
                <w:szCs w:val="1"/>
                <w:color w:val="auto"/>
              </w:rPr>
            </w:pPr>
          </w:p>
        </w:tc>
      </w:tr>
      <w:tr>
        <w:trPr>
          <w:trHeight w:val="304"/>
        </w:trPr>
        <w:tc>
          <w:tcPr>
            <w:tcW w:w="7440" w:type="dxa"/>
            <w:vAlign w:val="bottom"/>
            <w:gridSpan w:val="3"/>
          </w:tcPr>
          <w:p>
            <w:pPr>
              <w:spacing w:after="0" w:line="303" w:lineRule="exact"/>
              <w:rPr>
                <w:sz w:val="20"/>
                <w:szCs w:val="20"/>
                <w:color w:val="auto"/>
              </w:rPr>
            </w:pPr>
            <w:r>
              <w:rPr>
                <w:rFonts w:ascii="Arial" w:cs="Arial" w:eastAsia="Arial" w:hAnsi="Arial"/>
                <w:sz w:val="18"/>
                <w:szCs w:val="18"/>
                <w:b w:val="1"/>
                <w:bCs w:val="1"/>
                <w:color w:val="auto"/>
              </w:rPr>
              <w:t>All Directors and Executive Officers as a Group (11 Persons)</w:t>
            </w:r>
            <w:r>
              <w:rPr>
                <w:rFonts w:ascii="Arial" w:cs="Arial" w:eastAsia="Arial" w:hAnsi="Arial"/>
                <w:sz w:val="29"/>
                <w:szCs w:val="29"/>
                <w:b w:val="1"/>
                <w:bCs w:val="1"/>
                <w:color w:val="auto"/>
                <w:vertAlign w:val="superscript"/>
              </w:rPr>
              <w:t>(19)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564,802</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3,548,608</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3.99%</w:t>
            </w:r>
          </w:p>
        </w:tc>
      </w:tr>
      <w:tr>
        <w:trPr>
          <w:trHeight w:val="27"/>
        </w:trPr>
        <w:tc>
          <w:tcPr>
            <w:tcW w:w="20" w:type="dxa"/>
            <w:vAlign w:val="bottom"/>
          </w:tcPr>
          <w:p>
            <w:pPr>
              <w:spacing w:after="0"/>
              <w:rPr>
                <w:sz w:val="2"/>
                <w:szCs w:val="2"/>
                <w:color w:val="auto"/>
              </w:rPr>
            </w:pPr>
          </w:p>
        </w:tc>
        <w:tc>
          <w:tcPr>
            <w:tcW w:w="730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345988"/>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345988"/>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345988"/>
          </w:tcPr>
          <w:p>
            <w:pPr>
              <w:spacing w:after="0"/>
              <w:rPr>
                <w:sz w:val="2"/>
                <w:szCs w:val="2"/>
                <w:color w:val="auto"/>
              </w:rPr>
            </w:pPr>
          </w:p>
        </w:tc>
      </w:tr>
    </w:tbl>
    <w:p>
      <w:pPr>
        <w:spacing w:after="0" w:line="215" w:lineRule="exact"/>
        <w:rPr>
          <w:sz w:val="20"/>
          <w:szCs w:val="20"/>
          <w:color w:val="auto"/>
        </w:rPr>
      </w:pPr>
    </w:p>
    <w:p>
      <w:pPr>
        <w:ind w:left="380" w:hanging="372"/>
        <w:spacing w:after="0"/>
        <w:tabs>
          <w:tab w:leader="none" w:pos="3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6" w:lineRule="exact"/>
        <w:rPr>
          <w:sz w:val="20"/>
          <w:szCs w:val="20"/>
          <w:color w:val="auto"/>
        </w:rPr>
      </w:pPr>
    </w:p>
    <w:p>
      <w:pPr>
        <w:ind w:left="380" w:hanging="372"/>
        <w:spacing w:after="0"/>
        <w:tabs>
          <w:tab w:leader="none" w:pos="3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96" w:lineRule="exact"/>
        <w:rPr>
          <w:sz w:val="20"/>
          <w:szCs w:val="20"/>
          <w:color w:val="auto"/>
        </w:rPr>
      </w:pPr>
    </w:p>
    <w:p>
      <w:pPr>
        <w:ind w:left="380" w:hanging="372"/>
        <w:spacing w:after="0" w:line="224" w:lineRule="auto"/>
        <w:tabs>
          <w:tab w:leader="none" w:pos="3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2019.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 Class O LTIP units are not included in the “Number of Shares and Units Beneficially Owned.” Class O LTIP units are not economically equivalent to common units, but vested Class O LTIP units may be converted in a manner similar to a net exercise of a stock option into a number</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STOCK OWNERSHIP INFORMATION</w:t>
      </w:r>
    </w:p>
    <w:p>
      <w:pPr>
        <w:spacing w:after="0" w:line="208" w:lineRule="exact"/>
        <w:rPr>
          <w:sz w:val="20"/>
          <w:szCs w:val="20"/>
          <w:color w:val="auto"/>
        </w:rPr>
      </w:pPr>
    </w:p>
    <w:p>
      <w:pPr>
        <w:ind w:left="380" w:right="160"/>
        <w:spacing w:after="0" w:line="226" w:lineRule="auto"/>
        <w:rPr>
          <w:sz w:val="20"/>
          <w:szCs w:val="20"/>
          <w:color w:val="auto"/>
        </w:rPr>
      </w:pPr>
      <w:r>
        <w:rPr>
          <w:rFonts w:ascii="Arial" w:cs="Arial" w:eastAsia="Arial" w:hAnsi="Arial"/>
          <w:sz w:val="14"/>
          <w:szCs w:val="14"/>
          <w:color w:val="auto"/>
        </w:rPr>
        <w:t>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2019 annual meeting.</w:t>
      </w:r>
    </w:p>
    <w:p>
      <w:pPr>
        <w:spacing w:after="0" w:line="96" w:lineRule="exact"/>
        <w:rPr>
          <w:sz w:val="20"/>
          <w:szCs w:val="20"/>
          <w:color w:val="auto"/>
        </w:rPr>
      </w:pPr>
    </w:p>
    <w:p>
      <w:pPr>
        <w:ind w:left="380" w:hanging="372"/>
        <w:spacing w:after="0" w:line="224"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total number of shares outstanding used in calculating the percentage of common stock held by each person assumes the exercise of all options to acquire shares of common stock that are exercisable on or within 60 days after March 31, 2019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2019 and settlement for an equal number of shares of common stock of all phantom units held by the beneficial owner and that no options or phantom units held by other beneficial owners are exercised or settled.</w:t>
      </w:r>
    </w:p>
    <w:p>
      <w:pPr>
        <w:spacing w:after="0" w:line="94" w:lineRule="exact"/>
        <w:rPr>
          <w:rFonts w:ascii="Arial" w:cs="Arial" w:eastAsia="Arial" w:hAnsi="Arial"/>
          <w:sz w:val="14"/>
          <w:szCs w:val="14"/>
          <w:color w:val="auto"/>
        </w:rPr>
      </w:pPr>
    </w:p>
    <w:p>
      <w:pPr>
        <w:ind w:left="380" w:right="6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11, 2019, as of December 31, 2018, by The Vanguard Group (“Vanguard”). Vanguard reported sole dispositive power with respect to 13,623,012 shares, shared dispositive power with respect to 202,203 shares, sole voting power with respect to 173,951 shares and shared voting power with respect to 103,352 shares. The business address of Vanguard is 100 Vanguard Blvd., Malvern, PA 19355.</w:t>
      </w:r>
    </w:p>
    <w:p>
      <w:pPr>
        <w:spacing w:after="0" w:line="94" w:lineRule="exact"/>
        <w:rPr>
          <w:rFonts w:ascii="Arial" w:cs="Arial" w:eastAsia="Arial" w:hAnsi="Arial"/>
          <w:sz w:val="14"/>
          <w:szCs w:val="14"/>
          <w:color w:val="auto"/>
        </w:rPr>
      </w:pPr>
    </w:p>
    <w:p>
      <w:pPr>
        <w:jc w:val="both"/>
        <w:ind w:left="380" w:right="22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January 31, 2019, as of December 31, 2018, by BlackRock, Inc. BlackRock, Inc. reported sole dispositive power with respect to 8,162,519 shares and sole dispositive power with respect to 9,130,834 shares. The business address for BlackRock, Inc. is 55 East 52nd Street, New York, NY 10022.</w:t>
      </w:r>
    </w:p>
    <w:p>
      <w:pPr>
        <w:spacing w:after="0" w:line="94" w:lineRule="exact"/>
        <w:rPr>
          <w:rFonts w:ascii="Arial" w:cs="Arial" w:eastAsia="Arial" w:hAnsi="Arial"/>
          <w:sz w:val="14"/>
          <w:szCs w:val="14"/>
          <w:color w:val="auto"/>
        </w:rPr>
      </w:pPr>
    </w:p>
    <w:p>
      <w:pPr>
        <w:ind w:left="380" w:right="4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14, 2019, as of December 31, 2018, by T. Rowe Price Associates, Inc. T. Rowe Price Associates, Inc. reported sole voting power with respect to 2,253,769 shares and sole dispositive power with respect to 6,931,152 shares. The business address for T. Rowe Price Associates, Inc. is 100 E. Pratt Street, Baltimore, MD 21202.</w:t>
      </w:r>
    </w:p>
    <w:p>
      <w:pPr>
        <w:spacing w:after="0" w:line="94" w:lineRule="exact"/>
        <w:rPr>
          <w:rFonts w:ascii="Arial" w:cs="Arial" w:eastAsia="Arial" w:hAnsi="Arial"/>
          <w:sz w:val="14"/>
          <w:szCs w:val="14"/>
          <w:color w:val="auto"/>
        </w:rPr>
      </w:pPr>
    </w:p>
    <w:p>
      <w:pPr>
        <w:ind w:left="380" w:right="6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14, 2019, as of December 31, 2018, by Boston Partners. Boston Partners reported sole voting power with respect to 5,794,034 shares, shared voting power with respect to 8,782 shares and sole dispositive power with respect to 6,430,873 shares. The business address for Boston Partners is One Beacon Street, 30th Floor, Boston, MA 02108.</w:t>
      </w:r>
    </w:p>
    <w:p>
      <w:pPr>
        <w:spacing w:after="0" w:line="94" w:lineRule="exact"/>
        <w:rPr>
          <w:rFonts w:ascii="Arial" w:cs="Arial" w:eastAsia="Arial" w:hAnsi="Arial"/>
          <w:sz w:val="14"/>
          <w:szCs w:val="14"/>
          <w:color w:val="auto"/>
        </w:rPr>
      </w:pPr>
    </w:p>
    <w:p>
      <w:pPr>
        <w:ind w:left="380" w:right="6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13, 2019, as of December 31, 2018, by State Street Corporation. State Street Corporation reported shared voting power with respect to 4,601,050 shares and shared dispositive power with respect to 5,099,878 shares. The business address for State Street Corporation is One Lincoln Street, Boston, MA 02111.</w:t>
      </w:r>
    </w:p>
    <w:p>
      <w:pPr>
        <w:spacing w:after="0" w:line="94" w:lineRule="exact"/>
        <w:rPr>
          <w:rFonts w:ascii="Arial" w:cs="Arial" w:eastAsia="Arial" w:hAnsi="Arial"/>
          <w:sz w:val="14"/>
          <w:szCs w:val="14"/>
          <w:color w:val="auto"/>
        </w:rPr>
      </w:pPr>
    </w:p>
    <w:p>
      <w:pPr>
        <w:ind w:left="380" w:right="120" w:hanging="372"/>
        <w:spacing w:after="0" w:line="226"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13, 2019, as of December 31, 2018, jointly by Morgan Stanley and Morgan Stanley Investment Management Inc., a wholly owned subsidiary of Morgan Stanley. Morgan Stanley and Morgan Stanley Investment Management Inc. reported shared voting power with respect to 3,304,970 shares and shared dispositive power with respect to 4,539,688 shares. The business address for Morgan Stanley and Morgan Stanley Investment Management Inc. is 1585 Broadway New York, NY 10036.</w:t>
      </w:r>
    </w:p>
    <w:p>
      <w:pPr>
        <w:spacing w:after="0" w:line="95" w:lineRule="exact"/>
        <w:rPr>
          <w:rFonts w:ascii="Arial" w:cs="Arial" w:eastAsia="Arial" w:hAnsi="Arial"/>
          <w:sz w:val="14"/>
          <w:szCs w:val="14"/>
          <w:color w:val="auto"/>
        </w:rPr>
      </w:pPr>
    </w:p>
    <w:p>
      <w:pPr>
        <w:ind w:left="380" w:right="200" w:hanging="372"/>
        <w:spacing w:after="0" w:line="231"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14,500 shares of our common stock subject to options exercisable within 60 days of March 31, 2019. Also includes, only under the “Number of Shares and Units Beneficially Owned” column, 14,308 phantom units.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1,753 phantom units.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35,434 phantom units.</w:t>
      </w:r>
    </w:p>
    <w:p>
      <w:pPr>
        <w:spacing w:after="0" w:line="95" w:lineRule="exact"/>
        <w:rPr>
          <w:rFonts w:ascii="Arial" w:cs="Arial" w:eastAsia="Arial" w:hAnsi="Arial"/>
          <w:sz w:val="14"/>
          <w:szCs w:val="14"/>
          <w:color w:val="auto"/>
        </w:rPr>
      </w:pPr>
    </w:p>
    <w:p>
      <w:pPr>
        <w:ind w:left="380" w:right="320" w:hanging="372"/>
        <w:spacing w:after="0" w:line="231"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42,773 LTIP units (of which 10,000 LTIP units are subject to vesting). The totals exclude 30,000 Class O LTIP units and all unearned performance-based LTIP units.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11,484 phantom units.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786,645 common units, 167,134 LTIP units and 3,214 phantom units.</w:t>
      </w:r>
    </w:p>
    <w:p>
      <w:pPr>
        <w:spacing w:after="0" w:line="95" w:lineRule="exact"/>
        <w:rPr>
          <w:rFonts w:ascii="Arial" w:cs="Arial" w:eastAsia="Arial" w:hAnsi="Arial"/>
          <w:sz w:val="14"/>
          <w:szCs w:val="14"/>
          <w:color w:val="auto"/>
        </w:rPr>
      </w:pPr>
    </w:p>
    <w:p>
      <w:pPr>
        <w:ind w:left="380" w:right="120" w:hanging="372"/>
        <w:spacing w:after="0" w:line="231"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100,000 shares of our common stock subject to options exercisable within 60 days of March 31, 2019. Also includes, only under the “Number of Shares and Units Beneficially Owned” column, 944,290 LTIP units. The totals exclude 210,000 Class O LTIP units and all unearned performance-based LTIP units.</w:t>
      </w:r>
    </w:p>
    <w:p>
      <w:pPr>
        <w:spacing w:after="0" w:line="95" w:lineRule="exact"/>
        <w:rPr>
          <w:rFonts w:ascii="Arial" w:cs="Arial" w:eastAsia="Arial" w:hAnsi="Arial"/>
          <w:sz w:val="14"/>
          <w:szCs w:val="14"/>
          <w:color w:val="auto"/>
        </w:rPr>
      </w:pPr>
    </w:p>
    <w:p>
      <w:pPr>
        <w:ind w:left="380" w:right="140" w:hanging="372"/>
        <w:spacing w:after="0" w:line="300" w:lineRule="auto"/>
        <w:tabs>
          <w:tab w:leader="none" w:pos="3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Includes 12,500 shares of our common stock subject to options exercisable within 60 days of March 31, 2019. Includes, only under the “Number of Shares and Units Beneficially Owned” column, 133,849 LTIP units (of which 15,976 LTIP units are subject to vesting). The totals exclude 30,000 Class O LTIP units and all unearned performance-based LTIP units.</w:t>
      </w:r>
    </w:p>
    <w:p>
      <w:pPr>
        <w:spacing w:after="0" w:line="60" w:lineRule="exact"/>
        <w:rPr>
          <w:rFonts w:ascii="Arial" w:cs="Arial" w:eastAsia="Arial" w:hAnsi="Arial"/>
          <w:sz w:val="12"/>
          <w:szCs w:val="12"/>
          <w:color w:val="auto"/>
        </w:rPr>
      </w:pPr>
    </w:p>
    <w:p>
      <w:pPr>
        <w:ind w:left="380" w:right="200" w:hanging="372"/>
        <w:spacing w:after="0" w:line="231"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20,500 shares of our common stock subject to options exercisable within 60 days of March 31, 2019. Also includes, only under the “Number of Shares and Units Beneficially Owned” column, 58,384 phantom units.</w:t>
      </w:r>
    </w:p>
    <w:p>
      <w:pPr>
        <w:spacing w:after="0" w:line="95" w:lineRule="exact"/>
        <w:rPr>
          <w:rFonts w:ascii="Arial" w:cs="Arial" w:eastAsia="Arial" w:hAnsi="Arial"/>
          <w:sz w:val="14"/>
          <w:szCs w:val="14"/>
          <w:color w:val="auto"/>
        </w:rPr>
      </w:pPr>
    </w:p>
    <w:p>
      <w:pPr>
        <w:ind w:left="380" w:right="200" w:hanging="372"/>
        <w:spacing w:after="0" w:line="231"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65,000 shares of our common stock subject to options exercisable within 60 days of March 31, 2019. Also includes, only under the “Number of Shares and Units Beneficially Owned” column, 784,538 LTIP units. The totals exclude all unearned performance-based LTIP units.</w:t>
      </w:r>
    </w:p>
    <w:p>
      <w:pPr>
        <w:spacing w:after="0" w:line="95" w:lineRule="exact"/>
        <w:rPr>
          <w:rFonts w:ascii="Arial" w:cs="Arial" w:eastAsia="Arial" w:hAnsi="Arial"/>
          <w:sz w:val="14"/>
          <w:szCs w:val="14"/>
          <w:color w:val="auto"/>
        </w:rPr>
      </w:pPr>
    </w:p>
    <w:p>
      <w:pPr>
        <w:ind w:left="380" w:right="20" w:hanging="372"/>
        <w:spacing w:after="0" w:line="228" w:lineRule="auto"/>
        <w:tabs>
          <w:tab w:leader="none" w:pos="3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an aggregate of 352,302 shares of common stock and 212,500 shares of common stock underlying exercisable stock options. Also includes, only under the “Number of Shares and Units Beneficially Owned” column, 786,645 common units, 2,072,584 LTIP units and 124,577 phantom units. See also Notes (9) – (18) above. Excludes unearned performance-based LTIP units and Class O LTIP units.</w:t>
      </w:r>
    </w:p>
    <w:p>
      <w:pPr>
        <w:spacing w:after="0" w:line="207"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STOCK OWNERSHIP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Series I Preferred Stock</w:t>
      </w:r>
    </w:p>
    <w:p>
      <w:pPr>
        <w:spacing w:after="0" w:line="23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following table sets forth the beneficial ownership of our Series I Cumulative Redeemable Preferred Stock, $0.01 par value, as of March 31, 2019,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2019, there were 9,200,000 shares of our Series I Cumulative Redeemable Preferred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345988"/>
                <w:w w:val="98"/>
              </w:rPr>
              <w:t>Series I Cumulative Redeemable</w:t>
            </w:r>
          </w:p>
        </w:tc>
      </w:tr>
      <w:tr>
        <w:trPr>
          <w:trHeight w:val="199"/>
        </w:trPr>
        <w:tc>
          <w:tcPr>
            <w:tcW w:w="9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bottom w:val="single" w:sz="8" w:color="345988"/>
            </w:tcBorders>
            <w:gridSpan w:val="3"/>
          </w:tcPr>
          <w:p>
            <w:pPr>
              <w:jc w:val="right"/>
              <w:ind w:right="519"/>
              <w:spacing w:after="0"/>
              <w:rPr>
                <w:sz w:val="20"/>
                <w:szCs w:val="20"/>
                <w:color w:val="auto"/>
              </w:rPr>
            </w:pPr>
            <w:r>
              <w:rPr>
                <w:rFonts w:ascii="Arial" w:cs="Arial" w:eastAsia="Arial" w:hAnsi="Arial"/>
                <w:sz w:val="14"/>
                <w:szCs w:val="14"/>
                <w:b w:val="1"/>
                <w:bCs w:val="1"/>
                <w:color w:val="345988"/>
              </w:rPr>
              <w:t>Preferred Stock</w:t>
            </w:r>
          </w:p>
        </w:tc>
      </w:tr>
      <w:tr>
        <w:trPr>
          <w:trHeight w:val="159"/>
        </w:trPr>
        <w:tc>
          <w:tcPr>
            <w:tcW w:w="9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345988"/>
              </w:rPr>
              <w:t>Number of Shares</w:t>
            </w:r>
          </w:p>
        </w:tc>
        <w:tc>
          <w:tcPr>
            <w:tcW w:w="800" w:type="dxa"/>
            <w:vAlign w:val="bottom"/>
          </w:tcPr>
          <w:p>
            <w:pPr>
              <w:jc w:val="right"/>
              <w:spacing w:after="0" w:line="159" w:lineRule="exact"/>
              <w:rPr>
                <w:sz w:val="20"/>
                <w:szCs w:val="20"/>
                <w:color w:val="auto"/>
              </w:rPr>
            </w:pPr>
            <w:r>
              <w:rPr>
                <w:rFonts w:ascii="Arial" w:cs="Arial" w:eastAsia="Arial" w:hAnsi="Arial"/>
                <w:sz w:val="14"/>
                <w:szCs w:val="14"/>
                <w:b w:val="1"/>
                <w:bCs w:val="1"/>
                <w:color w:val="345988"/>
              </w:rPr>
              <w:t>Percent of</w:t>
            </w:r>
          </w:p>
        </w:tc>
      </w:tr>
      <w:tr>
        <w:trPr>
          <w:trHeight w:val="199"/>
        </w:trPr>
        <w:tc>
          <w:tcPr>
            <w:tcW w:w="9060" w:type="dxa"/>
            <w:vAlign w:val="bottom"/>
          </w:tcPr>
          <w:p>
            <w:pPr>
              <w:spacing w:after="0"/>
              <w:rPr>
                <w:sz w:val="20"/>
                <w:szCs w:val="20"/>
                <w:color w:val="auto"/>
              </w:rPr>
            </w:pPr>
            <w:r>
              <w:rPr>
                <w:rFonts w:ascii="Arial" w:cs="Arial" w:eastAsia="Arial" w:hAnsi="Arial"/>
                <w:sz w:val="14"/>
                <w:szCs w:val="14"/>
                <w:b w:val="1"/>
                <w:bCs w:val="1"/>
                <w:color w:val="345988"/>
              </w:rPr>
              <w:t>Name**</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45988"/>
                <w:w w:val="94"/>
              </w:rPr>
              <w:t>Beneficially Owned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345988"/>
                <w:w w:val="94"/>
              </w:rPr>
              <w:t>Outstanding</w:t>
            </w:r>
          </w:p>
        </w:tc>
      </w:tr>
      <w:tr>
        <w:trPr>
          <w:trHeight w:val="237"/>
        </w:trPr>
        <w:tc>
          <w:tcPr>
            <w:tcW w:w="906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color w:val="1A1A1A"/>
              </w:rPr>
              <w:t>Matthew J. DiLiberto</w:t>
            </w:r>
          </w:p>
        </w:tc>
        <w:tc>
          <w:tcPr>
            <w:tcW w:w="160" w:type="dxa"/>
            <w:vAlign w:val="bottom"/>
          </w:tcPr>
          <w:p>
            <w:pPr>
              <w:spacing w:after="0"/>
              <w:rPr>
                <w:sz w:val="20"/>
                <w:szCs w:val="20"/>
                <w:color w:val="auto"/>
              </w:rPr>
            </w:pPr>
          </w:p>
        </w:tc>
        <w:tc>
          <w:tcPr>
            <w:tcW w:w="124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p>
        </w:tc>
        <w:tc>
          <w:tcPr>
            <w:tcW w:w="800" w:type="dxa"/>
            <w:vAlign w:val="bottom"/>
            <w:tcBorders>
              <w:top w:val="single" w:sz="8" w:color="345988"/>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06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Marc Holliday</w:t>
            </w:r>
          </w:p>
        </w:tc>
        <w:tc>
          <w:tcPr>
            <w:tcW w:w="160" w:type="dxa"/>
            <w:vAlign w:val="bottom"/>
          </w:tcPr>
          <w:p>
            <w:pPr>
              <w:spacing w:after="0"/>
              <w:rPr>
                <w:sz w:val="20"/>
                <w:szCs w:val="20"/>
                <w:color w:val="auto"/>
              </w:rPr>
            </w:pPr>
          </w:p>
        </w:tc>
        <w:tc>
          <w:tcPr>
            <w:tcW w:w="12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96,780</w:t>
            </w:r>
          </w:p>
        </w:tc>
        <w:tc>
          <w:tcPr>
            <w:tcW w:w="160" w:type="dxa"/>
            <w:vAlign w:val="bottom"/>
          </w:tcPr>
          <w:p>
            <w:pPr>
              <w:spacing w:after="0"/>
              <w:rPr>
                <w:sz w:val="20"/>
                <w:szCs w:val="20"/>
                <w:color w:val="auto"/>
              </w:rPr>
            </w:pPr>
          </w:p>
        </w:tc>
        <w:tc>
          <w:tcPr>
            <w:tcW w:w="8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9060" w:type="dxa"/>
            <w:vAlign w:val="bottom"/>
            <w:tcBorders>
              <w:bottom w:val="single" w:sz="8" w:color="8590A9"/>
            </w:tcBorders>
          </w:tcPr>
          <w:p>
            <w:pPr>
              <w:spacing w:after="0"/>
              <w:rPr>
                <w:sz w:val="20"/>
                <w:szCs w:val="20"/>
                <w:color w:val="auto"/>
              </w:rPr>
            </w:pPr>
            <w:r>
              <w:rPr>
                <w:rFonts w:ascii="Arial" w:cs="Arial" w:eastAsia="Arial" w:hAnsi="Arial"/>
                <w:sz w:val="18"/>
                <w:szCs w:val="18"/>
                <w:color w:val="1A1A1A"/>
              </w:rPr>
              <w:t>Andrew S. Levine</w:t>
            </w:r>
          </w:p>
        </w:tc>
        <w:tc>
          <w:tcPr>
            <w:tcW w:w="160" w:type="dxa"/>
            <w:vAlign w:val="bottom"/>
          </w:tcPr>
          <w:p>
            <w:pPr>
              <w:spacing w:after="0"/>
              <w:rPr>
                <w:sz w:val="20"/>
                <w:szCs w:val="20"/>
                <w:color w:val="auto"/>
              </w:rPr>
            </w:pPr>
          </w:p>
        </w:tc>
        <w:tc>
          <w:tcPr>
            <w:tcW w:w="12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80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060" w:type="dxa"/>
            <w:vAlign w:val="bottom"/>
            <w:tcBorders>
              <w:bottom w:val="single" w:sz="8" w:color="345988"/>
            </w:tcBorders>
          </w:tcPr>
          <w:p>
            <w:pPr>
              <w:spacing w:after="0"/>
              <w:rPr>
                <w:sz w:val="20"/>
                <w:szCs w:val="20"/>
                <w:color w:val="auto"/>
              </w:rPr>
            </w:pPr>
            <w:r>
              <w:rPr>
                <w:rFonts w:ascii="Arial" w:cs="Arial" w:eastAsia="Arial" w:hAnsi="Arial"/>
                <w:sz w:val="18"/>
                <w:szCs w:val="18"/>
                <w:color w:val="1A1A1A"/>
              </w:rPr>
              <w:t>All Directors and Executive Officers as a Group (11 Persons)</w:t>
            </w:r>
          </w:p>
        </w:tc>
        <w:tc>
          <w:tcPr>
            <w:tcW w:w="160" w:type="dxa"/>
            <w:vAlign w:val="bottom"/>
          </w:tcPr>
          <w:p>
            <w:pPr>
              <w:spacing w:after="0"/>
              <w:rPr>
                <w:sz w:val="21"/>
                <w:szCs w:val="21"/>
                <w:color w:val="auto"/>
              </w:rPr>
            </w:pPr>
          </w:p>
        </w:tc>
        <w:tc>
          <w:tcPr>
            <w:tcW w:w="124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105,780</w:t>
            </w:r>
          </w:p>
        </w:tc>
        <w:tc>
          <w:tcPr>
            <w:tcW w:w="160" w:type="dxa"/>
            <w:vAlign w:val="bottom"/>
          </w:tcPr>
          <w:p>
            <w:pPr>
              <w:spacing w:after="0"/>
              <w:rPr>
                <w:sz w:val="21"/>
                <w:szCs w:val="21"/>
                <w:color w:val="auto"/>
              </w:rPr>
            </w:pPr>
          </w:p>
        </w:tc>
        <w:tc>
          <w:tcPr>
            <w:tcW w:w="80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1.15%</w:t>
            </w:r>
          </w:p>
        </w:tc>
      </w:tr>
    </w:tbl>
    <w:p>
      <w:pPr>
        <w:spacing w:after="0" w:line="107" w:lineRule="exact"/>
        <w:rPr>
          <w:sz w:val="20"/>
          <w:szCs w:val="20"/>
          <w:color w:val="auto"/>
        </w:rPr>
      </w:pPr>
    </w:p>
    <w:p>
      <w:pPr>
        <w:ind w:left="380" w:hanging="372"/>
        <w:spacing w:after="0"/>
        <w:tabs>
          <w:tab w:leader="none" w:pos="3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(i) Mr. Levine who inadvertently failed to timely file a Form 4 relating to a conversion of LTIP units on May 8, 2018, which was subsequently filed on January 10, 2019 and (ii) Mr. Levy who inadvertently failed to timely file a Form 4 relating to a sale of common stock on August 22, 2018, which was subsequently filed on September 13, 2018.</w:t>
      </w:r>
    </w:p>
    <w:p>
      <w:pPr>
        <w:spacing w:after="0" w:line="2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A1A1A"/>
        </w:rPr>
        <w:t>2019 Proxy Statement</w:t>
      </w:r>
      <w:r>
        <w:rPr>
          <w:sz w:val="20"/>
          <w:szCs w:val="20"/>
          <w:color w:val="auto"/>
        </w:rPr>
        <w:tab/>
      </w:r>
      <w:r>
        <w:rPr>
          <w:rFonts w:ascii="Arial" w:cs="Arial" w:eastAsia="Arial" w:hAnsi="Arial"/>
          <w:sz w:val="16"/>
          <w:szCs w:val="16"/>
          <w:color w:val="345988"/>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CERTAIN RELATIONSHIPS AND 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Policies and Procedures With Respect to Related Party Transactions</w:t>
      </w:r>
    </w:p>
    <w:p>
      <w:pPr>
        <w:spacing w:after="0" w:line="233"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209"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6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Cleaning/Security/Messenger and Restoration Services</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a director and the former Chairman and current Chairman Emeritus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$3.9 million, $3.9 million and $3.5 million for the years ended December 31, 2018, 2017 and 2016, respectively. We also recorded expenses of approximately $18.8 million, $22.6 million and $23.4 million for the years ended December 31, 2018, 2017 and 2016, respectively, for these services (excluding services provided directly to tenants).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Management Fees</w:t>
      </w:r>
    </w:p>
    <w:p>
      <w:pPr>
        <w:spacing w:after="0" w:line="2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 approximately $0.6 million, $0.5 million and $0.7 million for the years ended December 31, 2018,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Marketing Services</w:t>
      </w:r>
    </w:p>
    <w:p>
      <w:pPr>
        <w:spacing w:after="0" w:line="233" w:lineRule="exact"/>
        <w:rPr>
          <w:sz w:val="20"/>
          <w:szCs w:val="20"/>
          <w:color w:val="auto"/>
        </w:rPr>
      </w:pPr>
    </w:p>
    <w:p>
      <w:pPr>
        <w:jc w:val="both"/>
        <w:ind w:right="680"/>
        <w:spacing w:after="0" w:line="238" w:lineRule="auto"/>
        <w:rPr>
          <w:sz w:val="20"/>
          <w:szCs w:val="20"/>
          <w:color w:val="auto"/>
        </w:rPr>
      </w:pPr>
      <w:r>
        <w:rPr>
          <w:rFonts w:ascii="Arial" w:cs="Arial" w:eastAsia="Arial" w:hAnsi="Arial"/>
          <w:sz w:val="18"/>
          <w:szCs w:val="18"/>
          <w:color w:val="auto"/>
        </w:rPr>
        <w:t>A-List Marketing, LLC, or A-List, provided marketing services to us. Deena Wolff, a sister of Marc Holliday, our Chief Executive Officer and Chairman, is the founder of A-List. We recorded expenses of approximately $0.2 million, $0.3 million and $0.3 million for the years ended December 31, 2018, 2017 and 2016, respectively, for these services.</w:t>
      </w:r>
    </w:p>
    <w:p>
      <w:pPr>
        <w:spacing w:after="0" w:line="208"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CERTAIN RELATIONSHIPS AND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Chairman Emeritus Agreement</w:t>
      </w:r>
    </w:p>
    <w:p>
      <w:pPr>
        <w:spacing w:after="0" w:line="23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December 21, 2018, we and Stephen L. Green, the former Chairman of the Company, entered into a chairman emeritus agreement in connection with Mr. Green’s retirement as Chairman of the Company and transition into the role of Chairman Emeritus. Under the chairman emeritus agreement, Mr. Green will provide services to us as Chairman Emeritus from January 17, 2019 until December 31, 2019, subject to successive one-year renewal periods. For these services, Mr. Green will receive a monthly retainer of $54,167, in addition to any fees to which Mr. Green is entitled as a non-employee director. We will also continue to provide Mr. Green with perquisites under the chairman emeritus agreement consistent with those he previously received as Chairman. In addition, Mr. Green will be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spacing w:after="0" w:line="208"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8"/>
          <w:szCs w:val="18"/>
          <w:color w:val="1A1A1A"/>
        </w:rPr>
        <w:t>2019 Proxy Statement</w:t>
      </w:r>
      <w:r>
        <w:rPr>
          <w:sz w:val="20"/>
          <w:szCs w:val="20"/>
          <w:color w:val="auto"/>
        </w:rPr>
        <w:tab/>
      </w:r>
      <w:r>
        <w:rPr>
          <w:rFonts w:ascii="Arial" w:cs="Arial" w:eastAsia="Arial" w:hAnsi="Arial"/>
          <w:sz w:val="16"/>
          <w:szCs w:val="16"/>
          <w:color w:val="345988"/>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OTHER INFORMATION</w:t>
      </w:r>
    </w:p>
    <w:p>
      <w:pPr>
        <w:spacing w:after="0" w:line="26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2019 annual meeting of stockholders to be held on Thursday, May 30, 2019 at 10:00 a.m., local time, at Convene (The Club Room), 237 Park Avenue, New York, New York, 10017, or at any postponement or adjournment of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Who is entitled to vote at the annual meeting?</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Holders of record of our common stock, $0.01 par value per share, at the close of business on March 29, 2019,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is the purpose of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194" w:lineRule="exact"/>
        <w:rPr>
          <w:sz w:val="20"/>
          <w:szCs w:val="20"/>
          <w:color w:val="auto"/>
        </w:rPr>
      </w:pPr>
    </w:p>
    <w:p>
      <w:pPr>
        <w:ind w:left="540" w:hanging="262"/>
        <w:spacing w:after="0" w:line="260" w:lineRule="auto"/>
        <w:tabs>
          <w:tab w:leader="none" w:pos="540" w:val="left"/>
        </w:tabs>
        <w:numPr>
          <w:ilvl w:val="0"/>
          <w:numId w:val="135"/>
        </w:numPr>
        <w:rPr>
          <w:rFonts w:ascii="Arial" w:cs="Arial" w:eastAsia="Arial" w:hAnsi="Arial"/>
          <w:sz w:val="17"/>
          <w:szCs w:val="17"/>
          <w:color w:val="345988"/>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the six director nominees named in this proxy statement to serve on the Board for a one-year term and until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are duly elected and qualify</w:t>
      </w:r>
    </w:p>
    <w:p>
      <w:pPr>
        <w:spacing w:after="0" w:line="64" w:lineRule="exact"/>
        <w:rPr>
          <w:rFonts w:ascii="Arial" w:cs="Arial" w:eastAsia="Arial" w:hAnsi="Arial"/>
          <w:sz w:val="17"/>
          <w:szCs w:val="17"/>
          <w:color w:val="345988"/>
        </w:rPr>
      </w:pPr>
    </w:p>
    <w:p>
      <w:pPr>
        <w:ind w:left="540" w:right="200" w:hanging="262"/>
        <w:spacing w:after="0" w:line="260" w:lineRule="auto"/>
        <w:tabs>
          <w:tab w:leader="none" w:pos="540" w:val="left"/>
        </w:tabs>
        <w:numPr>
          <w:ilvl w:val="0"/>
          <w:numId w:val="135"/>
        </w:numPr>
        <w:rPr>
          <w:rFonts w:ascii="Arial" w:cs="Arial" w:eastAsia="Arial" w:hAnsi="Arial"/>
          <w:sz w:val="17"/>
          <w:szCs w:val="17"/>
          <w:color w:val="345988"/>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w:t>
      </w:r>
    </w:p>
    <w:p>
      <w:pPr>
        <w:spacing w:after="0" w:line="64" w:lineRule="exact"/>
        <w:rPr>
          <w:rFonts w:ascii="Arial" w:cs="Arial" w:eastAsia="Arial" w:hAnsi="Arial"/>
          <w:sz w:val="17"/>
          <w:szCs w:val="17"/>
          <w:color w:val="345988"/>
        </w:rPr>
      </w:pPr>
    </w:p>
    <w:p>
      <w:pPr>
        <w:ind w:left="540" w:right="20" w:hanging="262"/>
        <w:spacing w:after="0" w:line="260" w:lineRule="auto"/>
        <w:tabs>
          <w:tab w:leader="none" w:pos="540" w:val="left"/>
        </w:tabs>
        <w:numPr>
          <w:ilvl w:val="0"/>
          <w:numId w:val="135"/>
        </w:numPr>
        <w:rPr>
          <w:rFonts w:ascii="Arial" w:cs="Arial" w:eastAsia="Arial" w:hAnsi="Arial"/>
          <w:sz w:val="17"/>
          <w:szCs w:val="17"/>
          <w:color w:val="345988"/>
        </w:rPr>
      </w:pP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2019</w:t>
      </w:r>
    </w:p>
    <w:p>
      <w:pPr>
        <w:spacing w:after="0" w:line="191"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constitutes a quorum?</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84,327,633 shares outstanding and entitled to vote at the annual meeting.</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vote is required to approve each proposal?</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and 3. In respect of Proposals 2 and 3, abstentions and broker non-votes are not counted as votes cast, and therefore will have no effect on the votes for these proposals.</w:t>
      </w:r>
    </w:p>
    <w:p>
      <w:pPr>
        <w:spacing w:after="0" w:line="209"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color w:val="345988"/>
        </w:rPr>
      </w:pPr>
      <w:r>
        <w:rPr>
          <w:rFonts w:ascii="Arial" w:cs="Arial" w:eastAsia="Arial" w:hAnsi="Arial"/>
          <w:sz w:val="18"/>
          <w:szCs w:val="18"/>
          <w:color w:val="1A1A1A"/>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Can I change my vote after I submit my proxy card?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08" w:lineRule="exact"/>
        <w:rPr>
          <w:sz w:val="20"/>
          <w:szCs w:val="20"/>
          <w:color w:val="auto"/>
        </w:rPr>
      </w:pPr>
    </w:p>
    <w:p>
      <w:pPr>
        <w:ind w:left="540" w:hanging="262"/>
        <w:spacing w:after="0"/>
        <w:tabs>
          <w:tab w:leader="none" w:pos="540" w:val="left"/>
        </w:tabs>
        <w:numPr>
          <w:ilvl w:val="0"/>
          <w:numId w:val="137"/>
        </w:numPr>
        <w:rPr>
          <w:rFonts w:ascii="Arial" w:cs="Arial" w:eastAsia="Arial" w:hAnsi="Arial"/>
          <w:sz w:val="17"/>
          <w:szCs w:val="17"/>
          <w:color w:val="345988"/>
        </w:rPr>
      </w:pPr>
      <w:r>
        <w:rPr>
          <w:rFonts w:ascii="Arial" w:cs="Arial" w:eastAsia="Arial" w:hAnsi="Arial"/>
          <w:sz w:val="18"/>
          <w:szCs w:val="18"/>
          <w:color w:val="auto"/>
        </w:rPr>
        <w:t>filing a written notice revoking the proxy with our Secretary at our address</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137"/>
        </w:numPr>
        <w:rPr>
          <w:rFonts w:ascii="Arial" w:cs="Arial" w:eastAsia="Arial" w:hAnsi="Arial"/>
          <w:sz w:val="17"/>
          <w:szCs w:val="17"/>
          <w:color w:val="345988"/>
        </w:rPr>
      </w:pPr>
      <w:r>
        <w:rPr>
          <w:rFonts w:ascii="Arial" w:cs="Arial" w:eastAsia="Arial" w:hAnsi="Arial"/>
          <w:sz w:val="18"/>
          <w:szCs w:val="18"/>
          <w:color w:val="auto"/>
        </w:rPr>
        <w:t>properly signing and forwarding to us a proxy with a later date</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137"/>
        </w:numPr>
        <w:rPr>
          <w:rFonts w:ascii="Arial" w:cs="Arial" w:eastAsia="Arial" w:hAnsi="Arial"/>
          <w:sz w:val="17"/>
          <w:szCs w:val="17"/>
          <w:color w:val="345988"/>
        </w:rPr>
      </w:pPr>
      <w:r>
        <w:rPr>
          <w:rFonts w:ascii="Arial" w:cs="Arial" w:eastAsia="Arial" w:hAnsi="Arial"/>
          <w:sz w:val="18"/>
          <w:szCs w:val="18"/>
          <w:color w:val="auto"/>
        </w:rPr>
        <w:t>appearing in person and voting by ballot at the annual meeting</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20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 I vote?</w:t>
      </w:r>
    </w:p>
    <w:p>
      <w:pPr>
        <w:spacing w:after="0" w:line="2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Voting by Proxy. </w:t>
      </w:r>
      <w:r>
        <w:rPr>
          <w:rFonts w:ascii="Arial" w:cs="Arial" w:eastAsia="Arial" w:hAnsi="Arial"/>
          <w:sz w:val="18"/>
          <w:szCs w:val="18"/>
          <w:color w:val="auto"/>
        </w:rPr>
        <w:t>You should submit your proxy or voting instructions as soon as possible. You can vote by valid proxy received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via the Internet or by mail. The deadline for voting by telephone or electronically via the Internet is 11:59 p.m., Eastern Daylight Time, on May 29, 2019. If voting by mail, you must:</w:t>
      </w:r>
    </w:p>
    <w:p>
      <w:pPr>
        <w:spacing w:after="0" w:line="199" w:lineRule="exact"/>
        <w:rPr>
          <w:sz w:val="20"/>
          <w:szCs w:val="20"/>
          <w:color w:val="auto"/>
        </w:rPr>
      </w:pPr>
    </w:p>
    <w:p>
      <w:pPr>
        <w:ind w:left="540" w:hanging="262"/>
        <w:spacing w:after="0"/>
        <w:tabs>
          <w:tab w:leader="none" w:pos="540" w:val="left"/>
        </w:tabs>
        <w:numPr>
          <w:ilvl w:val="0"/>
          <w:numId w:val="138"/>
        </w:numPr>
        <w:rPr>
          <w:rFonts w:ascii="Arial" w:cs="Arial" w:eastAsia="Arial" w:hAnsi="Arial"/>
          <w:sz w:val="17"/>
          <w:szCs w:val="17"/>
          <w:color w:val="345988"/>
        </w:rPr>
      </w:pPr>
      <w:r>
        <w:rPr>
          <w:rFonts w:ascii="Arial" w:cs="Arial" w:eastAsia="Arial" w:hAnsi="Arial"/>
          <w:sz w:val="18"/>
          <w:szCs w:val="18"/>
          <w:color w:val="auto"/>
        </w:rPr>
        <w:t>indicate your instructions on the proxy</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138"/>
        </w:numPr>
        <w:rPr>
          <w:rFonts w:ascii="Arial" w:cs="Arial" w:eastAsia="Arial" w:hAnsi="Arial"/>
          <w:sz w:val="17"/>
          <w:szCs w:val="17"/>
          <w:color w:val="345988"/>
        </w:rPr>
      </w:pPr>
      <w:r>
        <w:rPr>
          <w:rFonts w:ascii="Arial" w:cs="Arial" w:eastAsia="Arial" w:hAnsi="Arial"/>
          <w:sz w:val="18"/>
          <w:szCs w:val="18"/>
          <w:color w:val="auto"/>
        </w:rPr>
        <w:t>date and sign the proxy</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138"/>
        </w:numPr>
        <w:rPr>
          <w:rFonts w:ascii="Arial" w:cs="Arial" w:eastAsia="Arial" w:hAnsi="Arial"/>
          <w:sz w:val="17"/>
          <w:szCs w:val="17"/>
          <w:color w:val="345988"/>
        </w:rPr>
      </w:pPr>
      <w:r>
        <w:rPr>
          <w:rFonts w:ascii="Arial" w:cs="Arial" w:eastAsia="Arial" w:hAnsi="Arial"/>
          <w:sz w:val="18"/>
          <w:szCs w:val="18"/>
          <w:color w:val="auto"/>
        </w:rPr>
        <w:t>promptly mail the proxy in the enclosed envelope</w:t>
      </w:r>
    </w:p>
    <w:p>
      <w:pPr>
        <w:spacing w:after="0" w:line="103" w:lineRule="exact"/>
        <w:rPr>
          <w:rFonts w:ascii="Arial" w:cs="Arial" w:eastAsia="Arial" w:hAnsi="Arial"/>
          <w:sz w:val="17"/>
          <w:szCs w:val="17"/>
          <w:color w:val="345988"/>
        </w:rPr>
      </w:pPr>
    </w:p>
    <w:p>
      <w:pPr>
        <w:ind w:left="540" w:hanging="262"/>
        <w:spacing w:after="0"/>
        <w:tabs>
          <w:tab w:leader="none" w:pos="540" w:val="left"/>
        </w:tabs>
        <w:numPr>
          <w:ilvl w:val="0"/>
          <w:numId w:val="138"/>
        </w:numPr>
        <w:rPr>
          <w:rFonts w:ascii="Arial" w:cs="Arial" w:eastAsia="Arial" w:hAnsi="Arial"/>
          <w:sz w:val="17"/>
          <w:szCs w:val="17"/>
          <w:color w:val="345988"/>
        </w:rPr>
      </w:pPr>
      <w:r>
        <w:rPr>
          <w:rFonts w:ascii="Arial" w:cs="Arial" w:eastAsia="Arial" w:hAnsi="Arial"/>
          <w:sz w:val="18"/>
          <w:szCs w:val="18"/>
          <w:color w:val="auto"/>
        </w:rPr>
        <w:t>allow sufficient time for the proxy to be received before the date of the annual meeting</w:t>
      </w:r>
    </w:p>
    <w:p>
      <w:pPr>
        <w:spacing w:after="0" w:line="216"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2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Even if you plan to attend the annual meeting, we recommend that you submit a proxy to vote your shares in advance so that your vote will be counted if you later are unable to attend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is my vote counted?</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Ernst &amp; Young LLP as our independent registered public accounting firm for the fiscal year ending December 31, 2019. It is not anticipated that any matters other than those set forth in this proxy statement will be presented at the annual meeting. If other matters are presented, proxies will be voted in accordance with the discretion of the proxy holders.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does the Board recommend that I vote on each of the proposals?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90" w:lineRule="exact"/>
        <w:rPr>
          <w:sz w:val="20"/>
          <w:szCs w:val="20"/>
          <w:color w:val="auto"/>
        </w:rPr>
      </w:pPr>
    </w:p>
    <w:p>
      <w:pPr>
        <w:ind w:left="540" w:right="560" w:hanging="262"/>
        <w:spacing w:after="0" w:line="328" w:lineRule="auto"/>
        <w:tabs>
          <w:tab w:leader="none" w:pos="540" w:val="left"/>
        </w:tabs>
        <w:numPr>
          <w:ilvl w:val="0"/>
          <w:numId w:val="139"/>
        </w:numPr>
        <w:rPr>
          <w:rFonts w:ascii="Arial" w:cs="Arial" w:eastAsia="Arial" w:hAnsi="Arial"/>
          <w:sz w:val="16"/>
          <w:szCs w:val="16"/>
          <w:color w:val="345988"/>
        </w:rPr>
      </w:pPr>
      <w:r>
        <w:rPr>
          <w:rFonts w:ascii="Arial" w:cs="Arial" w:eastAsia="Arial" w:hAnsi="Arial"/>
          <w:sz w:val="16"/>
          <w:szCs w:val="16"/>
          <w:b w:val="1"/>
          <w:bCs w:val="1"/>
          <w:color w:val="auto"/>
        </w:rPr>
        <w:t xml:space="preserve">FOR </w:t>
      </w:r>
      <w:r>
        <w:rPr>
          <w:rFonts w:ascii="Arial" w:cs="Arial" w:eastAsia="Arial" w:hAnsi="Arial"/>
          <w:sz w:val="16"/>
          <w:szCs w:val="16"/>
          <w:i w:val="1"/>
          <w:iCs w:val="1"/>
          <w:color w:val="auto"/>
        </w:rPr>
        <w:t>Proposal 1</w:t>
      </w:r>
      <w:r>
        <w:rPr>
          <w:rFonts w:ascii="Arial" w:cs="Arial" w:eastAsia="Arial" w:hAnsi="Arial"/>
          <w:sz w:val="16"/>
          <w:szCs w:val="16"/>
          <w:color w:val="auto"/>
        </w:rPr>
        <w:t>: the election of John H. Alschuler, Edwin T. Burton, III, Lauren B. Dillard and Stephen L. Green, Craig M. Hatkoff and</w:t>
      </w:r>
      <w:r>
        <w:rPr>
          <w:rFonts w:ascii="Arial" w:cs="Arial" w:eastAsia="Arial" w:hAnsi="Arial"/>
          <w:sz w:val="16"/>
          <w:szCs w:val="16"/>
          <w:b w:val="1"/>
          <w:bCs w:val="1"/>
          <w:color w:val="auto"/>
        </w:rPr>
        <w:t xml:space="preserve"> </w:t>
      </w:r>
      <w:r>
        <w:rPr>
          <w:rFonts w:ascii="Arial" w:cs="Arial" w:eastAsia="Arial" w:hAnsi="Arial"/>
          <w:sz w:val="16"/>
          <w:szCs w:val="16"/>
          <w:color w:val="auto"/>
        </w:rPr>
        <w:t>Andrew W. Mathias as directors to serve on the Board for a one-year term and until their successors are duly elected and qualify</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A1A1A"/>
        </w:rPr>
        <w:t>2019 Proxy Statement</w:t>
      </w:r>
      <w:r>
        <w:rPr>
          <w:sz w:val="20"/>
          <w:szCs w:val="20"/>
          <w:color w:val="auto"/>
        </w:rPr>
        <w:tab/>
      </w:r>
      <w:r>
        <w:rPr>
          <w:rFonts w:ascii="Arial" w:cs="Arial" w:eastAsia="Arial" w:hAnsi="Arial"/>
          <w:sz w:val="16"/>
          <w:szCs w:val="16"/>
          <w:color w:val="345988"/>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OTHER INFORMATION</w:t>
      </w:r>
    </w:p>
    <w:p>
      <w:pPr>
        <w:spacing w:after="0" w:line="190" w:lineRule="exact"/>
        <w:rPr>
          <w:sz w:val="20"/>
          <w:szCs w:val="20"/>
          <w:color w:val="auto"/>
        </w:rPr>
      </w:pPr>
    </w:p>
    <w:p>
      <w:pPr>
        <w:ind w:left="540" w:right="320" w:hanging="262"/>
        <w:spacing w:after="0" w:line="264" w:lineRule="auto"/>
        <w:tabs>
          <w:tab w:leader="none" w:pos="540" w:val="left"/>
        </w:tabs>
        <w:numPr>
          <w:ilvl w:val="0"/>
          <w:numId w:val="140"/>
        </w:numPr>
        <w:rPr>
          <w:rFonts w:ascii="Arial" w:cs="Arial" w:eastAsia="Arial" w:hAnsi="Arial"/>
          <w:sz w:val="17"/>
          <w:szCs w:val="17"/>
          <w:color w:val="345988"/>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pursuant to Item 402 of Regulation S-K</w:t>
      </w:r>
    </w:p>
    <w:p>
      <w:pPr>
        <w:spacing w:after="0" w:line="57" w:lineRule="exact"/>
        <w:rPr>
          <w:rFonts w:ascii="Arial" w:cs="Arial" w:eastAsia="Arial" w:hAnsi="Arial"/>
          <w:sz w:val="17"/>
          <w:szCs w:val="17"/>
          <w:color w:val="345988"/>
        </w:rPr>
      </w:pPr>
    </w:p>
    <w:p>
      <w:pPr>
        <w:ind w:left="540" w:right="60" w:hanging="262"/>
        <w:spacing w:after="0" w:line="264" w:lineRule="auto"/>
        <w:tabs>
          <w:tab w:leader="none" w:pos="540" w:val="left"/>
        </w:tabs>
        <w:numPr>
          <w:ilvl w:val="0"/>
          <w:numId w:val="140"/>
        </w:numPr>
        <w:rPr>
          <w:rFonts w:ascii="Arial" w:cs="Arial" w:eastAsia="Arial" w:hAnsi="Arial"/>
          <w:sz w:val="17"/>
          <w:szCs w:val="17"/>
          <w:color w:val="345988"/>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What other information should I review before voting?</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2018 annual report, including financial statements for the fiscal year ended December 31, 2018, is being made available to you along with this proxy statement. You may obtain, free of charge, copies of our 2018 annual report and our Annual Report on Form 10-K for the fiscal year ended December 31, 2018, which contains additional information about the Company, on our website at http://www.slgreen.com or by directing your request in writing to SL Green Realty Corp., 420 Lexington Avenue, New York, New York 10170-1881, Attention: Investor Relations. The 2018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How do I change how I receive proxy materials in the future?</w:t>
      </w:r>
    </w:p>
    <w:p>
      <w:pPr>
        <w:spacing w:after="0" w:line="23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For this year’s meeting, stockholders will receive paper copies of the proxy materials by mail and will not receive a Notice of Internet Availability of Proxy Materials. For future meetings, stockholders may elect to receive links to proxy materials by e-mail or to receive a paper copy of the proxy materials and a paper proxy card by mail, in each case, instead of receiving a Notice of Internet Availability of Proxy Materials by mail, as applicable.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w:t>
      </w:r>
    </w:p>
    <w:p>
      <w:pPr>
        <w:spacing w:after="0" w:line="18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16-digit control number on your proxy card to sendmaterial@proxyvote.com, via the internet at http://www.proxyvote.com or by telephone at (800) 579-7639. Your election will remain in effect until you change it.</w:t>
      </w:r>
    </w:p>
    <w:p>
      <w:pPr>
        <w:spacing w:after="0" w:line="189"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Solicitation of Proxies</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Stockholder Proposals and Nominations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Proposals for Inclusion in our 2020 Proxy Materials</w:t>
      </w:r>
    </w:p>
    <w:p>
      <w:pPr>
        <w:spacing w:after="0" w:line="2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2020 annual meeting, the proposal must be delivered to our Secretary at the address provided below by December 27, 2019.</w:t>
      </w:r>
    </w:p>
    <w:p>
      <w:pPr>
        <w:spacing w:after="0" w:line="178"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345988"/>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Director Nominations for Inclusion in our 2020 Proxy Materials (Proxy Access)</w:t>
      </w:r>
    </w:p>
    <w:p>
      <w:pPr>
        <w:spacing w:after="0" w:line="2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2020 annual meeting, notice of a proxy access nomination must be delivered to our Secretary at the address provided below no later than December 27, 2019 and no earlier than November 27, 2019.</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Other Proposals or Nominations to be brought before our 2020 Annual Meeting</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bylaws permit a stockholder to propose items of business and/or nominate director candidates that are not intended to be included in our proxy materials if the stockholder complies with the procedures set forth in our bylaws. For the 2020 annual meeting, notice of such proposals or nominations must be delivered to our Secretary at the address provided below no later than March 1, 2020 and no earlier than January 31, 2020.</w:t>
      </w:r>
    </w:p>
    <w:p>
      <w:pPr>
        <w:spacing w:after="0" w:line="178"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If the Company moves the 2020 annual meeting to a date that is more than 25 days before or after the date which is the one year anniversary of this year’s annual meeting date (i.e., May 30, 2020), the Company must receive such notice no later than the close of 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earlier of the day on which the Company makes a public announcement of the meeting date or they day on which notice of the meeting date is first distributed to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435F8C"/>
        </w:rPr>
        <w:t>Address for Submission of Notices and Additional Information</w:t>
      </w:r>
    </w:p>
    <w:p>
      <w:pPr>
        <w:spacing w:after="0" w:line="22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All stockholder nominations of individuals for election as directors or proposals of other items of business to be considered by stockholders at the 2020 annual meeting (whether or not intended for inclusion in our proxy materials) must be submitted in writing to SL Green Realty Corp., 420 Lexington Avenue, New York, New York 10170-1881, Attention: Andrew S. Levine, Secretary.</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45988"/>
        </w:rPr>
        <w:t>Householding of Proxy Materials</w:t>
      </w:r>
    </w:p>
    <w:p>
      <w:pPr>
        <w:spacing w:after="0" w:line="23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209"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31850" cy="2660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3185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25, 2019</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APPENDIX A:</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345988"/>
        </w:rPr>
        <w:t>INFORMATION REGARDING CERTAIN FINANCIAL MEASURES</w:t>
      </w:r>
    </w:p>
    <w:p>
      <w:pPr>
        <w:spacing w:after="0" w:line="2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Below are reconciliations of net income attributable to our stockholders to Normalized FFO per share and FFO per share for the twelve months ended December 31, 2018, 2017, 2016, 2015 and 2014 (amounts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345988"/>
            </w:tcBorders>
          </w:tcPr>
          <w:p>
            <w:pPr>
              <w:spacing w:after="0"/>
              <w:rPr>
                <w:sz w:val="17"/>
                <w:szCs w:val="17"/>
                <w:color w:val="auto"/>
              </w:rPr>
            </w:pPr>
          </w:p>
        </w:tc>
        <w:tc>
          <w:tcPr>
            <w:tcW w:w="920" w:type="dxa"/>
            <w:vAlign w:val="bottom"/>
            <w:tcBorders>
              <w:bottom w:val="single" w:sz="8" w:color="345988"/>
            </w:tcBorders>
          </w:tcPr>
          <w:p>
            <w:pPr>
              <w:spacing w:after="0"/>
              <w:rPr>
                <w:sz w:val="17"/>
                <w:szCs w:val="17"/>
                <w:color w:val="auto"/>
              </w:rPr>
            </w:pPr>
          </w:p>
        </w:tc>
        <w:tc>
          <w:tcPr>
            <w:tcW w:w="160" w:type="dxa"/>
            <w:vAlign w:val="bottom"/>
            <w:tcBorders>
              <w:bottom w:val="single" w:sz="8" w:color="345988"/>
            </w:tcBorders>
          </w:tcPr>
          <w:p>
            <w:pPr>
              <w:spacing w:after="0"/>
              <w:rPr>
                <w:sz w:val="17"/>
                <w:szCs w:val="17"/>
                <w:color w:val="auto"/>
              </w:rPr>
            </w:pPr>
          </w:p>
        </w:tc>
        <w:tc>
          <w:tcPr>
            <w:tcW w:w="220" w:type="dxa"/>
            <w:vAlign w:val="bottom"/>
            <w:tcBorders>
              <w:bottom w:val="single" w:sz="8" w:color="345988"/>
            </w:tcBorders>
          </w:tcPr>
          <w:p>
            <w:pPr>
              <w:spacing w:after="0"/>
              <w:rPr>
                <w:sz w:val="17"/>
                <w:szCs w:val="17"/>
                <w:color w:val="auto"/>
              </w:rPr>
            </w:pPr>
          </w:p>
        </w:tc>
        <w:tc>
          <w:tcPr>
            <w:tcW w:w="2700" w:type="dxa"/>
            <w:vAlign w:val="bottom"/>
            <w:tcBorders>
              <w:bottom w:val="single" w:sz="8" w:color="345988"/>
            </w:tcBorders>
            <w:gridSpan w:val="6"/>
          </w:tcPr>
          <w:p>
            <w:pPr>
              <w:jc w:val="right"/>
              <w:spacing w:after="0"/>
              <w:rPr>
                <w:sz w:val="20"/>
                <w:szCs w:val="20"/>
                <w:color w:val="auto"/>
              </w:rPr>
            </w:pPr>
            <w:r>
              <w:rPr>
                <w:rFonts w:ascii="Arial" w:cs="Arial" w:eastAsia="Arial" w:hAnsi="Arial"/>
                <w:sz w:val="14"/>
                <w:szCs w:val="14"/>
                <w:b w:val="1"/>
                <w:bCs w:val="1"/>
                <w:color w:val="345988"/>
              </w:rPr>
              <w:t>Twelve Months Ended December 31,</w:t>
            </w:r>
          </w:p>
        </w:tc>
        <w:tc>
          <w:tcPr>
            <w:tcW w:w="740" w:type="dxa"/>
            <w:vAlign w:val="bottom"/>
            <w:tcBorders>
              <w:bottom w:val="single" w:sz="8" w:color="345988"/>
            </w:tcBorders>
          </w:tcPr>
          <w:p>
            <w:pPr>
              <w:spacing w:after="0"/>
              <w:rPr>
                <w:sz w:val="17"/>
                <w:szCs w:val="17"/>
                <w:color w:val="auto"/>
              </w:rPr>
            </w:pPr>
          </w:p>
        </w:tc>
        <w:tc>
          <w:tcPr>
            <w:tcW w:w="160" w:type="dxa"/>
            <w:vAlign w:val="bottom"/>
            <w:tcBorders>
              <w:bottom w:val="single" w:sz="8" w:color="345988"/>
            </w:tcBorders>
          </w:tcPr>
          <w:p>
            <w:pPr>
              <w:spacing w:after="0"/>
              <w:rPr>
                <w:sz w:val="17"/>
                <w:szCs w:val="17"/>
                <w:color w:val="auto"/>
              </w:rPr>
            </w:pPr>
          </w:p>
        </w:tc>
        <w:tc>
          <w:tcPr>
            <w:tcW w:w="220" w:type="dxa"/>
            <w:vAlign w:val="bottom"/>
            <w:tcBorders>
              <w:bottom w:val="single" w:sz="8" w:color="345988"/>
            </w:tcBorders>
          </w:tcPr>
          <w:p>
            <w:pPr>
              <w:spacing w:after="0"/>
              <w:rPr>
                <w:sz w:val="17"/>
                <w:szCs w:val="17"/>
                <w:color w:val="auto"/>
              </w:rPr>
            </w:pPr>
          </w:p>
        </w:tc>
        <w:tc>
          <w:tcPr>
            <w:tcW w:w="780" w:type="dxa"/>
            <w:vAlign w:val="bottom"/>
            <w:tcBorders>
              <w:bottom w:val="single" w:sz="8" w:color="345988"/>
            </w:tcBorders>
          </w:tcPr>
          <w:p>
            <w:pPr>
              <w:spacing w:after="0"/>
              <w:rPr>
                <w:sz w:val="17"/>
                <w:szCs w:val="17"/>
                <w:color w:val="auto"/>
              </w:rPr>
            </w:pPr>
          </w:p>
        </w:tc>
      </w:tr>
      <w:tr>
        <w:trPr>
          <w:trHeight w:val="210"/>
        </w:trPr>
        <w:tc>
          <w:tcPr>
            <w:tcW w:w="5120" w:type="dxa"/>
            <w:vAlign w:val="bottom"/>
            <w:tcBorders>
              <w:bottom w:val="single" w:sz="8" w:color="345988"/>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345988"/>
            </w:tcBorders>
          </w:tcPr>
          <w:p>
            <w:pPr>
              <w:spacing w:after="0"/>
              <w:rPr>
                <w:sz w:val="18"/>
                <w:szCs w:val="18"/>
                <w:color w:val="auto"/>
              </w:rPr>
            </w:pPr>
          </w:p>
        </w:tc>
        <w:tc>
          <w:tcPr>
            <w:tcW w:w="920" w:type="dxa"/>
            <w:vAlign w:val="bottom"/>
            <w:tcBorders>
              <w:bottom w:val="single" w:sz="8" w:color="345988"/>
            </w:tcBorders>
          </w:tcPr>
          <w:p>
            <w:pPr>
              <w:jc w:val="right"/>
              <w:ind w:right="333"/>
              <w:spacing w:after="0"/>
              <w:rPr>
                <w:sz w:val="20"/>
                <w:szCs w:val="20"/>
                <w:color w:val="auto"/>
              </w:rPr>
            </w:pPr>
            <w:r>
              <w:rPr>
                <w:rFonts w:ascii="Arial" w:cs="Arial" w:eastAsia="Arial" w:hAnsi="Arial"/>
                <w:sz w:val="14"/>
                <w:szCs w:val="14"/>
                <w:b w:val="1"/>
                <w:bCs w:val="1"/>
                <w:color w:val="345988"/>
              </w:rPr>
              <w:t>2018</w:t>
            </w:r>
          </w:p>
        </w:tc>
        <w:tc>
          <w:tcPr>
            <w:tcW w:w="160" w:type="dxa"/>
            <w:vAlign w:val="bottom"/>
          </w:tcPr>
          <w:p>
            <w:pPr>
              <w:spacing w:after="0"/>
              <w:rPr>
                <w:sz w:val="18"/>
                <w:szCs w:val="18"/>
                <w:color w:val="auto"/>
              </w:rPr>
            </w:pPr>
          </w:p>
        </w:tc>
        <w:tc>
          <w:tcPr>
            <w:tcW w:w="220" w:type="dxa"/>
            <w:vAlign w:val="bottom"/>
            <w:tcBorders>
              <w:bottom w:val="single" w:sz="8" w:color="345988"/>
            </w:tcBorders>
          </w:tcPr>
          <w:p>
            <w:pPr>
              <w:spacing w:after="0"/>
              <w:rPr>
                <w:sz w:val="18"/>
                <w:szCs w:val="18"/>
                <w:color w:val="auto"/>
              </w:rPr>
            </w:pPr>
          </w:p>
        </w:tc>
        <w:tc>
          <w:tcPr>
            <w:tcW w:w="920" w:type="dxa"/>
            <w:vAlign w:val="bottom"/>
            <w:tcBorders>
              <w:bottom w:val="single" w:sz="8" w:color="345988"/>
            </w:tcBorders>
          </w:tcPr>
          <w:p>
            <w:pPr>
              <w:jc w:val="right"/>
              <w:ind w:right="335"/>
              <w:spacing w:after="0"/>
              <w:rPr>
                <w:sz w:val="20"/>
                <w:szCs w:val="20"/>
                <w:color w:val="auto"/>
              </w:rPr>
            </w:pPr>
            <w:r>
              <w:rPr>
                <w:rFonts w:ascii="Arial" w:cs="Arial" w:eastAsia="Arial" w:hAnsi="Arial"/>
                <w:sz w:val="14"/>
                <w:szCs w:val="14"/>
                <w:b w:val="1"/>
                <w:bCs w:val="1"/>
                <w:color w:val="345988"/>
              </w:rPr>
              <w:t>2017</w:t>
            </w:r>
          </w:p>
        </w:tc>
        <w:tc>
          <w:tcPr>
            <w:tcW w:w="160" w:type="dxa"/>
            <w:vAlign w:val="bottom"/>
          </w:tcPr>
          <w:p>
            <w:pPr>
              <w:spacing w:after="0"/>
              <w:rPr>
                <w:sz w:val="18"/>
                <w:szCs w:val="18"/>
                <w:color w:val="auto"/>
              </w:rPr>
            </w:pPr>
          </w:p>
        </w:tc>
        <w:tc>
          <w:tcPr>
            <w:tcW w:w="240" w:type="dxa"/>
            <w:vAlign w:val="bottom"/>
            <w:tcBorders>
              <w:bottom w:val="single" w:sz="8" w:color="345988"/>
            </w:tcBorders>
          </w:tcPr>
          <w:p>
            <w:pPr>
              <w:spacing w:after="0"/>
              <w:rPr>
                <w:sz w:val="18"/>
                <w:szCs w:val="18"/>
                <w:color w:val="auto"/>
              </w:rPr>
            </w:pPr>
          </w:p>
        </w:tc>
        <w:tc>
          <w:tcPr>
            <w:tcW w:w="860" w:type="dxa"/>
            <w:vAlign w:val="bottom"/>
            <w:tcBorders>
              <w:bottom w:val="single" w:sz="8" w:color="345988"/>
            </w:tcBorders>
          </w:tcPr>
          <w:p>
            <w:pPr>
              <w:jc w:val="right"/>
              <w:ind w:right="313"/>
              <w:spacing w:after="0"/>
              <w:rPr>
                <w:sz w:val="20"/>
                <w:szCs w:val="20"/>
                <w:color w:val="auto"/>
              </w:rPr>
            </w:pPr>
            <w:r>
              <w:rPr>
                <w:rFonts w:ascii="Arial" w:cs="Arial" w:eastAsia="Arial" w:hAnsi="Arial"/>
                <w:sz w:val="14"/>
                <w:szCs w:val="14"/>
                <w:b w:val="1"/>
                <w:bCs w:val="1"/>
                <w:color w:val="345988"/>
              </w:rPr>
              <w:t>2016</w:t>
            </w:r>
          </w:p>
        </w:tc>
        <w:tc>
          <w:tcPr>
            <w:tcW w:w="160" w:type="dxa"/>
            <w:vAlign w:val="bottom"/>
          </w:tcPr>
          <w:p>
            <w:pPr>
              <w:spacing w:after="0"/>
              <w:rPr>
                <w:sz w:val="18"/>
                <w:szCs w:val="18"/>
                <w:color w:val="auto"/>
              </w:rPr>
            </w:pPr>
          </w:p>
        </w:tc>
        <w:tc>
          <w:tcPr>
            <w:tcW w:w="360" w:type="dxa"/>
            <w:vAlign w:val="bottom"/>
            <w:tcBorders>
              <w:bottom w:val="single" w:sz="8" w:color="345988"/>
            </w:tcBorders>
          </w:tcPr>
          <w:p>
            <w:pPr>
              <w:spacing w:after="0"/>
              <w:rPr>
                <w:sz w:val="18"/>
                <w:szCs w:val="18"/>
                <w:color w:val="auto"/>
              </w:rPr>
            </w:pPr>
          </w:p>
        </w:tc>
        <w:tc>
          <w:tcPr>
            <w:tcW w:w="740" w:type="dxa"/>
            <w:vAlign w:val="bottom"/>
            <w:tcBorders>
              <w:bottom w:val="single" w:sz="8" w:color="345988"/>
            </w:tcBorders>
          </w:tcPr>
          <w:p>
            <w:pPr>
              <w:jc w:val="right"/>
              <w:ind w:right="314"/>
              <w:spacing w:after="0"/>
              <w:rPr>
                <w:sz w:val="20"/>
                <w:szCs w:val="20"/>
                <w:color w:val="auto"/>
              </w:rPr>
            </w:pPr>
            <w:r>
              <w:rPr>
                <w:rFonts w:ascii="Arial" w:cs="Arial" w:eastAsia="Arial" w:hAnsi="Arial"/>
                <w:sz w:val="14"/>
                <w:szCs w:val="14"/>
                <w:b w:val="1"/>
                <w:bCs w:val="1"/>
                <w:color w:val="345988"/>
              </w:rPr>
              <w:t>2015</w:t>
            </w:r>
          </w:p>
        </w:tc>
        <w:tc>
          <w:tcPr>
            <w:tcW w:w="160" w:type="dxa"/>
            <w:vAlign w:val="bottom"/>
          </w:tcPr>
          <w:p>
            <w:pPr>
              <w:spacing w:after="0"/>
              <w:rPr>
                <w:sz w:val="18"/>
                <w:szCs w:val="18"/>
                <w:color w:val="auto"/>
              </w:rPr>
            </w:pPr>
          </w:p>
        </w:tc>
        <w:tc>
          <w:tcPr>
            <w:tcW w:w="220" w:type="dxa"/>
            <w:vAlign w:val="bottom"/>
            <w:tcBorders>
              <w:bottom w:val="single" w:sz="8" w:color="345988"/>
            </w:tcBorders>
          </w:tcPr>
          <w:p>
            <w:pPr>
              <w:spacing w:after="0"/>
              <w:rPr>
                <w:sz w:val="18"/>
                <w:szCs w:val="18"/>
                <w:color w:val="auto"/>
              </w:rPr>
            </w:pPr>
          </w:p>
        </w:tc>
        <w:tc>
          <w:tcPr>
            <w:tcW w:w="780" w:type="dxa"/>
            <w:vAlign w:val="bottom"/>
            <w:tcBorders>
              <w:bottom w:val="single" w:sz="8" w:color="345988"/>
            </w:tcBorders>
          </w:tcPr>
          <w:p>
            <w:pPr>
              <w:jc w:val="right"/>
              <w:ind w:right="254"/>
              <w:spacing w:after="0"/>
              <w:rPr>
                <w:sz w:val="20"/>
                <w:szCs w:val="20"/>
                <w:color w:val="auto"/>
              </w:rPr>
            </w:pPr>
            <w:r>
              <w:rPr>
                <w:rFonts w:ascii="Arial" w:cs="Arial" w:eastAsia="Arial" w:hAnsi="Arial"/>
                <w:sz w:val="14"/>
                <w:szCs w:val="14"/>
                <w:b w:val="1"/>
                <w:bCs w:val="1"/>
                <w:color w:val="345988"/>
              </w:rPr>
              <w:t>2014</w:t>
            </w:r>
          </w:p>
        </w:tc>
      </w:tr>
      <w:tr>
        <w:trPr>
          <w:trHeight w:val="25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b w:val="1"/>
                <w:bCs w:val="1"/>
                <w:color w:val="auto"/>
              </w:rPr>
              <w:t>FFO Reconciliation:</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attributable to SL Green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common stockholders</w:t>
            </w:r>
          </w:p>
        </w:tc>
        <w:tc>
          <w:tcPr>
            <w:tcW w:w="160" w:type="dxa"/>
            <w:vAlign w:val="bottom"/>
          </w:tcPr>
          <w:p>
            <w:pPr>
              <w:spacing w:after="0"/>
              <w:rPr>
                <w:sz w:val="19"/>
                <w:szCs w:val="19"/>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232,312</w:t>
            </w:r>
          </w:p>
        </w:tc>
        <w:tc>
          <w:tcPr>
            <w:tcW w:w="160" w:type="dxa"/>
            <w:vAlign w:val="bottom"/>
          </w:tcPr>
          <w:p>
            <w:pPr>
              <w:spacing w:after="0"/>
              <w:rPr>
                <w:sz w:val="19"/>
                <w:szCs w:val="19"/>
                <w:color w:val="auto"/>
              </w:rPr>
            </w:pPr>
          </w:p>
        </w:tc>
        <w:tc>
          <w:tcPr>
            <w:tcW w:w="220" w:type="dxa"/>
            <w:vAlign w:val="bottom"/>
            <w:tcBorders>
              <w:bottom w:val="single" w:sz="8" w:color="8590A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86,424</w:t>
            </w:r>
          </w:p>
        </w:tc>
        <w:tc>
          <w:tcPr>
            <w:tcW w:w="160" w:type="dxa"/>
            <w:vAlign w:val="bottom"/>
          </w:tcPr>
          <w:p>
            <w:pPr>
              <w:spacing w:after="0"/>
              <w:rPr>
                <w:sz w:val="19"/>
                <w:szCs w:val="19"/>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234,946</w:t>
            </w:r>
          </w:p>
        </w:tc>
        <w:tc>
          <w:tcPr>
            <w:tcW w:w="160" w:type="dxa"/>
            <w:vAlign w:val="bottom"/>
          </w:tcPr>
          <w:p>
            <w:pPr>
              <w:spacing w:after="0"/>
              <w:rPr>
                <w:sz w:val="19"/>
                <w:szCs w:val="19"/>
                <w:color w:val="auto"/>
              </w:rPr>
            </w:pPr>
          </w:p>
        </w:tc>
        <w:tc>
          <w:tcPr>
            <w:tcW w:w="360" w:type="dxa"/>
            <w:vAlign w:val="bottom"/>
            <w:tcBorders>
              <w:bottom w:val="single" w:sz="8" w:color="8590A9"/>
            </w:tcBorders>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w w:val="95"/>
              </w:rPr>
              <w:t>269,132</w:t>
            </w:r>
          </w:p>
        </w:tc>
        <w:tc>
          <w:tcPr>
            <w:tcW w:w="160" w:type="dxa"/>
            <w:vAlign w:val="bottom"/>
          </w:tcPr>
          <w:p>
            <w:pPr>
              <w:spacing w:after="0"/>
              <w:rPr>
                <w:sz w:val="19"/>
                <w:szCs w:val="19"/>
                <w:color w:val="auto"/>
              </w:rPr>
            </w:pPr>
          </w:p>
        </w:tc>
        <w:tc>
          <w:tcPr>
            <w:tcW w:w="220" w:type="dxa"/>
            <w:vAlign w:val="bottom"/>
            <w:tcBorders>
              <w:bottom w:val="single" w:sz="8" w:color="8590A9"/>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503,104</w:t>
            </w:r>
          </w:p>
        </w:tc>
      </w:tr>
      <w:tr>
        <w:trPr>
          <w:trHeight w:val="493"/>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24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279,507</w:t>
            </w:r>
          </w:p>
        </w:tc>
        <w:tc>
          <w:tcPr>
            <w:tcW w:w="160" w:type="dxa"/>
            <w:vAlign w:val="bottom"/>
          </w:tcPr>
          <w:p>
            <w:pPr>
              <w:spacing w:after="0"/>
              <w:rPr>
                <w:sz w:val="21"/>
                <w:szCs w:val="21"/>
                <w:color w:val="auto"/>
              </w:rPr>
            </w:pPr>
          </w:p>
        </w:tc>
        <w:tc>
          <w:tcPr>
            <w:tcW w:w="22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403,320</w:t>
            </w:r>
          </w:p>
        </w:tc>
        <w:tc>
          <w:tcPr>
            <w:tcW w:w="160" w:type="dxa"/>
            <w:vAlign w:val="bottom"/>
          </w:tcPr>
          <w:p>
            <w:pPr>
              <w:spacing w:after="0"/>
              <w:rPr>
                <w:sz w:val="21"/>
                <w:szCs w:val="21"/>
                <w:color w:val="auto"/>
              </w:rPr>
            </w:pPr>
          </w:p>
        </w:tc>
        <w:tc>
          <w:tcPr>
            <w:tcW w:w="240" w:type="dxa"/>
            <w:vAlign w:val="bottom"/>
            <w:tcBorders>
              <w:bottom w:val="single" w:sz="8" w:color="8590A9"/>
            </w:tcBorders>
          </w:tcPr>
          <w:p>
            <w:pPr>
              <w:spacing w:after="0"/>
              <w:rPr>
                <w:sz w:val="21"/>
                <w:szCs w:val="21"/>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821,041</w:t>
            </w:r>
          </w:p>
        </w:tc>
        <w:tc>
          <w:tcPr>
            <w:tcW w:w="160" w:type="dxa"/>
            <w:vAlign w:val="bottom"/>
          </w:tcPr>
          <w:p>
            <w:pPr>
              <w:spacing w:after="0"/>
              <w:rPr>
                <w:sz w:val="21"/>
                <w:szCs w:val="21"/>
                <w:color w:val="auto"/>
              </w:rPr>
            </w:pPr>
          </w:p>
        </w:tc>
        <w:tc>
          <w:tcPr>
            <w:tcW w:w="360" w:type="dxa"/>
            <w:vAlign w:val="bottom"/>
            <w:tcBorders>
              <w:bottom w:val="single" w:sz="8" w:color="8590A9"/>
            </w:tcBorders>
          </w:tcPr>
          <w:p>
            <w:pPr>
              <w:spacing w:after="0"/>
              <w:rPr>
                <w:sz w:val="21"/>
                <w:szCs w:val="21"/>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w w:val="95"/>
              </w:rPr>
              <w:t>560,887</w:t>
            </w:r>
          </w:p>
        </w:tc>
        <w:tc>
          <w:tcPr>
            <w:tcW w:w="160" w:type="dxa"/>
            <w:vAlign w:val="bottom"/>
          </w:tcPr>
          <w:p>
            <w:pPr>
              <w:spacing w:after="0"/>
              <w:rPr>
                <w:sz w:val="21"/>
                <w:szCs w:val="21"/>
                <w:color w:val="auto"/>
              </w:rPr>
            </w:pPr>
          </w:p>
        </w:tc>
        <w:tc>
          <w:tcPr>
            <w:tcW w:w="220" w:type="dxa"/>
            <w:vAlign w:val="bottom"/>
            <w:tcBorders>
              <w:bottom w:val="single" w:sz="8" w:color="8590A9"/>
            </w:tcBorders>
          </w:tcPr>
          <w:p>
            <w:pPr>
              <w:spacing w:after="0"/>
              <w:rPr>
                <w:sz w:val="21"/>
                <w:szCs w:val="21"/>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371,610</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Discontinued operations depreciation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5,581</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Joint venture depreciation and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noncontrolling interest adjustments</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187,147</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69,853</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34,226</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33,487</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12,210</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(11,706)</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17,780</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26,408</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25,057</w:t>
            </w:r>
          </w:p>
        </w:tc>
      </w:tr>
      <w:tr>
        <w:trPr>
          <w:trHeight w:val="507"/>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(Loss) gain on sale of real estate and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discontinued operations, net</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(30,757)</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73,241</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238,116</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w w:val="95"/>
              </w:rPr>
              <w:t>190,096</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163,059</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Equity in net gain on sale of interest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 unconsolidated joint venture/real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estate</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303,967</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16,166</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44,009</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15,844</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123,253</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Purchase price and other fair value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57,385</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40,078</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67,446</w:t>
            </w:r>
          </w:p>
        </w:tc>
      </w:tr>
      <w:tr>
        <w:trPr>
          <w:trHeight w:val="25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Depreciable real estate reserves and impairment</w:t>
            </w:r>
          </w:p>
        </w:tc>
        <w:tc>
          <w:tcPr>
            <w:tcW w:w="160" w:type="dxa"/>
            <w:vAlign w:val="bottom"/>
          </w:tcPr>
          <w:p>
            <w:pPr>
              <w:spacing w:after="0"/>
              <w:rPr>
                <w:sz w:val="21"/>
                <w:szCs w:val="21"/>
                <w:color w:val="auto"/>
              </w:rPr>
            </w:pPr>
          </w:p>
        </w:tc>
        <w:tc>
          <w:tcPr>
            <w:tcW w:w="24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(227,543)</w:t>
            </w:r>
          </w:p>
        </w:tc>
        <w:tc>
          <w:tcPr>
            <w:tcW w:w="160" w:type="dxa"/>
            <w:vAlign w:val="bottom"/>
          </w:tcPr>
          <w:p>
            <w:pPr>
              <w:spacing w:after="0"/>
              <w:rPr>
                <w:sz w:val="21"/>
                <w:szCs w:val="21"/>
                <w:color w:val="auto"/>
              </w:rPr>
            </w:pPr>
          </w:p>
        </w:tc>
        <w:tc>
          <w:tcPr>
            <w:tcW w:w="220" w:type="dxa"/>
            <w:vAlign w:val="bottom"/>
            <w:tcBorders>
              <w:bottom w:val="single" w:sz="8" w:color="8590A9"/>
            </w:tcBorders>
          </w:tcPr>
          <w:p>
            <w:pPr>
              <w:spacing w:after="0"/>
              <w:rPr>
                <w:sz w:val="21"/>
                <w:szCs w:val="21"/>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(178,520)</w:t>
            </w:r>
          </w:p>
        </w:tc>
        <w:tc>
          <w:tcPr>
            <w:tcW w:w="160" w:type="dxa"/>
            <w:vAlign w:val="bottom"/>
          </w:tcPr>
          <w:p>
            <w:pPr>
              <w:spacing w:after="0"/>
              <w:rPr>
                <w:sz w:val="21"/>
                <w:szCs w:val="21"/>
                <w:color w:val="auto"/>
              </w:rPr>
            </w:pPr>
          </w:p>
        </w:tc>
        <w:tc>
          <w:tcPr>
            <w:tcW w:w="240" w:type="dxa"/>
            <w:vAlign w:val="bottom"/>
            <w:tcBorders>
              <w:bottom w:val="single" w:sz="8" w:color="8590A9"/>
            </w:tcBorders>
          </w:tcPr>
          <w:p>
            <w:pPr>
              <w:spacing w:after="0"/>
              <w:rPr>
                <w:sz w:val="21"/>
                <w:szCs w:val="21"/>
                <w:color w:val="auto"/>
              </w:rPr>
            </w:pPr>
          </w:p>
        </w:tc>
        <w:tc>
          <w:tcPr>
            <w:tcW w:w="86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(10,387)</w:t>
            </w:r>
          </w:p>
        </w:tc>
        <w:tc>
          <w:tcPr>
            <w:tcW w:w="160" w:type="dxa"/>
            <w:vAlign w:val="bottom"/>
          </w:tcPr>
          <w:p>
            <w:pPr>
              <w:spacing w:after="0"/>
              <w:rPr>
                <w:sz w:val="21"/>
                <w:szCs w:val="21"/>
                <w:color w:val="auto"/>
              </w:rPr>
            </w:pPr>
          </w:p>
        </w:tc>
        <w:tc>
          <w:tcPr>
            <w:tcW w:w="360" w:type="dxa"/>
            <w:vAlign w:val="bottom"/>
            <w:tcBorders>
              <w:bottom w:val="single" w:sz="8" w:color="8590A9"/>
            </w:tcBorders>
          </w:tcPr>
          <w:p>
            <w:pPr>
              <w:spacing w:after="0"/>
              <w:rPr>
                <w:sz w:val="21"/>
                <w:szCs w:val="21"/>
                <w:color w:val="auto"/>
              </w:rPr>
            </w:pPr>
          </w:p>
        </w:tc>
        <w:tc>
          <w:tcPr>
            <w:tcW w:w="74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(19,226)</w:t>
            </w:r>
          </w:p>
        </w:tc>
        <w:tc>
          <w:tcPr>
            <w:tcW w:w="160" w:type="dxa"/>
            <w:vAlign w:val="bottom"/>
          </w:tcPr>
          <w:p>
            <w:pPr>
              <w:spacing w:after="0"/>
              <w:rPr>
                <w:sz w:val="21"/>
                <w:szCs w:val="21"/>
                <w:color w:val="auto"/>
              </w:rPr>
            </w:pPr>
          </w:p>
        </w:tc>
        <w:tc>
          <w:tcPr>
            <w:tcW w:w="220" w:type="dxa"/>
            <w:vAlign w:val="bottom"/>
            <w:tcBorders>
              <w:bottom w:val="single" w:sz="8" w:color="8590A9"/>
            </w:tcBorders>
          </w:tcPr>
          <w:p>
            <w:pPr>
              <w:spacing w:after="0"/>
              <w:rPr>
                <w:sz w:val="21"/>
                <w:szCs w:val="21"/>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Depreciation on non-rental</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real estate assets</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2,045</w:t>
            </w:r>
          </w:p>
        </w:tc>
      </w:tr>
      <w:tr>
        <w:trPr>
          <w:trHeight w:val="211"/>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Funds From Operations attributable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to SL Green common stockholders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2"/>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b w:val="1"/>
                <w:bCs w:val="1"/>
                <w:color w:val="auto"/>
              </w:rPr>
              <w:t>and noncontrolling interests</w:t>
            </w:r>
          </w:p>
        </w:tc>
        <w:tc>
          <w:tcPr>
            <w:tcW w:w="160" w:type="dxa"/>
            <w:vAlign w:val="bottom"/>
          </w:tcPr>
          <w:p>
            <w:pPr>
              <w:spacing w:after="0"/>
              <w:rPr>
                <w:sz w:val="21"/>
                <w:szCs w:val="21"/>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605,720</w:t>
            </w:r>
          </w:p>
        </w:tc>
        <w:tc>
          <w:tcPr>
            <w:tcW w:w="160" w:type="dxa"/>
            <w:vAlign w:val="bottom"/>
          </w:tcPr>
          <w:p>
            <w:pPr>
              <w:spacing w:after="0"/>
              <w:rPr>
                <w:sz w:val="21"/>
                <w:szCs w:val="21"/>
                <w:color w:val="auto"/>
              </w:rPr>
            </w:pPr>
          </w:p>
        </w:tc>
        <w:tc>
          <w:tcPr>
            <w:tcW w:w="220" w:type="dxa"/>
            <w:vAlign w:val="bottom"/>
            <w:tcBorders>
              <w:bottom w:val="single" w:sz="8" w:color="8590A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667,294</w:t>
            </w:r>
          </w:p>
        </w:tc>
        <w:tc>
          <w:tcPr>
            <w:tcW w:w="160" w:type="dxa"/>
            <w:vAlign w:val="bottom"/>
          </w:tcPr>
          <w:p>
            <w:pPr>
              <w:spacing w:after="0"/>
              <w:rPr>
                <w:sz w:val="21"/>
                <w:szCs w:val="21"/>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869,855</w:t>
            </w:r>
          </w:p>
        </w:tc>
        <w:tc>
          <w:tcPr>
            <w:tcW w:w="160" w:type="dxa"/>
            <w:vAlign w:val="bottom"/>
          </w:tcPr>
          <w:p>
            <w:pPr>
              <w:spacing w:after="0"/>
              <w:rPr>
                <w:sz w:val="21"/>
                <w:szCs w:val="21"/>
                <w:color w:val="auto"/>
              </w:rPr>
            </w:pPr>
          </w:p>
        </w:tc>
        <w:tc>
          <w:tcPr>
            <w:tcW w:w="360" w:type="dxa"/>
            <w:vAlign w:val="bottom"/>
            <w:tcBorders>
              <w:bottom w:val="single" w:sz="8" w:color="8590A9"/>
            </w:tcBorders>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w w:val="95"/>
              </w:rPr>
              <w:t>661,825</w:t>
            </w:r>
          </w:p>
        </w:tc>
        <w:tc>
          <w:tcPr>
            <w:tcW w:w="160" w:type="dxa"/>
            <w:vAlign w:val="bottom"/>
          </w:tcPr>
          <w:p>
            <w:pPr>
              <w:spacing w:after="0"/>
              <w:rPr>
                <w:sz w:val="21"/>
                <w:szCs w:val="21"/>
                <w:color w:val="auto"/>
              </w:rPr>
            </w:pPr>
          </w:p>
        </w:tc>
        <w:tc>
          <w:tcPr>
            <w:tcW w:w="220" w:type="dxa"/>
            <w:vAlign w:val="bottom"/>
            <w:tcBorders>
              <w:bottom w:val="single" w:sz="8" w:color="8590A9"/>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583,036</w:t>
            </w: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FFO attributable to the early</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repayment of the debt at One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Madison Avenue in 2018</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(14,889)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FFO attributable to the write-off of</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accounting related balances and the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2017 portion of the lease termination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fee related to the sale of 388-390</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Greenwich Street to Citigroup, Inc.</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in 2016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126,905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1"/>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Normalized Funds From Operations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attributable to SL Green common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stockholders and noncontrolling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2"/>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b w:val="1"/>
                <w:bCs w:val="1"/>
                <w:color w:val="auto"/>
              </w:rPr>
              <w:t>interests</w:t>
            </w:r>
          </w:p>
        </w:tc>
        <w:tc>
          <w:tcPr>
            <w:tcW w:w="160" w:type="dxa"/>
            <w:vAlign w:val="bottom"/>
          </w:tcPr>
          <w:p>
            <w:pPr>
              <w:spacing w:after="0"/>
              <w:rPr>
                <w:sz w:val="21"/>
                <w:szCs w:val="21"/>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620,609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742,950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3"/>
        </w:trPr>
        <w:tc>
          <w:tcPr>
            <w:tcW w:w="5280" w:type="dxa"/>
            <w:vAlign w:val="bottom"/>
            <w:gridSpan w:val="2"/>
          </w:tcPr>
          <w:p>
            <w:pPr>
              <w:spacing w:after="0"/>
              <w:rPr>
                <w:sz w:val="20"/>
                <w:szCs w:val="20"/>
                <w:color w:val="auto"/>
              </w:rPr>
            </w:pPr>
            <w:r>
              <w:rPr>
                <w:rFonts w:ascii="Arial" w:cs="Arial" w:eastAsia="Arial" w:hAnsi="Arial"/>
                <w:sz w:val="18"/>
                <w:szCs w:val="18"/>
                <w:color w:val="auto"/>
              </w:rPr>
              <w:t>Diluted weighted average shares and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120" w:type="dxa"/>
            <w:vAlign w:val="bottom"/>
            <w:tcBorders>
              <w:bottom w:val="single" w:sz="8" w:color="8590A9"/>
            </w:tcBorders>
          </w:tcPr>
          <w:p>
            <w:pPr>
              <w:spacing w:after="0"/>
              <w:rPr>
                <w:sz w:val="20"/>
                <w:szCs w:val="20"/>
                <w:color w:val="auto"/>
              </w:rPr>
            </w:pPr>
            <w:r>
              <w:rPr>
                <w:rFonts w:ascii="Arial" w:cs="Arial" w:eastAsia="Arial" w:hAnsi="Arial"/>
                <w:sz w:val="18"/>
                <w:szCs w:val="18"/>
                <w:color w:val="auto"/>
              </w:rPr>
              <w:t>units outstanding</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91,530</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92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103,403</w:t>
            </w:r>
          </w:p>
        </w:tc>
        <w:tc>
          <w:tcPr>
            <w:tcW w:w="160" w:type="dxa"/>
            <w:vAlign w:val="bottom"/>
          </w:tcPr>
          <w:p>
            <w:pPr>
              <w:spacing w:after="0"/>
              <w:rPr>
                <w:sz w:val="19"/>
                <w:szCs w:val="19"/>
                <w:color w:val="auto"/>
              </w:rPr>
            </w:pPr>
          </w:p>
        </w:tc>
        <w:tc>
          <w:tcPr>
            <w:tcW w:w="240" w:type="dxa"/>
            <w:vAlign w:val="bottom"/>
            <w:tcBorders>
              <w:bottom w:val="single" w:sz="8" w:color="8590A9"/>
            </w:tcBorders>
          </w:tcPr>
          <w:p>
            <w:pPr>
              <w:spacing w:after="0"/>
              <w:rPr>
                <w:sz w:val="19"/>
                <w:szCs w:val="19"/>
                <w:color w:val="auto"/>
              </w:rPr>
            </w:pPr>
          </w:p>
        </w:tc>
        <w:tc>
          <w:tcPr>
            <w:tcW w:w="86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104,880</w:t>
            </w:r>
          </w:p>
        </w:tc>
        <w:tc>
          <w:tcPr>
            <w:tcW w:w="160" w:type="dxa"/>
            <w:vAlign w:val="bottom"/>
          </w:tcPr>
          <w:p>
            <w:pPr>
              <w:spacing w:after="0"/>
              <w:rPr>
                <w:sz w:val="19"/>
                <w:szCs w:val="19"/>
                <w:color w:val="auto"/>
              </w:rPr>
            </w:pPr>
          </w:p>
        </w:tc>
        <w:tc>
          <w:tcPr>
            <w:tcW w:w="360" w:type="dxa"/>
            <w:vAlign w:val="bottom"/>
            <w:tcBorders>
              <w:bottom w:val="single" w:sz="8" w:color="8590A9"/>
            </w:tcBorders>
          </w:tcPr>
          <w:p>
            <w:pPr>
              <w:spacing w:after="0"/>
              <w:rPr>
                <w:sz w:val="19"/>
                <w:szCs w:val="19"/>
                <w:color w:val="auto"/>
              </w:rPr>
            </w:pPr>
          </w:p>
        </w:tc>
        <w:tc>
          <w:tcPr>
            <w:tcW w:w="740" w:type="dxa"/>
            <w:vAlign w:val="bottom"/>
            <w:tcBorders>
              <w:bottom w:val="single" w:sz="8" w:color="8590A9"/>
            </w:tcBorders>
          </w:tcPr>
          <w:p>
            <w:pPr>
              <w:jc w:val="right"/>
              <w:ind w:right="14"/>
              <w:spacing w:after="0"/>
              <w:rPr>
                <w:sz w:val="20"/>
                <w:szCs w:val="20"/>
                <w:color w:val="auto"/>
              </w:rPr>
            </w:pPr>
            <w:r>
              <w:rPr>
                <w:rFonts w:ascii="Arial" w:cs="Arial" w:eastAsia="Arial" w:hAnsi="Arial"/>
                <w:sz w:val="18"/>
                <w:szCs w:val="18"/>
                <w:color w:val="auto"/>
                <w:w w:val="95"/>
              </w:rPr>
              <w:t>103,735</w:t>
            </w:r>
          </w:p>
        </w:tc>
        <w:tc>
          <w:tcPr>
            <w:tcW w:w="160" w:type="dxa"/>
            <w:vAlign w:val="bottom"/>
          </w:tcPr>
          <w:p>
            <w:pPr>
              <w:spacing w:after="0"/>
              <w:rPr>
                <w:sz w:val="19"/>
                <w:szCs w:val="19"/>
                <w:color w:val="auto"/>
              </w:rPr>
            </w:pPr>
          </w:p>
        </w:tc>
        <w:tc>
          <w:tcPr>
            <w:tcW w:w="220" w:type="dxa"/>
            <w:vAlign w:val="bottom"/>
            <w:tcBorders>
              <w:bottom w:val="single" w:sz="8" w:color="8590A9"/>
            </w:tcBorders>
          </w:tcPr>
          <w:p>
            <w:pPr>
              <w:spacing w:after="0"/>
              <w:rPr>
                <w:sz w:val="19"/>
                <w:szCs w:val="19"/>
                <w:color w:val="auto"/>
              </w:rPr>
            </w:pPr>
          </w:p>
        </w:tc>
        <w:tc>
          <w:tcPr>
            <w:tcW w:w="780" w:type="dxa"/>
            <w:vAlign w:val="bottom"/>
            <w:tcBorders>
              <w:bottom w:val="single" w:sz="8" w:color="8590A9"/>
            </w:tcBorders>
          </w:tcPr>
          <w:p>
            <w:pPr>
              <w:jc w:val="right"/>
              <w:spacing w:after="0"/>
              <w:rPr>
                <w:sz w:val="20"/>
                <w:szCs w:val="20"/>
                <w:color w:val="auto"/>
              </w:rPr>
            </w:pPr>
            <w:r>
              <w:rPr>
                <w:rFonts w:ascii="Arial" w:cs="Arial" w:eastAsia="Arial" w:hAnsi="Arial"/>
                <w:sz w:val="18"/>
                <w:szCs w:val="18"/>
                <w:color w:val="auto"/>
              </w:rPr>
              <w:t>99,696</w:t>
            </w:r>
          </w:p>
        </w:tc>
      </w:tr>
      <w:tr>
        <w:trPr>
          <w:trHeight w:val="264"/>
        </w:trPr>
        <w:tc>
          <w:tcPr>
            <w:tcW w:w="5120" w:type="dxa"/>
            <w:vAlign w:val="bottom"/>
            <w:tcBorders>
              <w:bottom w:val="single" w:sz="8" w:color="345988"/>
            </w:tcBorders>
          </w:tcPr>
          <w:p>
            <w:pPr>
              <w:spacing w:after="0"/>
              <w:rPr>
                <w:sz w:val="20"/>
                <w:szCs w:val="20"/>
                <w:color w:val="auto"/>
              </w:rPr>
            </w:pPr>
            <w:r>
              <w:rPr>
                <w:rFonts w:ascii="Arial" w:cs="Arial" w:eastAsia="Arial" w:hAnsi="Arial"/>
                <w:sz w:val="18"/>
                <w:szCs w:val="18"/>
                <w:b w:val="1"/>
                <w:bCs w:val="1"/>
                <w:color w:val="auto"/>
              </w:rPr>
              <w:t>Normalized FFO / FFO per share</w:t>
            </w:r>
          </w:p>
        </w:tc>
        <w:tc>
          <w:tcPr>
            <w:tcW w:w="160" w:type="dxa"/>
            <w:vAlign w:val="bottom"/>
          </w:tcPr>
          <w:p>
            <w:pPr>
              <w:spacing w:after="0"/>
              <w:rPr>
                <w:sz w:val="22"/>
                <w:szCs w:val="22"/>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45988"/>
            </w:tcBorders>
          </w:tcPr>
          <w:p>
            <w:pPr>
              <w:jc w:val="right"/>
              <w:ind w:right="13"/>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22"/>
                <w:szCs w:val="22"/>
                <w:color w:val="auto"/>
              </w:rPr>
            </w:pPr>
          </w:p>
        </w:tc>
        <w:tc>
          <w:tcPr>
            <w:tcW w:w="220" w:type="dxa"/>
            <w:vAlign w:val="bottom"/>
            <w:tcBorders>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22"/>
                <w:szCs w:val="22"/>
                <w:color w:val="auto"/>
              </w:rPr>
            </w:pPr>
          </w:p>
        </w:tc>
        <w:tc>
          <w:tcPr>
            <w:tcW w:w="240" w:type="dxa"/>
            <w:vAlign w:val="bottom"/>
            <w:tcBorders>
              <w:bottom w:val="single" w:sz="8" w:color="345988"/>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345988"/>
            </w:tcBorders>
          </w:tcPr>
          <w:p>
            <w:pPr>
              <w:jc w:val="right"/>
              <w:ind w:right="13"/>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22"/>
                <w:szCs w:val="22"/>
                <w:color w:val="auto"/>
              </w:rPr>
            </w:pPr>
          </w:p>
        </w:tc>
        <w:tc>
          <w:tcPr>
            <w:tcW w:w="360" w:type="dxa"/>
            <w:vAlign w:val="bottom"/>
            <w:tcBorders>
              <w:bottom w:val="single" w:sz="8" w:color="345988"/>
            </w:tcBorders>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345988"/>
            </w:tcBorders>
          </w:tcPr>
          <w:p>
            <w:pPr>
              <w:jc w:val="right"/>
              <w:ind w:right="14"/>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22"/>
                <w:szCs w:val="22"/>
                <w:color w:val="auto"/>
              </w:rPr>
            </w:pPr>
          </w:p>
        </w:tc>
        <w:tc>
          <w:tcPr>
            <w:tcW w:w="220" w:type="dxa"/>
            <w:vAlign w:val="bottom"/>
            <w:tcBorders>
              <w:bottom w:val="single" w:sz="8" w:color="345988"/>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345988"/>
            </w:tcBorders>
          </w:tcPr>
          <w:p>
            <w:pPr>
              <w:jc w:val="right"/>
              <w:spacing w:after="0"/>
              <w:rPr>
                <w:sz w:val="20"/>
                <w:szCs w:val="20"/>
                <w:color w:val="auto"/>
              </w:rPr>
            </w:pPr>
            <w:r>
              <w:rPr>
                <w:rFonts w:ascii="Arial" w:cs="Arial" w:eastAsia="Arial" w:hAnsi="Arial"/>
                <w:sz w:val="18"/>
                <w:szCs w:val="18"/>
                <w:color w:val="auto"/>
              </w:rPr>
              <w:t>5.85</w:t>
            </w:r>
          </w:p>
        </w:tc>
      </w:tr>
    </w:tbl>
    <w:p>
      <w:pPr>
        <w:spacing w:after="0" w:line="21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45988"/>
        </w:rPr>
        <w:t>APPENDIX A: INFORMATION REGARDING CERTAIN FINANCIAL MEASURES</w:t>
      </w:r>
    </w:p>
    <w:p>
      <w:pPr>
        <w:spacing w:after="0" w:line="21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Below are reconciliations of net income to operating income, same-store cash net operating income and same-store cash net operating income excluding lease termination income for the twelve months ended December 31, 2018 and 2017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345988"/>
              </w:rPr>
              <w:t>Twelve Months Ended</w:t>
            </w:r>
          </w:p>
        </w:tc>
      </w:tr>
      <w:tr>
        <w:trPr>
          <w:trHeight w:val="199"/>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345988"/>
            </w:tcBorders>
          </w:tcPr>
          <w:p>
            <w:pPr>
              <w:spacing w:after="0"/>
              <w:rPr>
                <w:sz w:val="17"/>
                <w:szCs w:val="17"/>
                <w:color w:val="auto"/>
              </w:rPr>
            </w:pPr>
          </w:p>
        </w:tc>
        <w:tc>
          <w:tcPr>
            <w:tcW w:w="1440" w:type="dxa"/>
            <w:vAlign w:val="bottom"/>
            <w:tcBorders>
              <w:bottom w:val="single" w:sz="8" w:color="345988"/>
            </w:tcBorders>
            <w:gridSpan w:val="3"/>
          </w:tcPr>
          <w:p>
            <w:pPr>
              <w:jc w:val="right"/>
              <w:spacing w:after="0"/>
              <w:rPr>
                <w:sz w:val="20"/>
                <w:szCs w:val="20"/>
                <w:color w:val="auto"/>
              </w:rPr>
            </w:pPr>
            <w:r>
              <w:rPr>
                <w:rFonts w:ascii="Arial" w:cs="Arial" w:eastAsia="Arial" w:hAnsi="Arial"/>
                <w:sz w:val="14"/>
                <w:szCs w:val="14"/>
                <w:b w:val="1"/>
                <w:bCs w:val="1"/>
                <w:color w:val="345988"/>
              </w:rPr>
              <w:t>December 31,</w:t>
            </w:r>
          </w:p>
        </w:tc>
        <w:tc>
          <w:tcPr>
            <w:tcW w:w="780" w:type="dxa"/>
            <w:vAlign w:val="bottom"/>
            <w:tcBorders>
              <w:bottom w:val="single" w:sz="8" w:color="345988"/>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45988"/>
              </w:rPr>
              <w:t>2018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345988"/>
              </w:rPr>
              <w:t>2017</w:t>
            </w:r>
          </w:p>
        </w:tc>
      </w:tr>
      <w:tr>
        <w:trPr>
          <w:trHeight w:val="48"/>
        </w:trPr>
        <w:tc>
          <w:tcPr>
            <w:tcW w:w="88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8"/>
        </w:trPr>
        <w:tc>
          <w:tcPr>
            <w:tcW w:w="20" w:type="dxa"/>
            <w:vAlign w:val="bottom"/>
          </w:tcPr>
          <w:p>
            <w:pPr>
              <w:spacing w:after="0"/>
              <w:rPr>
                <w:sz w:val="20"/>
                <w:szCs w:val="20"/>
                <w:color w:val="auto"/>
              </w:rPr>
            </w:pPr>
          </w:p>
        </w:tc>
        <w:tc>
          <w:tcPr>
            <w:tcW w:w="8780" w:type="dxa"/>
            <w:vAlign w:val="bottom"/>
            <w:tcBorders>
              <w:top w:val="single" w:sz="8" w:color="345988"/>
              <w:bottom w:val="single" w:sz="8" w:color="8590A9"/>
            </w:tcBorders>
          </w:tcPr>
          <w:p>
            <w:pPr>
              <w:spacing w:after="0"/>
              <w:rPr>
                <w:sz w:val="20"/>
                <w:szCs w:val="20"/>
                <w:color w:val="auto"/>
              </w:rPr>
            </w:pPr>
            <w:r>
              <w:rPr>
                <w:rFonts w:ascii="Arial" w:cs="Arial" w:eastAsia="Arial" w:hAnsi="Arial"/>
                <w:sz w:val="18"/>
                <w:szCs w:val="18"/>
                <w:b w:val="1"/>
                <w:bCs w:val="1"/>
                <w:color w:val="auto"/>
              </w:rPr>
              <w:t>Operating Income and Same-store cash NOI Reconciliation:</w:t>
            </w:r>
          </w:p>
        </w:tc>
        <w:tc>
          <w:tcPr>
            <w:tcW w:w="160" w:type="dxa"/>
            <w:vAlign w:val="bottom"/>
          </w:tcPr>
          <w:p>
            <w:pPr>
              <w:spacing w:after="0"/>
              <w:rPr>
                <w:sz w:val="20"/>
                <w:szCs w:val="20"/>
                <w:color w:val="auto"/>
              </w:rPr>
            </w:pPr>
          </w:p>
        </w:tc>
        <w:tc>
          <w:tcPr>
            <w:tcW w:w="240" w:type="dxa"/>
            <w:vAlign w:val="bottom"/>
            <w:tcBorders>
              <w:top w:val="single" w:sz="8" w:color="345988"/>
              <w:bottom w:val="single" w:sz="8" w:color="8590A9"/>
            </w:tcBorders>
          </w:tcPr>
          <w:p>
            <w:pPr>
              <w:spacing w:after="0"/>
              <w:rPr>
                <w:sz w:val="20"/>
                <w:szCs w:val="20"/>
                <w:color w:val="auto"/>
              </w:rPr>
            </w:pPr>
          </w:p>
        </w:tc>
        <w:tc>
          <w:tcPr>
            <w:tcW w:w="900" w:type="dxa"/>
            <w:vAlign w:val="bottom"/>
            <w:tcBorders>
              <w:top w:val="single" w:sz="8" w:color="345988"/>
              <w:bottom w:val="single" w:sz="8" w:color="8590A9"/>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345988"/>
              <w:bottom w:val="single" w:sz="8" w:color="8590A9"/>
            </w:tcBorders>
          </w:tcPr>
          <w:p>
            <w:pPr>
              <w:spacing w:after="0"/>
              <w:rPr>
                <w:sz w:val="20"/>
                <w:szCs w:val="20"/>
                <w:color w:val="auto"/>
              </w:rPr>
            </w:pPr>
          </w:p>
        </w:tc>
        <w:tc>
          <w:tcPr>
            <w:tcW w:w="780" w:type="dxa"/>
            <w:vAlign w:val="bottom"/>
            <w:tcBorders>
              <w:top w:val="single" w:sz="8" w:color="345988"/>
              <w:bottom w:val="single" w:sz="8" w:color="8590A9"/>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780" w:type="dxa"/>
            <w:vAlign w:val="bottom"/>
            <w:tcBorders>
              <w:bottom w:val="single" w:sz="8" w:color="8590A9"/>
            </w:tcBorders>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20"/>
                <w:szCs w:val="20"/>
                <w:color w:val="auto"/>
              </w:rPr>
            </w:pPr>
          </w:p>
        </w:tc>
        <w:tc>
          <w:tcPr>
            <w:tcW w:w="240" w:type="dxa"/>
            <w:vAlign w:val="bottom"/>
            <w:tcBorders>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270,856</w:t>
            </w:r>
          </w:p>
        </w:tc>
        <w:tc>
          <w:tcPr>
            <w:tcW w:w="180" w:type="dxa"/>
            <w:vAlign w:val="bottom"/>
          </w:tcPr>
          <w:p>
            <w:pPr>
              <w:spacing w:after="0"/>
              <w:rPr>
                <w:sz w:val="20"/>
                <w:szCs w:val="20"/>
                <w:color w:val="auto"/>
              </w:rPr>
            </w:pPr>
          </w:p>
        </w:tc>
        <w:tc>
          <w:tcPr>
            <w:tcW w:w="360" w:type="dxa"/>
            <w:vAlign w:val="bottom"/>
            <w:tcBorders>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8590A9"/>
            </w:tcBorders>
          </w:tcPr>
          <w:p>
            <w:pPr>
              <w:jc w:val="right"/>
              <w:ind w:right="13"/>
              <w:spacing w:after="0"/>
              <w:rPr>
                <w:sz w:val="20"/>
                <w:szCs w:val="20"/>
                <w:color w:val="auto"/>
              </w:rPr>
            </w:pPr>
            <w:r>
              <w:rPr>
                <w:rFonts w:ascii="Arial" w:cs="Arial" w:eastAsia="Arial" w:hAnsi="Arial"/>
                <w:sz w:val="18"/>
                <w:szCs w:val="18"/>
                <w:color w:val="auto"/>
              </w:rPr>
              <w:t>101,069</w:t>
            </w: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color w:val="auto"/>
              </w:rPr>
              <w:t>Equity in net gain on sale of interest in unconsolidated joint venture/real estate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(303,967)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(16,166)</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Purchase price and other fair value adjustments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(57,385)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Loss (gain) on sale of real estate,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30,757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(73,241)</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Depreciable real estate reserves and impairment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227,543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178,520</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Gain on sale of marketable securities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279,507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403,320</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208,669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257,045</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7"/>
        </w:trPr>
        <w:tc>
          <w:tcPr>
            <w:tcW w:w="880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16,498</w:t>
            </w:r>
          </w:p>
        </w:tc>
      </w:tr>
      <w:tr>
        <w:trPr>
          <w:trHeight w:val="238"/>
        </w:trPr>
        <w:tc>
          <w:tcPr>
            <w:tcW w:w="20" w:type="dxa"/>
            <w:vAlign w:val="bottom"/>
          </w:tcPr>
          <w:p>
            <w:pPr>
              <w:spacing w:after="0"/>
              <w:rPr>
                <w:sz w:val="20"/>
                <w:szCs w:val="20"/>
                <w:color w:val="auto"/>
              </w:rPr>
            </w:pPr>
          </w:p>
        </w:tc>
        <w:tc>
          <w:tcPr>
            <w:tcW w:w="878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0"/>
                <w:szCs w:val="20"/>
                <w:color w:val="auto"/>
              </w:rPr>
            </w:pPr>
          </w:p>
        </w:tc>
        <w:tc>
          <w:tcPr>
            <w:tcW w:w="240" w:type="dxa"/>
            <w:vAlign w:val="bottom"/>
            <w:tcBorders>
              <w:top w:val="single" w:sz="8" w:color="8590A9"/>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668,388</w:t>
            </w:r>
          </w:p>
        </w:tc>
        <w:tc>
          <w:tcPr>
            <w:tcW w:w="180" w:type="dxa"/>
            <w:vAlign w:val="bottom"/>
          </w:tcPr>
          <w:p>
            <w:pPr>
              <w:spacing w:after="0"/>
              <w:rPr>
                <w:sz w:val="20"/>
                <w:szCs w:val="20"/>
                <w:color w:val="auto"/>
              </w:rPr>
            </w:pPr>
          </w:p>
        </w:tc>
        <w:tc>
          <w:tcPr>
            <w:tcW w:w="360" w:type="dxa"/>
            <w:vAlign w:val="bottom"/>
            <w:tcBorders>
              <w:top w:val="single" w:sz="8" w:color="8590A9"/>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8590A9"/>
            </w:tcBorders>
          </w:tcPr>
          <w:p>
            <w:pPr>
              <w:jc w:val="right"/>
              <w:ind w:right="13"/>
              <w:spacing w:after="0"/>
              <w:rPr>
                <w:sz w:val="20"/>
                <w:szCs w:val="20"/>
                <w:color w:val="auto"/>
              </w:rPr>
            </w:pPr>
            <w:r>
              <w:rPr>
                <w:rFonts w:ascii="Arial" w:cs="Arial" w:eastAsia="Arial" w:hAnsi="Arial"/>
                <w:sz w:val="18"/>
                <w:szCs w:val="18"/>
                <w:color w:val="auto"/>
              </w:rPr>
              <w:t>863,783</w:t>
            </w: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color w:val="auto"/>
              </w:rPr>
              <w:t>Equity in net income from unconsolidated joint ventures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(21,892)</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100,498</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(201,492)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(193,871)</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Loan loss and other investment reserves, net of recoveries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Non-building revenue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(22,099)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(23,781)</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7"/>
        </w:trPr>
        <w:tc>
          <w:tcPr>
            <w:tcW w:w="880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8"/>
        </w:trPr>
        <w:tc>
          <w:tcPr>
            <w:tcW w:w="20" w:type="dxa"/>
            <w:vAlign w:val="bottom"/>
          </w:tcPr>
          <w:p>
            <w:pPr>
              <w:spacing w:after="0"/>
              <w:rPr>
                <w:sz w:val="20"/>
                <w:szCs w:val="20"/>
                <w:color w:val="auto"/>
              </w:rPr>
            </w:pPr>
          </w:p>
        </w:tc>
        <w:tc>
          <w:tcPr>
            <w:tcW w:w="878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Net operating income (NOI)</w:t>
            </w:r>
          </w:p>
        </w:tc>
        <w:tc>
          <w:tcPr>
            <w:tcW w:w="160" w:type="dxa"/>
            <w:vAlign w:val="bottom"/>
          </w:tcPr>
          <w:p>
            <w:pPr>
              <w:spacing w:after="0"/>
              <w:rPr>
                <w:sz w:val="20"/>
                <w:szCs w:val="20"/>
                <w:color w:val="auto"/>
              </w:rPr>
            </w:pPr>
          </w:p>
        </w:tc>
        <w:tc>
          <w:tcPr>
            <w:tcW w:w="240" w:type="dxa"/>
            <w:vAlign w:val="bottom"/>
            <w:tcBorders>
              <w:top w:val="single" w:sz="8" w:color="8590A9"/>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555,138</w:t>
            </w:r>
          </w:p>
        </w:tc>
        <w:tc>
          <w:tcPr>
            <w:tcW w:w="180" w:type="dxa"/>
            <w:vAlign w:val="bottom"/>
          </w:tcPr>
          <w:p>
            <w:pPr>
              <w:spacing w:after="0"/>
              <w:rPr>
                <w:sz w:val="20"/>
                <w:szCs w:val="20"/>
                <w:color w:val="auto"/>
              </w:rPr>
            </w:pPr>
          </w:p>
        </w:tc>
        <w:tc>
          <w:tcPr>
            <w:tcW w:w="360" w:type="dxa"/>
            <w:vAlign w:val="bottom"/>
            <w:tcBorders>
              <w:top w:val="single" w:sz="8" w:color="8590A9"/>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8590A9"/>
            </w:tcBorders>
          </w:tcPr>
          <w:p>
            <w:pPr>
              <w:jc w:val="right"/>
              <w:ind w:right="13"/>
              <w:spacing w:after="0"/>
              <w:rPr>
                <w:sz w:val="20"/>
                <w:szCs w:val="20"/>
                <w:color w:val="auto"/>
              </w:rPr>
            </w:pPr>
            <w:r>
              <w:rPr>
                <w:rFonts w:ascii="Arial" w:cs="Arial" w:eastAsia="Arial" w:hAnsi="Arial"/>
                <w:sz w:val="18"/>
                <w:szCs w:val="18"/>
                <w:color w:val="auto"/>
              </w:rPr>
              <w:t>722,903</w:t>
            </w: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color w:val="auto"/>
              </w:rPr>
              <w:t>Equity in net income from unconsolidated joint ventures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21,892</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depreciation and amortization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187,962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126,456</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interest expense, net of interest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144,663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96,554</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amortization of deferred financing costs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8,220</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loss on early extinguishment of debt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3,950</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transaction related costs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investment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(12,014)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(16,777)</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7"/>
        </w:trPr>
        <w:tc>
          <w:tcPr>
            <w:tcW w:w="8800" w:type="dxa"/>
            <w:vAlign w:val="bottom"/>
            <w:gridSpan w:val="2"/>
          </w:tcPr>
          <w:p>
            <w:pPr>
              <w:spacing w:after="0"/>
              <w:rPr>
                <w:sz w:val="20"/>
                <w:szCs w:val="20"/>
                <w:color w:val="auto"/>
              </w:rPr>
            </w:pPr>
            <w:r>
              <w:rPr>
                <w:rFonts w:ascii="Arial" w:cs="Arial" w:eastAsia="Arial" w:hAnsi="Arial"/>
                <w:sz w:val="18"/>
                <w:szCs w:val="18"/>
                <w:color w:val="auto"/>
              </w:rPr>
              <w:t>SLG share of unconsolidated JV non-building revenue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(4,989)</w:t>
            </w:r>
          </w:p>
        </w:tc>
      </w:tr>
      <w:tr>
        <w:trPr>
          <w:trHeight w:val="238"/>
        </w:trPr>
        <w:tc>
          <w:tcPr>
            <w:tcW w:w="20" w:type="dxa"/>
            <w:vAlign w:val="bottom"/>
          </w:tcPr>
          <w:p>
            <w:pPr>
              <w:spacing w:after="0"/>
              <w:rPr>
                <w:sz w:val="20"/>
                <w:szCs w:val="20"/>
                <w:color w:val="auto"/>
              </w:rPr>
            </w:pPr>
          </w:p>
        </w:tc>
        <w:tc>
          <w:tcPr>
            <w:tcW w:w="878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NOI including SLG share of unconsolidated JVs</w:t>
            </w:r>
          </w:p>
        </w:tc>
        <w:tc>
          <w:tcPr>
            <w:tcW w:w="160" w:type="dxa"/>
            <w:vAlign w:val="bottom"/>
          </w:tcPr>
          <w:p>
            <w:pPr>
              <w:spacing w:after="0"/>
              <w:rPr>
                <w:sz w:val="20"/>
                <w:szCs w:val="20"/>
                <w:color w:val="auto"/>
              </w:rPr>
            </w:pPr>
          </w:p>
        </w:tc>
        <w:tc>
          <w:tcPr>
            <w:tcW w:w="240" w:type="dxa"/>
            <w:vAlign w:val="bottom"/>
            <w:tcBorders>
              <w:top w:val="single" w:sz="8" w:color="8590A9"/>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885,739</w:t>
            </w:r>
          </w:p>
        </w:tc>
        <w:tc>
          <w:tcPr>
            <w:tcW w:w="180" w:type="dxa"/>
            <w:vAlign w:val="bottom"/>
          </w:tcPr>
          <w:p>
            <w:pPr>
              <w:spacing w:after="0"/>
              <w:rPr>
                <w:sz w:val="20"/>
                <w:szCs w:val="20"/>
                <w:color w:val="auto"/>
              </w:rPr>
            </w:pPr>
          </w:p>
        </w:tc>
        <w:tc>
          <w:tcPr>
            <w:tcW w:w="360" w:type="dxa"/>
            <w:vAlign w:val="bottom"/>
            <w:tcBorders>
              <w:top w:val="single" w:sz="8" w:color="8590A9"/>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8590A9"/>
            </w:tcBorders>
          </w:tcPr>
          <w:p>
            <w:pPr>
              <w:jc w:val="right"/>
              <w:ind w:right="13"/>
              <w:spacing w:after="0"/>
              <w:rPr>
                <w:sz w:val="20"/>
                <w:szCs w:val="20"/>
                <w:color w:val="auto"/>
              </w:rPr>
            </w:pPr>
            <w:r>
              <w:rPr>
                <w:rFonts w:ascii="Arial" w:cs="Arial" w:eastAsia="Arial" w:hAnsi="Arial"/>
                <w:sz w:val="18"/>
                <w:szCs w:val="18"/>
                <w:color w:val="auto"/>
              </w:rPr>
              <w:t>958,319</w:t>
            </w: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NOI from other properties/affiliates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(132,124)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(222,715)</w:t>
            </w:r>
          </w:p>
        </w:tc>
      </w:tr>
      <w:tr>
        <w:trPr>
          <w:trHeight w:val="238"/>
        </w:trPr>
        <w:tc>
          <w:tcPr>
            <w:tcW w:w="20" w:type="dxa"/>
            <w:vAlign w:val="bottom"/>
          </w:tcPr>
          <w:p>
            <w:pPr>
              <w:spacing w:after="0"/>
              <w:rPr>
                <w:sz w:val="20"/>
                <w:szCs w:val="20"/>
                <w:color w:val="auto"/>
              </w:rPr>
            </w:pPr>
          </w:p>
        </w:tc>
        <w:tc>
          <w:tcPr>
            <w:tcW w:w="878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Same-store NOI</w:t>
            </w:r>
          </w:p>
        </w:tc>
        <w:tc>
          <w:tcPr>
            <w:tcW w:w="160" w:type="dxa"/>
            <w:vAlign w:val="bottom"/>
          </w:tcPr>
          <w:p>
            <w:pPr>
              <w:spacing w:after="0"/>
              <w:rPr>
                <w:sz w:val="20"/>
                <w:szCs w:val="20"/>
                <w:color w:val="auto"/>
              </w:rPr>
            </w:pPr>
          </w:p>
        </w:tc>
        <w:tc>
          <w:tcPr>
            <w:tcW w:w="240" w:type="dxa"/>
            <w:vAlign w:val="bottom"/>
            <w:tcBorders>
              <w:top w:val="single" w:sz="8" w:color="8590A9"/>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753,615</w:t>
            </w:r>
          </w:p>
        </w:tc>
        <w:tc>
          <w:tcPr>
            <w:tcW w:w="180" w:type="dxa"/>
            <w:vAlign w:val="bottom"/>
          </w:tcPr>
          <w:p>
            <w:pPr>
              <w:spacing w:after="0"/>
              <w:rPr>
                <w:sz w:val="20"/>
                <w:szCs w:val="20"/>
                <w:color w:val="auto"/>
              </w:rPr>
            </w:pPr>
          </w:p>
        </w:tc>
        <w:tc>
          <w:tcPr>
            <w:tcW w:w="360" w:type="dxa"/>
            <w:vAlign w:val="bottom"/>
            <w:tcBorders>
              <w:top w:val="single" w:sz="8" w:color="8590A9"/>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8590A9"/>
            </w:tcBorders>
          </w:tcPr>
          <w:p>
            <w:pPr>
              <w:jc w:val="right"/>
              <w:ind w:right="13"/>
              <w:spacing w:after="0"/>
              <w:rPr>
                <w:sz w:val="20"/>
                <w:szCs w:val="20"/>
                <w:color w:val="auto"/>
              </w:rPr>
            </w:pPr>
            <w:r>
              <w:rPr>
                <w:rFonts w:ascii="Arial" w:cs="Arial" w:eastAsia="Arial" w:hAnsi="Arial"/>
                <w:sz w:val="18"/>
                <w:szCs w:val="18"/>
                <w:color w:val="auto"/>
              </w:rPr>
              <w:t>735,604</w:t>
            </w: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color w:val="auto"/>
              </w:rPr>
              <w:t>Ground lease straight-line adjustment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2,096</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Joint Venture ground lease straight-line adjustment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1,078</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Straight-line and free rent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(21,701)</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Amortization of acquired above and below-market leases,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(4,702)</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Joint Venture straight-line and free rent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(14,117)</w:t>
            </w:r>
          </w:p>
        </w:tc>
      </w:tr>
      <w:tr>
        <w:trPr>
          <w:trHeight w:val="21"/>
        </w:trPr>
        <w:tc>
          <w:tcPr>
            <w:tcW w:w="20" w:type="dxa"/>
            <w:vAlign w:val="bottom"/>
          </w:tcPr>
          <w:p>
            <w:pPr>
              <w:spacing w:after="0" w:line="20" w:lineRule="exact"/>
              <w:rPr>
                <w:sz w:val="1"/>
                <w:szCs w:val="1"/>
                <w:color w:val="auto"/>
              </w:rPr>
            </w:pPr>
          </w:p>
        </w:tc>
        <w:tc>
          <w:tcPr>
            <w:tcW w:w="8780" w:type="dxa"/>
            <w:vAlign w:val="bottom"/>
            <w:shd w:val="clear" w:color="auto" w:fill="8590A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590A9"/>
          </w:tcPr>
          <w:p>
            <w:pPr>
              <w:spacing w:after="0" w:line="20" w:lineRule="exact"/>
              <w:rPr>
                <w:sz w:val="1"/>
                <w:szCs w:val="1"/>
                <w:color w:val="auto"/>
              </w:rPr>
            </w:pPr>
          </w:p>
        </w:tc>
        <w:tc>
          <w:tcPr>
            <w:tcW w:w="900" w:type="dxa"/>
            <w:vAlign w:val="bottom"/>
            <w:shd w:val="clear" w:color="auto" w:fill="8590A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8590A9"/>
          </w:tcPr>
          <w:p>
            <w:pPr>
              <w:spacing w:after="0" w:line="20" w:lineRule="exact"/>
              <w:rPr>
                <w:sz w:val="1"/>
                <w:szCs w:val="1"/>
                <w:color w:val="auto"/>
              </w:rPr>
            </w:pPr>
          </w:p>
        </w:tc>
        <w:tc>
          <w:tcPr>
            <w:tcW w:w="780" w:type="dxa"/>
            <w:vAlign w:val="bottom"/>
            <w:shd w:val="clear" w:color="auto" w:fill="8590A9"/>
          </w:tcPr>
          <w:p>
            <w:pPr>
              <w:spacing w:after="0" w:line="20" w:lineRule="exact"/>
              <w:rPr>
                <w:sz w:val="1"/>
                <w:szCs w:val="1"/>
                <w:color w:val="auto"/>
              </w:rPr>
            </w:pPr>
          </w:p>
        </w:tc>
      </w:tr>
      <w:tr>
        <w:trPr>
          <w:trHeight w:val="237"/>
        </w:trPr>
        <w:tc>
          <w:tcPr>
            <w:tcW w:w="8800" w:type="dxa"/>
            <w:vAlign w:val="bottom"/>
            <w:gridSpan w:val="2"/>
          </w:tcPr>
          <w:p>
            <w:pPr>
              <w:spacing w:after="0"/>
              <w:rPr>
                <w:sz w:val="20"/>
                <w:szCs w:val="20"/>
                <w:color w:val="auto"/>
              </w:rPr>
            </w:pPr>
            <w:r>
              <w:rPr>
                <w:rFonts w:ascii="Arial" w:cs="Arial" w:eastAsia="Arial" w:hAnsi="Arial"/>
                <w:sz w:val="18"/>
                <w:szCs w:val="18"/>
                <w:color w:val="auto"/>
              </w:rPr>
              <w:t>Joint Venture amortization of acquired above and below-market leases,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(13,141)</w:t>
            </w:r>
          </w:p>
        </w:tc>
      </w:tr>
      <w:tr>
        <w:trPr>
          <w:trHeight w:val="238"/>
        </w:trPr>
        <w:tc>
          <w:tcPr>
            <w:tcW w:w="20" w:type="dxa"/>
            <w:vAlign w:val="bottom"/>
          </w:tcPr>
          <w:p>
            <w:pPr>
              <w:spacing w:after="0"/>
              <w:rPr>
                <w:sz w:val="20"/>
                <w:szCs w:val="20"/>
                <w:color w:val="auto"/>
              </w:rPr>
            </w:pPr>
          </w:p>
        </w:tc>
        <w:tc>
          <w:tcPr>
            <w:tcW w:w="8780" w:type="dxa"/>
            <w:vAlign w:val="bottom"/>
            <w:tcBorders>
              <w:top w:val="single" w:sz="8" w:color="8590A9"/>
              <w:bottom w:val="single" w:sz="8" w:color="8590A9"/>
            </w:tcBorders>
          </w:tcPr>
          <w:p>
            <w:pPr>
              <w:spacing w:after="0"/>
              <w:rPr>
                <w:sz w:val="20"/>
                <w:szCs w:val="20"/>
                <w:color w:val="auto"/>
              </w:rPr>
            </w:pPr>
            <w:r>
              <w:rPr>
                <w:rFonts w:ascii="Arial" w:cs="Arial" w:eastAsia="Arial" w:hAnsi="Arial"/>
                <w:sz w:val="18"/>
                <w:szCs w:val="18"/>
                <w:b w:val="1"/>
                <w:bCs w:val="1"/>
                <w:color w:val="auto"/>
              </w:rPr>
              <w:t>Same-store cash NOI</w:t>
            </w:r>
          </w:p>
        </w:tc>
        <w:tc>
          <w:tcPr>
            <w:tcW w:w="160" w:type="dxa"/>
            <w:vAlign w:val="bottom"/>
          </w:tcPr>
          <w:p>
            <w:pPr>
              <w:spacing w:after="0"/>
              <w:rPr>
                <w:sz w:val="20"/>
                <w:szCs w:val="20"/>
                <w:color w:val="auto"/>
              </w:rPr>
            </w:pPr>
          </w:p>
        </w:tc>
        <w:tc>
          <w:tcPr>
            <w:tcW w:w="240" w:type="dxa"/>
            <w:vAlign w:val="bottom"/>
            <w:tcBorders>
              <w:top w:val="single" w:sz="8" w:color="8590A9"/>
              <w:bottom w:val="single" w:sz="8" w:color="8590A9"/>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8590A9"/>
            </w:tcBorders>
          </w:tcPr>
          <w:p>
            <w:pPr>
              <w:jc w:val="right"/>
              <w:spacing w:after="0"/>
              <w:rPr>
                <w:sz w:val="20"/>
                <w:szCs w:val="20"/>
                <w:color w:val="auto"/>
              </w:rPr>
            </w:pPr>
            <w:r>
              <w:rPr>
                <w:rFonts w:ascii="Arial" w:cs="Arial" w:eastAsia="Arial" w:hAnsi="Arial"/>
                <w:sz w:val="18"/>
                <w:szCs w:val="18"/>
                <w:b w:val="1"/>
                <w:bCs w:val="1"/>
                <w:color w:val="auto"/>
              </w:rPr>
              <w:t>718,742</w:t>
            </w:r>
          </w:p>
        </w:tc>
        <w:tc>
          <w:tcPr>
            <w:tcW w:w="180" w:type="dxa"/>
            <w:vAlign w:val="bottom"/>
          </w:tcPr>
          <w:p>
            <w:pPr>
              <w:spacing w:after="0"/>
              <w:rPr>
                <w:sz w:val="20"/>
                <w:szCs w:val="20"/>
                <w:color w:val="auto"/>
              </w:rPr>
            </w:pPr>
          </w:p>
        </w:tc>
        <w:tc>
          <w:tcPr>
            <w:tcW w:w="360" w:type="dxa"/>
            <w:vAlign w:val="bottom"/>
            <w:tcBorders>
              <w:top w:val="single" w:sz="8" w:color="8590A9"/>
              <w:bottom w:val="single" w:sz="8" w:color="8590A9"/>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8590A9"/>
            </w:tcBorders>
          </w:tcPr>
          <w:p>
            <w:pPr>
              <w:jc w:val="right"/>
              <w:ind w:right="13"/>
              <w:spacing w:after="0"/>
              <w:rPr>
                <w:sz w:val="20"/>
                <w:szCs w:val="20"/>
                <w:color w:val="auto"/>
              </w:rPr>
            </w:pPr>
            <w:r>
              <w:rPr>
                <w:rFonts w:ascii="Arial" w:cs="Arial" w:eastAsia="Arial" w:hAnsi="Arial"/>
                <w:sz w:val="18"/>
                <w:szCs w:val="18"/>
                <w:color w:val="auto"/>
              </w:rPr>
              <w:t>685,117</w:t>
            </w:r>
          </w:p>
        </w:tc>
      </w:tr>
      <w:tr>
        <w:trPr>
          <w:trHeight w:val="235"/>
        </w:trPr>
        <w:tc>
          <w:tcPr>
            <w:tcW w:w="8800" w:type="dxa"/>
            <w:vAlign w:val="bottom"/>
            <w:gridSpan w:val="2"/>
          </w:tcPr>
          <w:p>
            <w:pPr>
              <w:spacing w:after="0"/>
              <w:rPr>
                <w:sz w:val="20"/>
                <w:szCs w:val="20"/>
                <w:color w:val="auto"/>
              </w:rPr>
            </w:pPr>
            <w:r>
              <w:rPr>
                <w:rFonts w:ascii="Arial" w:cs="Arial" w:eastAsia="Arial" w:hAnsi="Arial"/>
                <w:sz w:val="18"/>
                <w:szCs w:val="18"/>
                <w:color w:val="auto"/>
              </w:rPr>
              <w:t>Lease termination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50"/>
        </w:trPr>
        <w:tc>
          <w:tcPr>
            <w:tcW w:w="20" w:type="dxa"/>
            <w:vAlign w:val="bottom"/>
          </w:tcPr>
          <w:p>
            <w:pPr>
              <w:spacing w:after="0"/>
              <w:rPr>
                <w:sz w:val="21"/>
                <w:szCs w:val="21"/>
                <w:color w:val="auto"/>
              </w:rPr>
            </w:pPr>
          </w:p>
        </w:tc>
        <w:tc>
          <w:tcPr>
            <w:tcW w:w="8780" w:type="dxa"/>
            <w:vAlign w:val="bottom"/>
            <w:tcBorders>
              <w:top w:val="single" w:sz="8" w:color="8590A9"/>
              <w:bottom w:val="single" w:sz="8" w:color="345988"/>
            </w:tcBorders>
          </w:tcPr>
          <w:p>
            <w:pPr>
              <w:spacing w:after="0"/>
              <w:rPr>
                <w:sz w:val="20"/>
                <w:szCs w:val="20"/>
                <w:color w:val="auto"/>
              </w:rPr>
            </w:pPr>
            <w:r>
              <w:rPr>
                <w:rFonts w:ascii="Arial" w:cs="Arial" w:eastAsia="Arial" w:hAnsi="Arial"/>
                <w:sz w:val="18"/>
                <w:szCs w:val="18"/>
                <w:b w:val="1"/>
                <w:bCs w:val="1"/>
                <w:color w:val="auto"/>
              </w:rPr>
              <w:t>Same-store cash NOI excluding lease termination income</w:t>
            </w:r>
          </w:p>
        </w:tc>
        <w:tc>
          <w:tcPr>
            <w:tcW w:w="160" w:type="dxa"/>
            <w:vAlign w:val="bottom"/>
          </w:tcPr>
          <w:p>
            <w:pPr>
              <w:spacing w:after="0"/>
              <w:rPr>
                <w:sz w:val="21"/>
                <w:szCs w:val="21"/>
                <w:color w:val="auto"/>
              </w:rPr>
            </w:pPr>
          </w:p>
        </w:tc>
        <w:tc>
          <w:tcPr>
            <w:tcW w:w="240" w:type="dxa"/>
            <w:vAlign w:val="bottom"/>
            <w:tcBorders>
              <w:top w:val="single" w:sz="8" w:color="8590A9"/>
              <w:bottom w:val="single" w:sz="8" w:color="345988"/>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8590A9"/>
              <w:bottom w:val="single" w:sz="8" w:color="345988"/>
            </w:tcBorders>
          </w:tcPr>
          <w:p>
            <w:pPr>
              <w:jc w:val="right"/>
              <w:spacing w:after="0"/>
              <w:rPr>
                <w:sz w:val="20"/>
                <w:szCs w:val="20"/>
                <w:color w:val="auto"/>
              </w:rPr>
            </w:pPr>
            <w:r>
              <w:rPr>
                <w:rFonts w:ascii="Arial" w:cs="Arial" w:eastAsia="Arial" w:hAnsi="Arial"/>
                <w:sz w:val="18"/>
                <w:szCs w:val="18"/>
                <w:b w:val="1"/>
                <w:bCs w:val="1"/>
                <w:color w:val="auto"/>
              </w:rPr>
              <w:t>713,524</w:t>
            </w:r>
          </w:p>
        </w:tc>
        <w:tc>
          <w:tcPr>
            <w:tcW w:w="180" w:type="dxa"/>
            <w:vAlign w:val="bottom"/>
          </w:tcPr>
          <w:p>
            <w:pPr>
              <w:spacing w:after="0"/>
              <w:rPr>
                <w:sz w:val="21"/>
                <w:szCs w:val="21"/>
                <w:color w:val="auto"/>
              </w:rPr>
            </w:pPr>
          </w:p>
        </w:tc>
        <w:tc>
          <w:tcPr>
            <w:tcW w:w="360" w:type="dxa"/>
            <w:vAlign w:val="bottom"/>
            <w:tcBorders>
              <w:top w:val="single" w:sz="8" w:color="8590A9"/>
              <w:bottom w:val="single" w:sz="8" w:color="345988"/>
            </w:tcBorders>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590A9"/>
              <w:bottom w:val="single" w:sz="8" w:color="345988"/>
            </w:tcBorders>
          </w:tcPr>
          <w:p>
            <w:pPr>
              <w:jc w:val="right"/>
              <w:ind w:right="13"/>
              <w:spacing w:after="0"/>
              <w:rPr>
                <w:sz w:val="20"/>
                <w:szCs w:val="20"/>
                <w:color w:val="auto"/>
              </w:rPr>
            </w:pPr>
            <w:r>
              <w:rPr>
                <w:rFonts w:ascii="Arial" w:cs="Arial" w:eastAsia="Arial" w:hAnsi="Arial"/>
                <w:sz w:val="18"/>
                <w:szCs w:val="18"/>
                <w:color w:val="auto"/>
              </w:rPr>
              <w:t>682,902</w:t>
            </w:r>
          </w:p>
        </w:tc>
      </w:tr>
    </w:tbl>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345988"/>
        </w:rPr>
        <w:t>A-2</w:t>
      </w:r>
      <w:r>
        <w:rPr>
          <w:sz w:val="20"/>
          <w:szCs w:val="20"/>
          <w:color w:val="auto"/>
        </w:rPr>
        <w:tab/>
      </w: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45988"/>
        </w:rPr>
        <w:t>APPENDIX A: INFORMATION REGARDING CERTAIN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Funds from Operations and Normalized Funds from Operations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as subsequently amended,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39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For certain periods, we also present Normalized FFO, defined as FFO excluding the impact of discrete transactions (set forth in the table above) that increased FFO in 2016 and decreased FFO in 2018, which we present to enhance the comparability of our FFO across periods.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Same-Store Cash Net Operating Income</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Operating Income, or NOI, is a non-GAAP financial measure that is calculated as operating income before transaction related costs, gains/losses on early extinguishment of debt, marketing general and administrative expenses and non-real estate revenue. Cash NOI is calculated by subtracting free rent (net of amortization), straight-line rent, and amortization of acquired above and below-market leases, net from NOI, while adding ground lease straight-line adjustment and the allowance for straight-line tenant credit loss.</w:t>
      </w:r>
    </w:p>
    <w:p>
      <w:pPr>
        <w:spacing w:after="0" w:line="209"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We present NOI and Cash NOI because we believe that these measures, when taken together with the corresponding GAAP financial measures and our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spacing w:after="0" w:line="18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Same-Store refers to properties owned in the same manner during both the current and prior year, excluding development properties that are not stabilized for both the current and prior year.</w:t>
      </w:r>
    </w:p>
    <w:p>
      <w:pPr>
        <w:spacing w:after="0" w:line="209"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SLG Share of Unconsolidated JV is computed by multiplying the referenced line item by the Company's percentage ownership in the respective joint ventures and may not accurately depict the legal and economic implications of holding a non-controlling interest in the joint ventures.</w:t>
      </w:r>
    </w:p>
    <w:p>
      <w:pPr>
        <w:spacing w:after="0" w:line="16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2019 Proxy Statement</w:t>
      </w:r>
      <w:r>
        <w:rPr>
          <w:sz w:val="20"/>
          <w:szCs w:val="20"/>
          <w:color w:val="auto"/>
        </w:rPr>
        <w:tab/>
      </w:r>
      <w:r>
        <w:rPr>
          <w:rFonts w:ascii="Arial" w:cs="Arial" w:eastAsia="Arial" w:hAnsi="Arial"/>
          <w:sz w:val="16"/>
          <w:szCs w:val="16"/>
          <w:color w:val="345988"/>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SL GREEN REALTY CORP.</w:t>
            </w:r>
          </w:p>
        </w:tc>
        <w:tc>
          <w:tcPr>
            <w:tcW w:w="4360" w:type="dxa"/>
            <w:vAlign w:val="bottom"/>
          </w:tcPr>
          <w:p>
            <w:pPr>
              <w:ind w:left="1580"/>
              <w:spacing w:after="0"/>
              <w:rPr>
                <w:sz w:val="20"/>
                <w:szCs w:val="20"/>
                <w:color w:val="auto"/>
              </w:rPr>
            </w:pPr>
            <w:r>
              <w:rPr>
                <w:rFonts w:ascii="Arial" w:cs="Arial" w:eastAsia="Arial" w:hAnsi="Arial"/>
                <w:sz w:val="14"/>
                <w:szCs w:val="14"/>
                <w:b w:val="1"/>
                <w:bCs w:val="1"/>
                <w:color w:val="auto"/>
                <w:w w:val="96"/>
              </w:rPr>
              <w:t>AUTHORIZE YOUR PROXY BY INTERNET -</w:t>
            </w: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www.proxyvote.com</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420 LEXINGTON AVE.</w:t>
            </w:r>
          </w:p>
        </w:tc>
        <w:tc>
          <w:tcPr>
            <w:tcW w:w="4360" w:type="dxa"/>
            <w:vAlign w:val="bottom"/>
          </w:tcPr>
          <w:p>
            <w:pPr>
              <w:ind w:left="1580"/>
              <w:spacing w:after="0" w:line="141" w:lineRule="exact"/>
              <w:rPr>
                <w:sz w:val="20"/>
                <w:szCs w:val="20"/>
                <w:color w:val="auto"/>
              </w:rPr>
            </w:pPr>
            <w:r>
              <w:rPr>
                <w:rFonts w:ascii="Arial" w:cs="Arial" w:eastAsia="Arial" w:hAnsi="Arial"/>
                <w:sz w:val="14"/>
                <w:szCs w:val="14"/>
                <w:color w:val="auto"/>
              </w:rPr>
              <w:t>Use  the  Internet  to  transmit  your  voting</w:t>
            </w:r>
          </w:p>
        </w:tc>
        <w:tc>
          <w:tcPr>
            <w:tcW w:w="1320" w:type="dxa"/>
            <w:vAlign w:val="bottom"/>
          </w:tcPr>
          <w:p>
            <w:pPr>
              <w:spacing w:after="0" w:line="141" w:lineRule="exact"/>
              <w:rPr>
                <w:sz w:val="20"/>
                <w:szCs w:val="20"/>
                <w:color w:val="auto"/>
              </w:rPr>
            </w:pPr>
            <w:r>
              <w:rPr>
                <w:rFonts w:ascii="Arial" w:cs="Arial" w:eastAsia="Arial" w:hAnsi="Arial"/>
                <w:sz w:val="14"/>
                <w:szCs w:val="14"/>
                <w:color w:val="auto"/>
              </w:rPr>
              <w:t>instructions  and  for</w:t>
            </w:r>
          </w:p>
        </w:tc>
        <w:tc>
          <w:tcPr>
            <w:tcW w:w="1380" w:type="dxa"/>
            <w:vAlign w:val="bottom"/>
          </w:tcPr>
          <w:p>
            <w:pPr>
              <w:ind w:left="40"/>
              <w:spacing w:after="0" w:line="141" w:lineRule="exact"/>
              <w:rPr>
                <w:sz w:val="20"/>
                <w:szCs w:val="20"/>
                <w:color w:val="auto"/>
              </w:rPr>
            </w:pPr>
            <w:r>
              <w:rPr>
                <w:rFonts w:ascii="Arial" w:cs="Arial" w:eastAsia="Arial" w:hAnsi="Arial"/>
                <w:sz w:val="14"/>
                <w:szCs w:val="14"/>
                <w:color w:val="auto"/>
                <w:w w:val="97"/>
              </w:rPr>
              <w:t>electronic  delivery  of</w:t>
            </w:r>
          </w:p>
        </w:tc>
        <w:tc>
          <w:tcPr>
            <w:tcW w:w="0" w:type="dxa"/>
            <w:vAlign w:val="bottom"/>
          </w:tcPr>
          <w:p>
            <w:pPr>
              <w:spacing w:after="0"/>
              <w:rPr>
                <w:sz w:val="1"/>
                <w:szCs w:val="1"/>
                <w:color w:val="auto"/>
              </w:rPr>
            </w:pPr>
          </w:p>
        </w:tc>
      </w:tr>
      <w:tr>
        <w:trPr>
          <w:trHeight w:val="122"/>
        </w:trPr>
        <w:tc>
          <w:tcPr>
            <w:tcW w:w="3820" w:type="dxa"/>
            <w:vAlign w:val="bottom"/>
            <w:vMerge w:val="continue"/>
          </w:tcPr>
          <w:p>
            <w:pPr>
              <w:spacing w:after="0"/>
              <w:rPr>
                <w:sz w:val="10"/>
                <w:szCs w:val="10"/>
                <w:color w:val="auto"/>
              </w:rPr>
            </w:pPr>
          </w:p>
        </w:tc>
        <w:tc>
          <w:tcPr>
            <w:tcW w:w="7060" w:type="dxa"/>
            <w:vAlign w:val="bottom"/>
            <w:gridSpan w:val="3"/>
          </w:tcPr>
          <w:p>
            <w:pPr>
              <w:ind w:left="1580"/>
              <w:spacing w:after="0" w:line="123" w:lineRule="exact"/>
              <w:rPr>
                <w:sz w:val="20"/>
                <w:szCs w:val="20"/>
                <w:color w:val="auto"/>
              </w:rPr>
            </w:pPr>
            <w:r>
              <w:rPr>
                <w:rFonts w:ascii="Arial" w:cs="Arial" w:eastAsia="Arial" w:hAnsi="Arial"/>
                <w:sz w:val="14"/>
                <w:szCs w:val="14"/>
                <w:color w:val="auto"/>
              </w:rPr>
              <w:t>information up until 11:59 P.M. Eastern Time the day before the cut-off date or meeting</w:t>
            </w:r>
          </w:p>
        </w:tc>
        <w:tc>
          <w:tcPr>
            <w:tcW w:w="0" w:type="dxa"/>
            <w:vAlign w:val="bottom"/>
          </w:tcPr>
          <w:p>
            <w:pPr>
              <w:spacing w:after="0"/>
              <w:rPr>
                <w:sz w:val="1"/>
                <w:szCs w:val="1"/>
                <w:color w:val="auto"/>
              </w:rPr>
            </w:pP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8"/>
                <w:szCs w:val="18"/>
                <w:b w:val="1"/>
                <w:bCs w:val="1"/>
                <w:i w:val="1"/>
                <w:iCs w:val="1"/>
                <w:color w:val="auto"/>
              </w:rPr>
              <w:t>NEW YORK, NY 10170</w:t>
            </w:r>
          </w:p>
        </w:tc>
        <w:tc>
          <w:tcPr>
            <w:tcW w:w="7060" w:type="dxa"/>
            <w:vAlign w:val="bottom"/>
            <w:gridSpan w:val="3"/>
          </w:tcPr>
          <w:p>
            <w:pPr>
              <w:ind w:left="1580"/>
              <w:spacing w:after="0"/>
              <w:rPr>
                <w:sz w:val="20"/>
                <w:szCs w:val="20"/>
                <w:color w:val="auto"/>
              </w:rPr>
            </w:pPr>
            <w:r>
              <w:rPr>
                <w:rFonts w:ascii="Arial" w:cs="Arial" w:eastAsia="Arial" w:hAnsi="Arial"/>
                <w:sz w:val="14"/>
                <w:szCs w:val="14"/>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7060" w:type="dxa"/>
            <w:vAlign w:val="bottom"/>
            <w:gridSpan w:val="3"/>
          </w:tcPr>
          <w:p>
            <w:pPr>
              <w:ind w:left="1580"/>
              <w:spacing w:after="0"/>
              <w:rPr>
                <w:sz w:val="20"/>
                <w:szCs w:val="20"/>
                <w:color w:val="auto"/>
              </w:rPr>
            </w:pPr>
            <w:r>
              <w:rPr>
                <w:rFonts w:ascii="Arial" w:cs="Arial" w:eastAsia="Arial" w:hAnsi="Arial"/>
                <w:sz w:val="14"/>
                <w:szCs w:val="14"/>
                <w:color w:val="auto"/>
              </w:rPr>
              <w:t>instructions to obtain your records and to create an electronic voting instruction form.</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AUTHORIZE YOUR PROXY BY PHONE - 1-800-690-6903</w:t>
      </w:r>
    </w:p>
    <w:p>
      <w:pPr>
        <w:ind w:left="5940"/>
        <w:spacing w:after="0" w:line="226" w:lineRule="auto"/>
        <w:rPr>
          <w:sz w:val="20"/>
          <w:szCs w:val="20"/>
          <w:color w:val="auto"/>
        </w:rPr>
      </w:pPr>
      <w:r>
        <w:rPr>
          <w:rFonts w:ascii="Arial" w:cs="Arial" w:eastAsia="Arial" w:hAnsi="Arial"/>
          <w:sz w:val="14"/>
          <w:szCs w:val="14"/>
          <w:color w:val="auto"/>
        </w:rPr>
        <w:t>Use any touch-tone telephone to transmit your voting instructions up until 11:59 P.M.</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Eastern Time the day before the cut-off date or meeting date. Have your proxy card in hand</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when you call and then follow the instructions.</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AUTHORIZE YOUR PROXY BY MAIL</w:t>
      </w:r>
    </w:p>
    <w:p>
      <w:pPr>
        <w:ind w:left="594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 have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provided or return it to Vote Processing, c/o Broadridge, 51 Mercedes Way, Edgewood, NY</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E73138-P19455</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DETACH AND RETURN THIS PORTION ONLY</w:t>
      </w: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7242175" cy="50298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2175" cy="5029835"/>
                    </a:xfrm>
                    <a:prstGeom prst="rect">
                      <a:avLst/>
                    </a:prstGeom>
                    <a:noFill/>
                  </pic:spPr>
                </pic:pic>
              </a:graphicData>
            </a:graphic>
          </wp:anchor>
        </w:drawing>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SL GREEN REALTY CORP.</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The Board of Directors recommends you vote FOR</w:t>
      </w:r>
    </w:p>
    <w:p>
      <w:pPr>
        <w:ind w:left="300"/>
        <w:spacing w:after="0" w:line="226" w:lineRule="auto"/>
        <w:rPr>
          <w:sz w:val="20"/>
          <w:szCs w:val="20"/>
          <w:color w:val="auto"/>
        </w:rPr>
      </w:pPr>
      <w:r>
        <w:rPr>
          <w:rFonts w:ascii="Arial" w:cs="Arial" w:eastAsia="Arial" w:hAnsi="Arial"/>
          <w:sz w:val="14"/>
          <w:szCs w:val="14"/>
          <w:b w:val="1"/>
          <w:bCs w:val="1"/>
          <w:color w:val="auto"/>
        </w:rPr>
        <w:t>the following:</w:t>
      </w:r>
    </w:p>
    <w:p>
      <w:pPr>
        <w:spacing w:after="0" w:line="1" w:lineRule="exact"/>
        <w:rPr>
          <w:sz w:val="20"/>
          <w:szCs w:val="20"/>
          <w:color w:val="auto"/>
        </w:rPr>
      </w:pPr>
    </w:p>
    <w:p>
      <w:pPr>
        <w:ind w:left="700" w:hanging="395"/>
        <w:spacing w:after="0"/>
        <w:tabs>
          <w:tab w:leader="none" w:pos="7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07" w:lineRule="exact"/>
        <w:rPr>
          <w:sz w:val="20"/>
          <w:szCs w:val="20"/>
          <w:color w:val="auto"/>
        </w:rPr>
      </w:pPr>
    </w:p>
    <w:p>
      <w:pPr>
        <w:ind w:left="700"/>
        <w:spacing w:after="0"/>
        <w:tabs>
          <w:tab w:leader="none" w:pos="4820" w:val="left"/>
          <w:tab w:leader="none" w:pos="5240" w:val="left"/>
          <w:tab w:leader="none" w:pos="5900" w:val="left"/>
        </w:tabs>
        <w:rPr>
          <w:sz w:val="20"/>
          <w:szCs w:val="20"/>
          <w:color w:val="auto"/>
        </w:rPr>
      </w:pPr>
      <w:r>
        <w:rPr>
          <w:rFonts w:ascii="Arial" w:cs="Arial" w:eastAsia="Arial" w:hAnsi="Arial"/>
          <w:sz w:val="14"/>
          <w:szCs w:val="14"/>
          <w:b w:val="1"/>
          <w:bCs w:val="1"/>
          <w:color w:val="auto"/>
        </w:rPr>
        <w:t>Nominees:</w:t>
      </w:r>
      <w:r>
        <w:rPr>
          <w:sz w:val="20"/>
          <w:szCs w:val="20"/>
          <w:color w:val="auto"/>
        </w:rPr>
        <w:tab/>
      </w: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420"/>
          </w:cols>
          <w:pgMar w:left="240" w:top="121" w:right="239" w:bottom="1440" w:gutter="0" w:footer="0" w:header="0"/>
        </w:sectPr>
      </w:pPr>
    </w:p>
    <w:p>
      <w:pPr>
        <w:spacing w:after="0" w:line="13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4"/>
          <w:szCs w:val="14"/>
          <w:color w:val="auto"/>
        </w:rPr>
        <w:t>1a.</w:t>
        <w:tab/>
        <w:t>John H. Alschuler</w:t>
      </w:r>
    </w:p>
    <w:p>
      <w:pPr>
        <w:spacing w:after="0" w:line="231"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2"/>
          <w:szCs w:val="12"/>
          <w:color w:val="auto"/>
        </w:rPr>
        <w:t>1b.</w:t>
      </w:r>
      <w:r>
        <w:rPr>
          <w:sz w:val="20"/>
          <w:szCs w:val="20"/>
          <w:color w:val="auto"/>
        </w:rPr>
        <w:tab/>
      </w:r>
      <w:r>
        <w:rPr>
          <w:rFonts w:ascii="Arial" w:cs="Arial" w:eastAsia="Arial" w:hAnsi="Arial"/>
          <w:sz w:val="12"/>
          <w:szCs w:val="12"/>
          <w:color w:val="auto"/>
        </w:rPr>
        <w:t>Edwin T. Burton, III</w:t>
      </w:r>
    </w:p>
    <w:p>
      <w:pPr>
        <w:spacing w:after="0" w:line="25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4"/>
          <w:szCs w:val="14"/>
          <w:color w:val="auto"/>
        </w:rPr>
        <w:t>1c.</w:t>
        <w:tab/>
        <w:t>Lauren B. Dillard</w:t>
      </w:r>
    </w:p>
    <w:p>
      <w:pPr>
        <w:spacing w:after="0" w:line="231"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4"/>
          <w:szCs w:val="14"/>
          <w:color w:val="auto"/>
        </w:rPr>
        <w:t>1d.</w:t>
        <w:tab/>
        <w:t>Stephen L. Green</w:t>
      </w:r>
    </w:p>
    <w:p>
      <w:pPr>
        <w:spacing w:after="0" w:line="231"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4"/>
          <w:szCs w:val="14"/>
          <w:color w:val="auto"/>
        </w:rPr>
        <w:t>1e.</w:t>
        <w:tab/>
        <w:t>Craig M. Hatkoff</w:t>
      </w:r>
    </w:p>
    <w:p>
      <w:pPr>
        <w:spacing w:after="0" w:line="231"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2"/>
          <w:szCs w:val="12"/>
          <w:color w:val="auto"/>
        </w:rPr>
        <w:t>1f.</w:t>
      </w:r>
      <w:r>
        <w:rPr>
          <w:sz w:val="20"/>
          <w:szCs w:val="20"/>
          <w:color w:val="auto"/>
        </w:rPr>
        <w:tab/>
      </w:r>
      <w:r>
        <w:rPr>
          <w:rFonts w:ascii="Arial" w:cs="Arial" w:eastAsia="Arial" w:hAnsi="Arial"/>
          <w:sz w:val="12"/>
          <w:szCs w:val="12"/>
          <w:color w:val="auto"/>
        </w:rPr>
        <w:t>Andrew W. Mathias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92"/>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92"/>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92"/>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92"/>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92"/>
        </w:trPr>
        <w:tc>
          <w:tcPr>
            <w:tcW w:w="4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98" w:lineRule="exact"/>
        <w:rPr>
          <w:sz w:val="20"/>
          <w:szCs w:val="20"/>
          <w:color w:val="auto"/>
        </w:rPr>
      </w:pPr>
    </w:p>
    <w:p>
      <w:pPr>
        <w:sectPr>
          <w:pgSz w:w="11900" w:h="16838" w:orient="portrait"/>
          <w:cols w:equalWidth="0" w:num="2">
            <w:col w:w="4120" w:space="720"/>
            <w:col w:w="6580"/>
          </w:cols>
          <w:pgMar w:left="240" w:top="121" w:right="239" w:bottom="1440" w:gutter="0" w:footer="0" w:header="0"/>
          <w:type w:val="continuous"/>
        </w:sectPr>
      </w:pPr>
    </w:p>
    <w:p>
      <w:pPr>
        <w:ind w:left="32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52" w:lineRule="exact"/>
        <w:rPr>
          <w:sz w:val="20"/>
          <w:szCs w:val="20"/>
          <w:color w:val="auto"/>
        </w:rPr>
      </w:pPr>
    </w:p>
    <w:p>
      <w:pPr>
        <w:ind w:left="680" w:hanging="361"/>
        <w:spacing w:after="0"/>
        <w:tabs>
          <w:tab w:leader="none" w:pos="6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To approve, on a non-binding advisory basis, our executive compensation.</w:t>
      </w:r>
    </w:p>
    <w:p>
      <w:pPr>
        <w:spacing w:after="0" w:line="244" w:lineRule="exact"/>
        <w:rPr>
          <w:rFonts w:ascii="Arial" w:cs="Arial" w:eastAsia="Arial" w:hAnsi="Arial"/>
          <w:sz w:val="14"/>
          <w:szCs w:val="14"/>
          <w:color w:val="auto"/>
        </w:rPr>
      </w:pPr>
    </w:p>
    <w:p>
      <w:pPr>
        <w:ind w:left="680" w:hanging="361"/>
        <w:spacing w:after="0" w:line="231" w:lineRule="auto"/>
        <w:tabs>
          <w:tab w:leader="none" w:pos="6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our independent registered public accounting firm for the fiscal year ending December 31, 2019.</w:t>
      </w:r>
    </w:p>
    <w:p>
      <w:pPr>
        <w:spacing w:after="0" w:line="135" w:lineRule="exact"/>
        <w:rPr>
          <w:rFonts w:ascii="Arial" w:cs="Arial" w:eastAsia="Arial" w:hAnsi="Arial"/>
          <w:sz w:val="14"/>
          <w:szCs w:val="14"/>
          <w:color w:val="auto"/>
        </w:rPr>
      </w:pPr>
    </w:p>
    <w:p>
      <w:pPr>
        <w:ind w:left="680" w:hanging="361"/>
        <w:spacing w:after="0" w:line="231" w:lineRule="auto"/>
        <w:tabs>
          <w:tab w:leader="none" w:pos="6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To consider and act upon any other matters that may properly be brought before the Annual Meeting and at any adjournments or postponements thereof.</w:t>
      </w:r>
    </w:p>
    <w:p>
      <w:pPr>
        <w:spacing w:after="0" w:line="136" w:lineRule="exact"/>
        <w:rPr>
          <w:sz w:val="20"/>
          <w:szCs w:val="20"/>
          <w:color w:val="auto"/>
        </w:rPr>
      </w:pPr>
    </w:p>
    <w:p>
      <w:pPr>
        <w:jc w:val="both"/>
        <w:ind w:left="320"/>
        <w:spacing w:after="0" w:line="226" w:lineRule="auto"/>
        <w:rPr>
          <w:sz w:val="20"/>
          <w:szCs w:val="20"/>
          <w:color w:val="auto"/>
        </w:rPr>
      </w:pPr>
      <w:r>
        <w:rPr>
          <w:rFonts w:ascii="Arial" w:cs="Arial" w:eastAsia="Arial" w:hAnsi="Arial"/>
          <w:sz w:val="14"/>
          <w:szCs w:val="14"/>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120" w:lineRule="exact"/>
        <w:rPr>
          <w:sz w:val="20"/>
          <w:szCs w:val="20"/>
          <w:color w:val="auto"/>
        </w:rPr>
      </w:pPr>
    </w:p>
    <w:p>
      <w:pPr>
        <w:jc w:val="both"/>
        <w:ind w:left="320"/>
        <w:spacing w:after="0" w:line="236" w:lineRule="auto"/>
        <w:rPr>
          <w:sz w:val="20"/>
          <w:szCs w:val="20"/>
          <w:color w:val="auto"/>
        </w:rPr>
      </w:pPr>
      <w:r>
        <w:rPr>
          <w:rFonts w:ascii="Arial" w:cs="Arial" w:eastAsia="Arial" w:hAnsi="Arial"/>
          <w:sz w:val="14"/>
          <w:szCs w:val="14"/>
          <w:b w:val="1"/>
          <w:bCs w:val="1"/>
          <w:color w:val="auto"/>
        </w:rPr>
        <w:t xml:space="preserve">This solicitation of proxies is made by and on behalf of the Board. </w:t>
      </w:r>
      <w:r>
        <w:rPr>
          <w:rFonts w:ascii="Arial" w:cs="Arial" w:eastAsia="Arial" w:hAnsi="Arial"/>
          <w:sz w:val="14"/>
          <w:szCs w:val="14"/>
          <w:color w:val="auto"/>
        </w:rPr>
        <w:t>The validity of this proxy is governed by the Maryland General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Law and applicable federal securities laws. This proxy does not revoke any prior powers of attorney except for prior proxies given in connection with the Annual Meeting.</w:t>
      </w:r>
    </w:p>
    <w:p>
      <w:pPr>
        <w:spacing w:after="0" w:line="135" w:lineRule="exact"/>
        <w:rPr>
          <w:sz w:val="20"/>
          <w:szCs w:val="20"/>
          <w:color w:val="auto"/>
        </w:rPr>
      </w:pPr>
    </w:p>
    <w:p>
      <w:pPr>
        <w:jc w:val="both"/>
        <w:ind w:left="320"/>
        <w:spacing w:after="0" w:line="22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tabs>
          <w:tab w:leader="none" w:pos="460" w:val="left"/>
          <w:tab w:leader="none" w:pos="11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05" w:lineRule="exact"/>
        <w:rPr>
          <w:sz w:val="20"/>
          <w:szCs w:val="20"/>
          <w:color w:val="auto"/>
        </w:rPr>
      </w:pPr>
    </w:p>
    <w:p>
      <w:pPr>
        <w:ind w:left="20"/>
        <w:spacing w:after="0" w:line="221" w:lineRule="exact"/>
        <w:tabs>
          <w:tab w:leader="none" w:pos="600" w:val="left"/>
          <w:tab w:leader="none" w:pos="13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85" w:lineRule="exact"/>
        <w:rPr>
          <w:sz w:val="20"/>
          <w:szCs w:val="20"/>
          <w:color w:val="auto"/>
        </w:rPr>
      </w:pPr>
    </w:p>
    <w:p>
      <w:pPr>
        <w:ind w:left="20"/>
        <w:spacing w:after="0" w:line="221" w:lineRule="exact"/>
        <w:tabs>
          <w:tab w:leader="none" w:pos="600" w:val="left"/>
          <w:tab w:leader="none" w:pos="13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714" w:lineRule="exact"/>
        <w:rPr>
          <w:sz w:val="20"/>
          <w:szCs w:val="20"/>
          <w:color w:val="auto"/>
        </w:rPr>
      </w:pPr>
    </w:p>
    <w:p>
      <w:pPr>
        <w:sectPr>
          <w:pgSz w:w="11900" w:h="16838" w:orient="portrait"/>
          <w:cols w:equalWidth="0" w:num="2">
            <w:col w:w="9160" w:space="260"/>
            <w:col w:w="2000"/>
          </w:cols>
          <w:pgMar w:left="240" w:top="121" w:right="2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300"/>
        <w:spacing w:after="0"/>
        <w:tabs>
          <w:tab w:leader="none" w:pos="3140" w:val="left"/>
          <w:tab w:leader="none" w:pos="5060" w:val="left"/>
          <w:tab w:leader="none" w:pos="79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20" w:right="162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May 30, 2019: </w:t>
      </w:r>
      <w:r>
        <w:rPr>
          <w:rFonts w:ascii="Arial" w:cs="Arial" w:eastAsia="Arial" w:hAnsi="Arial"/>
          <w:sz w:val="18"/>
          <w:szCs w:val="18"/>
          <w:color w:val="auto"/>
        </w:rPr>
        <w:t>The Notice and Proxy Statement and Annual Report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E73139-P19455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7242175" cy="41890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2175" cy="418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SL GREEN REALTY CORP.</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300" w:right="20"/>
        <w:spacing w:after="0" w:line="236" w:lineRule="auto"/>
        <w:rPr>
          <w:sz w:val="20"/>
          <w:szCs w:val="20"/>
          <w:color w:val="auto"/>
        </w:rPr>
      </w:pPr>
      <w:r>
        <w:rPr>
          <w:rFonts w:ascii="Arial" w:cs="Arial" w:eastAsia="Arial" w:hAnsi="Arial"/>
          <w:sz w:val="18"/>
          <w:szCs w:val="18"/>
          <w:color w:val="auto"/>
        </w:rPr>
        <w:t>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Convene (The Club Room), 237 Park Avenue, New York, New York 10017 at 10:00 A.M., local time on Thursday, May 30, 2019 and any adjournment or postponement thereof.</w:t>
      </w:r>
    </w:p>
    <w:p>
      <w:pPr>
        <w:spacing w:after="0" w:line="189" w:lineRule="exact"/>
        <w:rPr>
          <w:sz w:val="20"/>
          <w:szCs w:val="20"/>
          <w:color w:val="auto"/>
        </w:rPr>
      </w:pPr>
    </w:p>
    <w:p>
      <w:pPr>
        <w:jc w:val="both"/>
        <w:ind w:left="300" w:right="20"/>
        <w:spacing w:after="0" w:line="242"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40"/>
      </w:cols>
      <w:pgMar w:left="240"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lvl w:ilvl="1">
      <w:lvlJc w:val="left"/>
      <w:lvlText w:val="%2)"/>
      <w:numFmt w:val="decimal"/>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1"/>
      <w:numFmt w:val="bullet"/>
      <w:start w:val="1"/>
    </w:lvl>
  </w:abstractNum>
  <w:abstractNum w:abstractNumId="7">
    <w:nsid w:val="51D9C564"/>
    <w:multiLevelType w:val="hybridMultilevel"/>
    <w:lvl w:ilvl="0">
      <w:lvlJc w:val="left"/>
      <w:lvlText w:val="2"/>
      <w:numFmt w:val="bullet"/>
      <w:start w:val="1"/>
    </w:lvl>
  </w:abstractNum>
  <w:abstractNum w:abstractNumId="8">
    <w:nsid w:val="613EFDC5"/>
    <w:multiLevelType w:val="hybridMultilevel"/>
    <w:lvl w:ilvl="0">
      <w:lvlJc w:val="left"/>
      <w:lvlText w:val="3"/>
      <w:numFmt w:val="bullet"/>
      <w:start w:val="1"/>
    </w:lvl>
  </w:abstractNum>
  <w:abstractNum w:abstractNumId="9">
    <w:nsid w:val="BF72B14"/>
    <w:multiLevelType w:val="hybridMultilevel"/>
    <w:lvl w:ilvl="0">
      <w:lvlJc w:val="left"/>
      <w:lvlText w:val="2"/>
      <w:numFmt w:val="bullet"/>
      <w:start w:val="1"/>
    </w:lvl>
  </w:abstractNum>
  <w:abstractNum w:abstractNumId="10">
    <w:nsid w:val="11447B73"/>
    <w:multiLevelType w:val="hybridMultilevel"/>
    <w:lvl w:ilvl="0">
      <w:lvlJc w:val="left"/>
      <w:lvlText w:val="4"/>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6"/>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8"/>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1"/>
      <w:numFmt w:val="decimal"/>
      <w:start w:val="14"/>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1"/>
      <w:numFmt w:val="decimal"/>
      <w:start w:val="16"/>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decimal"/>
      <w:start w:val="20"/>
    </w:lvl>
  </w:abstractNum>
  <w:abstractNum w:abstractNumId="51">
    <w:nsid w:val="488AC1A"/>
    <w:multiLevelType w:val="hybridMultilevel"/>
    <w:lvl w:ilvl="0">
      <w:lvlJc w:val="left"/>
      <w:lvlText w:val="%1"/>
      <w:numFmt w:val="decimal"/>
      <w:start w:val="22"/>
    </w:lvl>
  </w:abstractNum>
  <w:abstractNum w:abstractNumId="52">
    <w:nsid w:val="5FB8011C"/>
    <w:multiLevelType w:val="hybridMultilevel"/>
    <w:lvl w:ilvl="0">
      <w:lvlJc w:val="left"/>
      <w:lvlText w:val="(%1)"/>
      <w:numFmt w:val="lowerLetter"/>
      <w:start w:val="2"/>
    </w:lvl>
  </w:abstractNum>
  <w:abstractNum w:abstractNumId="53">
    <w:nsid w:val="6AA78F7F"/>
    <w:multiLevelType w:val="hybridMultilevel"/>
    <w:lvl w:ilvl="0">
      <w:lvlJc w:val="left"/>
      <w:lvlText w:val="%1"/>
      <w:numFmt w:val="decimal"/>
      <w:start w:val="24"/>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26"/>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decimal"/>
      <w:start w:val="28"/>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1)"/>
      <w:numFmt w:val="decimal"/>
    </w:lvl>
    <w:lvl w:ilvl="1">
      <w:lvlJc w:val="left"/>
      <w:lvlText w:val="●"/>
      <w:numFmt w:val="bullet"/>
      <w:start w:val="1"/>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decimal"/>
      <w:start w:val="30"/>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1"/>
      <w:numFmt w:val="decimal"/>
      <w:start w:val="32"/>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1"/>
      <w:numFmt w:val="decimal"/>
      <w:start w:val="34"/>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1"/>
      <w:numFmt w:val="decimal"/>
      <w:start w:val="36"/>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1"/>
      <w:numFmt w:val="decimal"/>
      <w:start w:val="38"/>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decimal"/>
      <w:start w:val="40"/>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1)"/>
      <w:numFmt w:val="decimal"/>
      <w:start w:val="1"/>
    </w:lvl>
  </w:abstractNum>
  <w:abstractNum w:abstractNumId="87">
    <w:nsid w:val="78DF6A55"/>
    <w:multiLevelType w:val="hybridMultilevel"/>
    <w:lvl w:ilvl="0">
      <w:lvlJc w:val="left"/>
      <w:lvlText w:val="%1"/>
      <w:numFmt w:val="decimal"/>
      <w:start w:val="42"/>
    </w:lvl>
  </w:abstractNum>
  <w:abstractNum w:abstractNumId="88">
    <w:nsid w:val="39B7AAA2"/>
    <w:multiLevelType w:val="hybridMultilevel"/>
    <w:lvl w:ilvl="0">
      <w:lvlJc w:val="left"/>
      <w:lvlText w:val="%1"/>
      <w:numFmt w:val="decimal"/>
      <w:start w:val="44"/>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1"/>
      <w:numFmt w:val="decimal"/>
      <w:start w:val="46"/>
    </w:lvl>
  </w:abstractNum>
  <w:abstractNum w:abstractNumId="93">
    <w:nsid w:val="2C27173B"/>
    <w:multiLevelType w:val="hybridMultilevel"/>
    <w:lvl w:ilvl="0">
      <w:lvlJc w:val="left"/>
      <w:lvlText w:val="(%1)"/>
      <w:numFmt w:val="decimal"/>
      <w:start w:val="7"/>
    </w:lvl>
  </w:abstractNum>
  <w:abstractNum w:abstractNumId="94">
    <w:nsid w:val="4C9B0904"/>
    <w:multiLevelType w:val="hybridMultilevel"/>
    <w:lvl w:ilvl="0">
      <w:lvlJc w:val="left"/>
      <w:lvlText w:val="(%1)"/>
      <w:numFmt w:val="decimal"/>
      <w:start w:val="1"/>
    </w:lvl>
  </w:abstractNum>
  <w:abstractNum w:abstractNumId="95">
    <w:nsid w:val="6AA7B75C"/>
    <w:multiLevelType w:val="hybridMultilevel"/>
    <w:lvl w:ilvl="0">
      <w:lvlJc w:val="left"/>
      <w:lvlText w:val="%1"/>
      <w:numFmt w:val="decimal"/>
      <w:start w:val="1"/>
    </w:lvl>
    <w:lvl w:ilvl="1">
      <w:lvlJc w:val="left"/>
      <w:lvlText w:val="(%2)"/>
      <w:numFmt w:val="lowerLetter"/>
      <w:start w:val="1"/>
    </w:lvl>
  </w:abstractNum>
  <w:abstractNum w:abstractNumId="96">
    <w:nsid w:val="1DF029D3"/>
    <w:multiLevelType w:val="hybridMultilevel"/>
    <w:lvl w:ilvl="0">
      <w:lvlJc w:val="left"/>
      <w:lvlText w:val="(%1)"/>
      <w:numFmt w:val="decimal"/>
      <w:start w:val="2"/>
    </w:lvl>
    <w:lvl w:ilvl="1">
      <w:lvlJc w:val="left"/>
      <w:lvlText w:val="%2"/>
      <w:numFmt w:val="lowerLetter"/>
      <w:start w:val="1"/>
    </w:lvl>
  </w:abstractNum>
  <w:abstractNum w:abstractNumId="97">
    <w:nsid w:val="5675FF36"/>
    <w:multiLevelType w:val="hybridMultilevel"/>
    <w:lvl w:ilvl="0">
      <w:lvlJc w:val="left"/>
      <w:lvlText w:val="%1"/>
      <w:numFmt w:val="decimal"/>
      <w:start w:val="48"/>
    </w:lvl>
  </w:abstractNum>
  <w:abstractNum w:abstractNumId="98">
    <w:nsid w:val="3DD15094"/>
    <w:multiLevelType w:val="hybridMultilevel"/>
    <w:lvl w:ilvl="0">
      <w:lvlJc w:val="left"/>
      <w:lvlText w:val="(%1)"/>
      <w:numFmt w:val="decimal"/>
      <w:start w:val="4"/>
    </w:lvl>
  </w:abstractNum>
  <w:abstractNum w:abstractNumId="99">
    <w:nsid w:val="3DB012B3"/>
    <w:multiLevelType w:val="hybridMultilevel"/>
    <w:lvl w:ilvl="0">
      <w:lvlJc w:val="left"/>
      <w:lvlText w:val="(%1)"/>
      <w:numFmt w:val="decimal"/>
      <w:start w:val="1"/>
    </w:lvl>
  </w:abstractNum>
  <w:abstractNum w:abstractNumId="100">
    <w:nsid w:val="2708C9AF"/>
    <w:multiLevelType w:val="hybridMultilevel"/>
    <w:lvl w:ilvl="0">
      <w:lvlJc w:val="left"/>
      <w:lvlText w:val="(%1)"/>
      <w:numFmt w:val="decimal"/>
      <w:start w:val="1"/>
    </w:lvl>
  </w:abstractNum>
  <w:abstractNum w:abstractNumId="101">
    <w:nsid w:val="5B25ACE2"/>
    <w:multiLevelType w:val="hybridMultilevel"/>
    <w:lvl w:ilvl="0">
      <w:lvlJc w:val="left"/>
      <w:lvlText w:val="%1"/>
      <w:numFmt w:val="decimal"/>
      <w:start w:val="50"/>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1)"/>
      <w:numFmt w:val="decimal"/>
      <w:start w:val="1"/>
    </w:lvl>
  </w:abstractNum>
  <w:abstractNum w:abstractNumId="107">
    <w:nsid w:val="56438D15"/>
    <w:multiLevelType w:val="hybridMultilevel"/>
    <w:lvl w:ilvl="0">
      <w:lvlJc w:val="left"/>
      <w:lvlText w:val="%1"/>
      <w:numFmt w:val="decimal"/>
      <w:start w:val="52"/>
    </w:lvl>
  </w:abstractNum>
  <w:abstractNum w:abstractNumId="108">
    <w:nsid w:val="519E3149"/>
    <w:multiLevelType w:val="hybridMultilevel"/>
    <w:lvl w:ilvl="0">
      <w:lvlJc w:val="left"/>
      <w:lvlText w:val="(%1)"/>
      <w:numFmt w:val="decimal"/>
      <w:start w:val="10"/>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start w:val="54"/>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1"/>
      <w:numFmt w:val="decimal"/>
      <w:start w:val="56"/>
    </w:lvl>
  </w:abstractNum>
  <w:abstractNum w:abstractNumId="124">
    <w:nsid w:val="704E1DD5"/>
    <w:multiLevelType w:val="hybridMultilevel"/>
    <w:lvl w:ilvl="0">
      <w:lvlJc w:val="left"/>
      <w:lvlText w:val="(%1)"/>
      <w:numFmt w:val="decimal"/>
      <w:start w:val="2"/>
    </w:lvl>
  </w:abstractNum>
  <w:abstractNum w:abstractNumId="125">
    <w:nsid w:val="57D2F10E"/>
    <w:multiLevelType w:val="hybridMultilevel"/>
    <w:lvl w:ilvl="0">
      <w:lvlJc w:val="left"/>
      <w:lvlText w:val="%1"/>
      <w:numFmt w:val="decimal"/>
      <w:start w:val="58"/>
    </w:lvl>
  </w:abstractNum>
  <w:abstractNum w:abstractNumId="126">
    <w:nsid w:val="BFFAE18"/>
    <w:multiLevelType w:val="hybridMultilevel"/>
    <w:lvl w:ilvl="0">
      <w:lvlJc w:val="left"/>
      <w:lvlText w:val="%1"/>
      <w:numFmt w:val="decimal"/>
      <w:start w:val="60"/>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2"/>
    </w:lvl>
  </w:abstractNum>
  <w:abstractNum w:abstractNumId="131">
    <w:nsid w:val="5551B9F3"/>
    <w:multiLevelType w:val="hybridMultilevel"/>
    <w:lvl w:ilvl="0">
      <w:lvlJc w:val="left"/>
      <w:lvlText w:val="%1"/>
      <w:numFmt w:val="decimal"/>
      <w:start w:val="62"/>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1"/>
      <w:numFmt w:val="decimal"/>
      <w:start w:val="64"/>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1"/>
      <w:numFmt w:val="decimal"/>
      <w:start w:val="66"/>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1"/>
      <w:numFmt w:val="decimal"/>
      <w:start w:val="68"/>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2019-12-03T04:41:11Z</dcterms:created>
  <dcterms:modified xsi:type="dcterms:W3CDTF">2019-12-03T04:41:11Z</dcterms:modified>
</cp:coreProperties>
</file>